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2B38A">
      <w:pPr>
        <w:pStyle w:val="7"/>
        <w:rPr>
          <w:rFonts w:hint="eastAsia"/>
        </w:rPr>
      </w:pPr>
      <w:bookmarkStart w:id="0" w:name="_Toc31685"/>
      <w:bookmarkStart w:id="1" w:name="_Toc165138187"/>
      <w:bookmarkStart w:id="2" w:name="_Toc20261"/>
      <w:bookmarkStart w:id="3" w:name="_Toc26197"/>
      <w:bookmarkStart w:id="4" w:name="_Toc22698"/>
      <w:bookmarkStart w:id="5" w:name="_Toc958"/>
      <w:bookmarkStart w:id="6" w:name="_Toc3436"/>
      <w:r>
        <w:rPr>
          <w:rFonts w:hint="eastAsia"/>
        </w:rPr>
        <w:t>合同主要条款</w:t>
      </w:r>
      <w:bookmarkEnd w:id="0"/>
      <w:bookmarkEnd w:id="1"/>
      <w:bookmarkEnd w:id="2"/>
      <w:bookmarkEnd w:id="3"/>
      <w:bookmarkEnd w:id="4"/>
      <w:bookmarkEnd w:id="5"/>
      <w:bookmarkEnd w:id="6"/>
    </w:p>
    <w:p w14:paraId="15E81BD0">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2EF8F02">
      <w:pPr>
        <w:spacing w:line="360" w:lineRule="auto"/>
        <w:jc w:val="center"/>
        <w:rPr>
          <w:spacing w:val="12"/>
        </w:rPr>
      </w:pPr>
    </w:p>
    <w:p w14:paraId="04D405CF">
      <w:pPr>
        <w:spacing w:line="360" w:lineRule="auto"/>
        <w:jc w:val="center"/>
        <w:rPr>
          <w:rFonts w:hint="eastAsia"/>
          <w:spacing w:val="12"/>
          <w:sz w:val="44"/>
          <w:szCs w:val="44"/>
        </w:rPr>
      </w:pPr>
    </w:p>
    <w:p w14:paraId="46B15048">
      <w:pPr>
        <w:spacing w:line="360" w:lineRule="auto"/>
        <w:jc w:val="center"/>
        <w:rPr>
          <w:rFonts w:hint="eastAsia"/>
          <w:spacing w:val="12"/>
          <w:sz w:val="44"/>
          <w:szCs w:val="40"/>
          <w:u w:val="single"/>
        </w:rPr>
      </w:pPr>
      <w:r>
        <w:rPr>
          <w:rFonts w:hint="eastAsia"/>
          <w:spacing w:val="12"/>
          <w:sz w:val="44"/>
          <w:szCs w:val="40"/>
          <w:u w:val="single"/>
          <w:lang w:val="en-US" w:eastAsia="zh-CN"/>
        </w:rPr>
        <w:t xml:space="preserve">              （项目名称）</w:t>
      </w:r>
    </w:p>
    <w:p w14:paraId="355A52CE">
      <w:pPr>
        <w:spacing w:line="360" w:lineRule="auto"/>
        <w:jc w:val="center"/>
        <w:rPr>
          <w:rFonts w:hint="eastAsia"/>
          <w:spacing w:val="12"/>
          <w:sz w:val="44"/>
          <w:szCs w:val="44"/>
        </w:rPr>
      </w:pPr>
    </w:p>
    <w:p w14:paraId="178A431F">
      <w:pPr>
        <w:spacing w:line="360" w:lineRule="auto"/>
        <w:jc w:val="center"/>
        <w:rPr>
          <w:rFonts w:hint="eastAsia"/>
          <w:spacing w:val="12"/>
          <w:sz w:val="44"/>
          <w:szCs w:val="44"/>
        </w:rPr>
      </w:pPr>
    </w:p>
    <w:p w14:paraId="64CD66E1">
      <w:pPr>
        <w:pStyle w:val="3"/>
        <w:rPr>
          <w:rFonts w:hint="eastAsia"/>
        </w:rPr>
      </w:pPr>
    </w:p>
    <w:p w14:paraId="3652803F">
      <w:pPr>
        <w:pStyle w:val="4"/>
        <w:rPr>
          <w:rFonts w:hint="eastAsia"/>
        </w:rPr>
      </w:pPr>
    </w:p>
    <w:p w14:paraId="14C1C76D">
      <w:pPr>
        <w:rPr>
          <w:rFonts w:hint="eastAsia"/>
        </w:rPr>
      </w:pPr>
    </w:p>
    <w:p w14:paraId="7C93E331">
      <w:pPr>
        <w:spacing w:line="360" w:lineRule="auto"/>
        <w:jc w:val="center"/>
        <w:rPr>
          <w:rFonts w:hint="eastAsia"/>
          <w:spacing w:val="12"/>
          <w:sz w:val="44"/>
          <w:szCs w:val="44"/>
        </w:rPr>
      </w:pPr>
      <w:r>
        <w:rPr>
          <w:rFonts w:hint="eastAsia"/>
          <w:spacing w:val="12"/>
          <w:sz w:val="44"/>
          <w:szCs w:val="44"/>
        </w:rPr>
        <w:t>政府采购合同书</w:t>
      </w:r>
    </w:p>
    <w:p w14:paraId="7B96AC16">
      <w:pPr>
        <w:spacing w:line="360" w:lineRule="auto"/>
        <w:jc w:val="center"/>
        <w:rPr>
          <w:rFonts w:hint="eastAsia"/>
          <w:spacing w:val="12"/>
          <w:sz w:val="44"/>
          <w:szCs w:val="44"/>
        </w:rPr>
      </w:pPr>
      <w:r>
        <w:rPr>
          <w:rFonts w:hint="eastAsia"/>
          <w:spacing w:val="12"/>
          <w:sz w:val="32"/>
          <w:szCs w:val="32"/>
        </w:rPr>
        <w:t xml:space="preserve">                   </w:t>
      </w:r>
    </w:p>
    <w:p w14:paraId="355FDD78">
      <w:pPr>
        <w:spacing w:line="360" w:lineRule="auto"/>
        <w:rPr>
          <w:spacing w:val="12"/>
          <w:sz w:val="32"/>
          <w:szCs w:val="32"/>
          <w:u w:val="single"/>
        </w:rPr>
      </w:pPr>
    </w:p>
    <w:p w14:paraId="4D6AD261">
      <w:pPr>
        <w:pStyle w:val="6"/>
        <w:ind w:firstLine="0"/>
        <w:rPr>
          <w:spacing w:val="12"/>
          <w:sz w:val="32"/>
          <w:szCs w:val="32"/>
          <w:u w:val="single"/>
        </w:rPr>
      </w:pPr>
    </w:p>
    <w:p w14:paraId="1020E1BD">
      <w:pPr>
        <w:pStyle w:val="6"/>
        <w:ind w:firstLine="0"/>
        <w:rPr>
          <w:rFonts w:hint="eastAsia"/>
          <w:spacing w:val="12"/>
          <w:sz w:val="32"/>
          <w:szCs w:val="32"/>
        </w:rPr>
      </w:pPr>
    </w:p>
    <w:p w14:paraId="58904AB4">
      <w:pPr>
        <w:pStyle w:val="4"/>
        <w:rPr>
          <w:rFonts w:hint="eastAsia"/>
        </w:rPr>
      </w:pPr>
    </w:p>
    <w:p w14:paraId="651CBC6D">
      <w:pPr>
        <w:rPr>
          <w:rFonts w:hint="eastAsia"/>
        </w:rPr>
      </w:pPr>
    </w:p>
    <w:p w14:paraId="5306114A">
      <w:pPr>
        <w:rPr>
          <w:rFonts w:hint="eastAsia"/>
          <w:spacing w:val="12"/>
          <w:sz w:val="32"/>
          <w:szCs w:val="32"/>
        </w:rPr>
      </w:pPr>
    </w:p>
    <w:p w14:paraId="4F8DB6A0">
      <w:pPr>
        <w:pStyle w:val="6"/>
        <w:ind w:firstLine="0"/>
        <w:rPr>
          <w:rFonts w:hint="eastAsia"/>
          <w:spacing w:val="12"/>
          <w:sz w:val="32"/>
          <w:szCs w:val="32"/>
        </w:rPr>
      </w:pPr>
    </w:p>
    <w:p w14:paraId="6061E231">
      <w:pPr>
        <w:spacing w:line="360" w:lineRule="auto"/>
        <w:ind w:firstLine="2408" w:firstLineChars="700"/>
        <w:jc w:val="left"/>
        <w:rPr>
          <w:rFonts w:hint="eastAsia" w:eastAsia="宋体"/>
          <w:spacing w:val="12"/>
          <w:sz w:val="32"/>
          <w:szCs w:val="32"/>
          <w:lang w:eastAsia="zh-CN"/>
        </w:rPr>
      </w:pPr>
      <w:r>
        <w:rPr>
          <w:rFonts w:hint="eastAsia"/>
          <w:spacing w:val="12"/>
          <w:sz w:val="32"/>
          <w:szCs w:val="32"/>
        </w:rPr>
        <w:t>采购人：</w:t>
      </w:r>
    </w:p>
    <w:p w14:paraId="7EE700E3">
      <w:pPr>
        <w:spacing w:line="360" w:lineRule="auto"/>
        <w:ind w:firstLine="2408" w:firstLineChars="700"/>
        <w:rPr>
          <w:rFonts w:hint="eastAsia"/>
          <w:spacing w:val="12"/>
          <w:sz w:val="32"/>
          <w:szCs w:val="32"/>
        </w:rPr>
      </w:pPr>
      <w:r>
        <w:rPr>
          <w:rFonts w:hint="eastAsia"/>
          <w:spacing w:val="12"/>
          <w:sz w:val="32"/>
          <w:szCs w:val="32"/>
        </w:rPr>
        <w:t>供应商：</w:t>
      </w:r>
    </w:p>
    <w:p w14:paraId="1945BC2B">
      <w:pPr>
        <w:spacing w:line="560" w:lineRule="exact"/>
        <w:rPr>
          <w:rFonts w:hint="eastAsia"/>
          <w:sz w:val="24"/>
        </w:rPr>
      </w:pPr>
      <w:r>
        <w:rPr>
          <w:sz w:val="24"/>
        </w:rPr>
        <w:br w:type="page"/>
      </w:r>
      <w:r>
        <w:rPr>
          <w:rFonts w:hint="eastAsia"/>
          <w:sz w:val="24"/>
        </w:rPr>
        <w:t xml:space="preserve">签订地点：  </w:t>
      </w:r>
    </w:p>
    <w:p w14:paraId="7E30BD34">
      <w:pPr>
        <w:spacing w:line="560" w:lineRule="exact"/>
        <w:rPr>
          <w:rFonts w:hint="eastAsia"/>
          <w:sz w:val="24"/>
        </w:rPr>
      </w:pPr>
      <w:r>
        <w:rPr>
          <w:rFonts w:hint="eastAsia"/>
          <w:sz w:val="24"/>
          <w:lang w:val="en-US" w:eastAsia="zh-CN"/>
        </w:rPr>
        <w:t>项目</w:t>
      </w:r>
      <w:r>
        <w:rPr>
          <w:rFonts w:hint="eastAsia"/>
          <w:sz w:val="24"/>
        </w:rPr>
        <w:t>编号：</w:t>
      </w:r>
      <w:r>
        <w:rPr>
          <w:rFonts w:hint="eastAsia"/>
          <w:sz w:val="24"/>
          <w:lang w:val="en-US" w:eastAsia="zh-CN"/>
        </w:rPr>
        <w:t xml:space="preserve">                          </w:t>
      </w:r>
      <w:r>
        <w:rPr>
          <w:rFonts w:hint="eastAsia"/>
          <w:sz w:val="24"/>
        </w:rPr>
        <w:t xml:space="preserve">            </w:t>
      </w:r>
    </w:p>
    <w:p w14:paraId="3AE30FEA">
      <w:pPr>
        <w:spacing w:line="560" w:lineRule="exact"/>
        <w:rPr>
          <w:rFonts w:hint="eastAsia" w:eastAsia="宋体"/>
          <w:sz w:val="24"/>
          <w:lang w:eastAsia="zh-CN"/>
        </w:rPr>
      </w:pPr>
      <w:r>
        <w:rPr>
          <w:rFonts w:hint="eastAsia"/>
          <w:sz w:val="24"/>
        </w:rPr>
        <w:t>采购人：</w:t>
      </w:r>
    </w:p>
    <w:p w14:paraId="2F9F57F0">
      <w:pPr>
        <w:spacing w:line="560" w:lineRule="exact"/>
        <w:rPr>
          <w:rFonts w:hint="eastAsia"/>
          <w:sz w:val="24"/>
        </w:rPr>
      </w:pPr>
      <w:r>
        <w:rPr>
          <w:rFonts w:hint="eastAsia"/>
          <w:sz w:val="24"/>
        </w:rPr>
        <w:t>供应商：</w:t>
      </w:r>
    </w:p>
    <w:p w14:paraId="7402FFFC">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w:t>
      </w:r>
      <w:r>
        <w:rPr>
          <w:rFonts w:hint="eastAsia"/>
          <w:sz w:val="24"/>
          <w:u w:val="single"/>
          <w:lang w:eastAsia="zh-CN"/>
        </w:rPr>
        <w:t>（项目名称）</w:t>
      </w:r>
      <w:r>
        <w:rPr>
          <w:rFonts w:hint="eastAsia"/>
          <w:sz w:val="24"/>
        </w:rPr>
        <w:t>的采购结果，根据《中华人民共和国政府采购法》、《中华人民共和国民法典》和国家相关法律法规规定，经双方协商，本着平等互利和诚实信用的原则，一致同意签订本合同如下。</w:t>
      </w:r>
    </w:p>
    <w:p w14:paraId="7BB30CA9">
      <w:pPr>
        <w:spacing w:line="440" w:lineRule="exact"/>
        <w:ind w:firstLine="482" w:firstLineChars="200"/>
        <w:rPr>
          <w:rFonts w:hint="eastAsia"/>
          <w:b/>
          <w:sz w:val="24"/>
        </w:rPr>
      </w:pPr>
      <w:r>
        <w:rPr>
          <w:rFonts w:hint="eastAsia"/>
          <w:b/>
          <w:sz w:val="24"/>
        </w:rPr>
        <w:t>一、合同文件</w:t>
      </w:r>
    </w:p>
    <w:p w14:paraId="0F105DDE">
      <w:pPr>
        <w:spacing w:line="440" w:lineRule="exact"/>
        <w:ind w:firstLine="480" w:firstLineChars="200"/>
        <w:rPr>
          <w:rFonts w:hint="eastAsia"/>
          <w:sz w:val="24"/>
        </w:rPr>
      </w:pPr>
      <w:r>
        <w:rPr>
          <w:rFonts w:hint="eastAsia"/>
          <w:sz w:val="24"/>
        </w:rPr>
        <w:t>1</w:t>
      </w:r>
      <w:r>
        <w:rPr>
          <w:rFonts w:hint="eastAsia"/>
          <w:sz w:val="24"/>
          <w:lang w:val="en-US" w:eastAsia="zh-CN"/>
        </w:rPr>
        <w:t>.</w:t>
      </w:r>
      <w:r>
        <w:rPr>
          <w:rFonts w:hint="eastAsia"/>
          <w:sz w:val="24"/>
        </w:rPr>
        <w:t>协议书条款；</w:t>
      </w:r>
    </w:p>
    <w:p w14:paraId="15805627">
      <w:pPr>
        <w:spacing w:line="440" w:lineRule="exact"/>
        <w:ind w:firstLine="480" w:firstLineChars="200"/>
        <w:rPr>
          <w:rFonts w:hint="eastAsia"/>
          <w:sz w:val="24"/>
        </w:rPr>
      </w:pPr>
      <w:r>
        <w:rPr>
          <w:rFonts w:hint="eastAsia"/>
          <w:sz w:val="24"/>
        </w:rPr>
        <w:t>2</w:t>
      </w:r>
      <w:r>
        <w:rPr>
          <w:rFonts w:hint="eastAsia"/>
          <w:sz w:val="24"/>
          <w:lang w:val="en-US" w:eastAsia="zh-CN"/>
        </w:rPr>
        <w:t>.竞争性磋商</w:t>
      </w:r>
      <w:r>
        <w:rPr>
          <w:rFonts w:hint="eastAsia"/>
          <w:sz w:val="24"/>
        </w:rPr>
        <w:t>文件；</w:t>
      </w:r>
    </w:p>
    <w:p w14:paraId="58C61775">
      <w:pPr>
        <w:spacing w:line="440" w:lineRule="exact"/>
        <w:ind w:firstLine="480" w:firstLineChars="200"/>
        <w:rPr>
          <w:rFonts w:hint="eastAsia"/>
          <w:sz w:val="24"/>
        </w:rPr>
      </w:pPr>
      <w:r>
        <w:rPr>
          <w:rFonts w:hint="eastAsia"/>
          <w:sz w:val="24"/>
        </w:rPr>
        <w:t>3</w:t>
      </w:r>
      <w:r>
        <w:rPr>
          <w:rFonts w:hint="eastAsia"/>
          <w:sz w:val="24"/>
          <w:lang w:val="en-US" w:eastAsia="zh-CN"/>
        </w:rPr>
        <w:t>.响应</w:t>
      </w:r>
      <w:r>
        <w:rPr>
          <w:rFonts w:hint="eastAsia"/>
          <w:sz w:val="24"/>
        </w:rPr>
        <w:t>文件；</w:t>
      </w:r>
    </w:p>
    <w:p w14:paraId="7481B9D0">
      <w:pPr>
        <w:spacing w:line="440" w:lineRule="exact"/>
        <w:ind w:firstLine="480" w:firstLineChars="200"/>
        <w:rPr>
          <w:rFonts w:hint="eastAsia"/>
          <w:sz w:val="24"/>
        </w:rPr>
      </w:pPr>
      <w:r>
        <w:rPr>
          <w:rFonts w:hint="eastAsia"/>
          <w:sz w:val="24"/>
        </w:rPr>
        <w:t>4</w:t>
      </w:r>
      <w:r>
        <w:rPr>
          <w:rFonts w:hint="eastAsia"/>
          <w:sz w:val="24"/>
          <w:lang w:val="en-US" w:eastAsia="zh-CN"/>
        </w:rPr>
        <w:t>.成交</w:t>
      </w:r>
      <w:r>
        <w:rPr>
          <w:rFonts w:hint="eastAsia"/>
          <w:sz w:val="24"/>
        </w:rPr>
        <w:t>通知书；</w:t>
      </w:r>
    </w:p>
    <w:p w14:paraId="2A66CB59">
      <w:pPr>
        <w:spacing w:line="440" w:lineRule="exact"/>
        <w:ind w:firstLine="480" w:firstLineChars="200"/>
        <w:rPr>
          <w:rFonts w:hint="eastAsia"/>
          <w:sz w:val="24"/>
        </w:rPr>
      </w:pPr>
      <w:r>
        <w:rPr>
          <w:rFonts w:hint="eastAsia"/>
          <w:sz w:val="24"/>
        </w:rPr>
        <w:t>5</w:t>
      </w:r>
      <w:r>
        <w:rPr>
          <w:rFonts w:hint="eastAsia"/>
          <w:sz w:val="24"/>
          <w:lang w:val="en-US" w:eastAsia="zh-CN"/>
        </w:rPr>
        <w:t>.</w:t>
      </w:r>
      <w:r>
        <w:rPr>
          <w:rFonts w:hint="eastAsia"/>
          <w:sz w:val="24"/>
        </w:rPr>
        <w:t>其他。</w:t>
      </w:r>
    </w:p>
    <w:p w14:paraId="087FFD64">
      <w:pPr>
        <w:spacing w:line="440" w:lineRule="exact"/>
        <w:ind w:firstLine="480" w:firstLineChars="200"/>
        <w:rPr>
          <w:rFonts w:hint="eastAsia"/>
          <w:sz w:val="24"/>
        </w:rPr>
      </w:pPr>
      <w:r>
        <w:rPr>
          <w:rFonts w:hint="eastAsia"/>
          <w:sz w:val="24"/>
        </w:rPr>
        <w:t>上述所指合同文件应认为是互相补充和解释的，但是有模棱两可或互相矛盾之处，以其所列内容顺序为准。</w:t>
      </w:r>
    </w:p>
    <w:p w14:paraId="37990ADE">
      <w:pPr>
        <w:autoSpaceDE w:val="0"/>
        <w:autoSpaceDN w:val="0"/>
        <w:adjustRightInd w:val="0"/>
        <w:spacing w:line="440" w:lineRule="exact"/>
        <w:ind w:firstLine="472" w:firstLineChars="196"/>
        <w:jc w:val="left"/>
        <w:rPr>
          <w:rFonts w:hint="eastAsia" w:ascii="宋体" w:hAnsi="宋体"/>
          <w:b/>
          <w:kern w:val="0"/>
          <w:sz w:val="24"/>
        </w:rPr>
      </w:pPr>
      <w:r>
        <w:rPr>
          <w:rFonts w:hint="eastAsia" w:ascii="宋体" w:hAnsi="宋体"/>
          <w:b/>
          <w:kern w:val="0"/>
          <w:sz w:val="24"/>
        </w:rPr>
        <w:t>二、合同价款</w:t>
      </w:r>
    </w:p>
    <w:p w14:paraId="1ABB4744">
      <w:pPr>
        <w:autoSpaceDE w:val="0"/>
        <w:autoSpaceDN w:val="0"/>
        <w:adjustRightInd w:val="0"/>
        <w:spacing w:line="440" w:lineRule="exact"/>
        <w:ind w:firstLine="470" w:firstLineChars="196"/>
        <w:jc w:val="left"/>
        <w:rPr>
          <w:rFonts w:hint="default" w:ascii="宋体" w:hAnsi="宋体"/>
          <w:kern w:val="0"/>
          <w:sz w:val="24"/>
          <w:u w:val="single"/>
          <w:lang w:val="en-US"/>
        </w:rPr>
      </w:pPr>
      <w:r>
        <w:rPr>
          <w:rFonts w:hint="eastAsia" w:ascii="宋体" w:hAnsi="宋体"/>
          <w:kern w:val="0"/>
          <w:sz w:val="24"/>
        </w:rPr>
        <w:t>（一）</w:t>
      </w:r>
      <w:r>
        <w:rPr>
          <w:rFonts w:hint="eastAsia" w:ascii="宋体" w:hAnsi="宋体"/>
          <w:bCs/>
          <w:kern w:val="0"/>
          <w:sz w:val="24"/>
        </w:rPr>
        <w:t>合同总价款（人民币）：大写</w:t>
      </w:r>
      <w:r>
        <w:rPr>
          <w:rFonts w:hint="eastAsia" w:ascii="宋体" w:hAnsi="宋体"/>
          <w:bCs/>
          <w:kern w:val="0"/>
          <w:sz w:val="24"/>
          <w:u w:val="single"/>
          <w:lang w:val="en-US" w:eastAsia="zh-CN"/>
        </w:rPr>
        <w:t xml:space="preserve">           </w:t>
      </w:r>
      <w:r>
        <w:rPr>
          <w:rFonts w:hint="eastAsia" w:ascii="宋体" w:hAnsi="宋体"/>
          <w:bCs/>
          <w:kern w:val="0"/>
          <w:sz w:val="24"/>
        </w:rPr>
        <w:t>；小写</w:t>
      </w:r>
      <w:r>
        <w:rPr>
          <w:rFonts w:hint="eastAsia" w:ascii="宋体" w:hAnsi="宋体"/>
          <w:kern w:val="0"/>
          <w:sz w:val="24"/>
        </w:rPr>
        <w:t>¥</w:t>
      </w:r>
      <w:r>
        <w:rPr>
          <w:rFonts w:hint="eastAsia" w:ascii="宋体" w:hAnsi="宋体"/>
          <w:bCs/>
          <w:kern w:val="0"/>
          <w:sz w:val="24"/>
          <w:u w:val="single"/>
        </w:rPr>
        <w:t xml:space="preserve"> </w:t>
      </w:r>
      <w:r>
        <w:rPr>
          <w:rFonts w:hint="eastAsia" w:ascii="宋体" w:hAnsi="宋体"/>
          <w:bCs/>
          <w:kern w:val="0"/>
          <w:sz w:val="24"/>
          <w:u w:val="single"/>
          <w:lang w:val="en-US" w:eastAsia="zh-CN"/>
        </w:rPr>
        <w:t xml:space="preserve">        </w:t>
      </w:r>
      <w:r>
        <w:rPr>
          <w:rFonts w:hint="eastAsia" w:ascii="宋体" w:hAnsi="宋体"/>
          <w:bCs/>
          <w:kern w:val="0"/>
          <w:sz w:val="24"/>
          <w:u w:val="single"/>
        </w:rPr>
        <w:t xml:space="preserve"> </w:t>
      </w:r>
      <w:r>
        <w:rPr>
          <w:rFonts w:hint="eastAsia" w:ascii="宋体" w:hAnsi="宋体"/>
          <w:bCs/>
          <w:kern w:val="0"/>
          <w:sz w:val="24"/>
        </w:rPr>
        <w:t>元</w:t>
      </w:r>
      <w:r>
        <w:rPr>
          <w:rFonts w:hint="eastAsia" w:ascii="宋体" w:hAnsi="宋体"/>
          <w:kern w:val="0"/>
          <w:sz w:val="24"/>
        </w:rPr>
        <w:t>。</w:t>
      </w:r>
    </w:p>
    <w:p w14:paraId="634D4119">
      <w:pPr>
        <w:spacing w:line="440" w:lineRule="exact"/>
        <w:ind w:firstLine="480" w:firstLineChars="200"/>
        <w:rPr>
          <w:rFonts w:hint="eastAsia" w:ascii="宋体" w:hAnsi="宋体"/>
          <w:kern w:val="0"/>
          <w:sz w:val="24"/>
        </w:rPr>
      </w:pPr>
      <w:r>
        <w:rPr>
          <w:rFonts w:hint="eastAsia" w:ascii="宋体" w:hAnsi="宋体"/>
          <w:kern w:val="0"/>
          <w:sz w:val="24"/>
        </w:rPr>
        <w:t>（二）合同总价款是指包括本次项目所需的人工费、服务费、交通费、管理费、税金等所有费用，政策性文件规定的各项应有费用。</w:t>
      </w:r>
    </w:p>
    <w:p w14:paraId="0DF3A5AE">
      <w:pPr>
        <w:spacing w:line="440" w:lineRule="exact"/>
        <w:ind w:firstLine="480" w:firstLineChars="200"/>
        <w:rPr>
          <w:rFonts w:hint="eastAsia" w:ascii="宋体" w:hAnsi="宋体" w:eastAsia="宋体"/>
          <w:kern w:val="0"/>
          <w:sz w:val="24"/>
        </w:rPr>
      </w:pPr>
      <w:r>
        <w:rPr>
          <w:rFonts w:hint="eastAsia" w:ascii="宋体" w:hAnsi="宋体" w:eastAsia="宋体"/>
          <w:kern w:val="0"/>
          <w:sz w:val="24"/>
        </w:rPr>
        <w:t>（三）合同总价一次性包死，不受市场价格变化因素的影响。</w:t>
      </w:r>
    </w:p>
    <w:p w14:paraId="298BDBB3">
      <w:pPr>
        <w:spacing w:line="440" w:lineRule="exact"/>
        <w:ind w:firstLine="480" w:firstLineChars="200"/>
        <w:rPr>
          <w:rFonts w:hint="eastAsia" w:eastAsia="宋体"/>
          <w:sz w:val="24"/>
          <w:lang w:val="en-US" w:eastAsia="zh-CN"/>
        </w:rPr>
      </w:pPr>
      <w:r>
        <w:rPr>
          <w:rFonts w:hint="eastAsia" w:ascii="宋体" w:hAnsi="宋体" w:eastAsia="宋体"/>
          <w:kern w:val="0"/>
          <w:sz w:val="24"/>
          <w:lang w:eastAsia="zh-CN"/>
        </w:rPr>
        <w:t>（</w:t>
      </w:r>
      <w:r>
        <w:rPr>
          <w:rFonts w:hint="eastAsia" w:ascii="宋体" w:hAnsi="宋体" w:eastAsia="宋体"/>
          <w:kern w:val="0"/>
          <w:sz w:val="24"/>
          <w:lang w:val="en-US" w:eastAsia="zh-CN"/>
        </w:rPr>
        <w:t>四</w:t>
      </w:r>
      <w:r>
        <w:rPr>
          <w:rFonts w:hint="eastAsia" w:ascii="宋体" w:hAnsi="宋体" w:eastAsia="宋体"/>
          <w:kern w:val="0"/>
          <w:sz w:val="24"/>
          <w:lang w:eastAsia="zh-CN"/>
        </w:rPr>
        <w:t>）</w:t>
      </w:r>
      <w:r>
        <w:rPr>
          <w:rFonts w:hint="eastAsia" w:ascii="宋体" w:hAnsi="宋体" w:eastAsia="宋体"/>
          <w:kern w:val="0"/>
          <w:sz w:val="24"/>
          <w:lang w:val="en-US" w:eastAsia="zh-CN"/>
        </w:rPr>
        <w:t>供</w:t>
      </w:r>
      <w:r>
        <w:rPr>
          <w:rFonts w:hint="eastAsia" w:eastAsia="宋体"/>
          <w:sz w:val="24"/>
          <w:lang w:val="en-US" w:eastAsia="zh-CN"/>
        </w:rPr>
        <w:t>应商账户信息</w:t>
      </w:r>
    </w:p>
    <w:p w14:paraId="386E4B53">
      <w:pPr>
        <w:spacing w:line="440" w:lineRule="exact"/>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账户名称：</w:t>
      </w:r>
      <w:r>
        <w:rPr>
          <w:rFonts w:hint="eastAsia" w:ascii="宋体" w:hAnsi="宋体"/>
          <w:bCs/>
          <w:kern w:val="0"/>
          <w:sz w:val="24"/>
          <w:u w:val="single"/>
          <w:lang w:val="en-US" w:eastAsia="zh-CN"/>
        </w:rPr>
        <w:t xml:space="preserve">           </w:t>
      </w:r>
    </w:p>
    <w:p w14:paraId="1440339F">
      <w:pPr>
        <w:spacing w:line="440" w:lineRule="exact"/>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开户银行：</w:t>
      </w:r>
      <w:r>
        <w:rPr>
          <w:rFonts w:hint="eastAsia" w:ascii="宋体" w:hAnsi="宋体"/>
          <w:bCs/>
          <w:kern w:val="0"/>
          <w:sz w:val="24"/>
          <w:u w:val="single"/>
          <w:lang w:val="en-US" w:eastAsia="zh-CN"/>
        </w:rPr>
        <w:t xml:space="preserve">           </w:t>
      </w:r>
    </w:p>
    <w:p w14:paraId="76681D90">
      <w:pPr>
        <w:spacing w:line="440" w:lineRule="exact"/>
        <w:ind w:firstLine="480" w:firstLineChars="200"/>
        <w:rPr>
          <w:rFonts w:hint="default"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银行账号：</w:t>
      </w:r>
      <w:r>
        <w:rPr>
          <w:rFonts w:hint="eastAsia" w:ascii="宋体" w:hAnsi="宋体"/>
          <w:bCs/>
          <w:kern w:val="0"/>
          <w:sz w:val="24"/>
          <w:u w:val="single"/>
          <w:lang w:val="en-US" w:eastAsia="zh-CN"/>
        </w:rPr>
        <w:t xml:space="preserve">           </w:t>
      </w:r>
    </w:p>
    <w:p w14:paraId="2BC7A014">
      <w:pPr>
        <w:spacing w:line="440" w:lineRule="exact"/>
        <w:ind w:firstLine="482" w:firstLineChars="200"/>
        <w:rPr>
          <w:rFonts w:hint="eastAsia" w:ascii="宋体" w:hAnsi="宋体"/>
          <w:b/>
          <w:kern w:val="0"/>
          <w:sz w:val="24"/>
        </w:rPr>
      </w:pPr>
      <w:r>
        <w:rPr>
          <w:rFonts w:hint="eastAsia" w:ascii="宋体" w:hAnsi="宋体"/>
          <w:b/>
          <w:kern w:val="0"/>
          <w:sz w:val="24"/>
        </w:rPr>
        <w:t>三、款项结算</w:t>
      </w:r>
    </w:p>
    <w:p w14:paraId="2988049F">
      <w:pPr>
        <w:autoSpaceDE w:val="0"/>
        <w:autoSpaceDN w:val="0"/>
        <w:adjustRightInd w:val="0"/>
        <w:spacing w:line="440" w:lineRule="exact"/>
        <w:ind w:firstLine="470" w:firstLineChars="196"/>
        <w:jc w:val="left"/>
        <w:rPr>
          <w:rFonts w:ascii="宋体" w:hAnsi="宋体"/>
          <w:b/>
          <w:kern w:val="0"/>
          <w:sz w:val="24"/>
        </w:rPr>
      </w:pPr>
      <w:r>
        <w:rPr>
          <w:rFonts w:hint="eastAsia" w:ascii="宋体" w:hAnsi="宋体"/>
          <w:kern w:val="0"/>
          <w:sz w:val="24"/>
        </w:rPr>
        <w:t>（一）合同价款的支付：合同签订后支付40%的预付款，完工后支付合同价款的30%，项目任务全部完成且验收合格后付清全部合同价款。</w:t>
      </w:r>
    </w:p>
    <w:p w14:paraId="0359769B">
      <w:pPr>
        <w:autoSpaceDE w:val="0"/>
        <w:autoSpaceDN w:val="0"/>
        <w:adjustRightInd w:val="0"/>
        <w:spacing w:line="440" w:lineRule="exact"/>
        <w:ind w:firstLine="470" w:firstLineChars="196"/>
        <w:jc w:val="left"/>
        <w:rPr>
          <w:rFonts w:hint="eastAsia" w:ascii="宋体" w:hAnsi="宋体"/>
          <w:kern w:val="0"/>
          <w:sz w:val="24"/>
        </w:rPr>
      </w:pPr>
      <w:r>
        <w:rPr>
          <w:rFonts w:hint="eastAsia" w:ascii="宋体" w:hAnsi="宋体"/>
          <w:kern w:val="0"/>
          <w:sz w:val="24"/>
        </w:rPr>
        <w:t>（二）结算方式：银行转账。</w:t>
      </w:r>
    </w:p>
    <w:p w14:paraId="45053EC3">
      <w:pPr>
        <w:autoSpaceDE w:val="0"/>
        <w:autoSpaceDN w:val="0"/>
        <w:adjustRightInd w:val="0"/>
        <w:spacing w:line="440" w:lineRule="exact"/>
        <w:ind w:firstLine="470" w:firstLineChars="196"/>
        <w:jc w:val="left"/>
        <w:rPr>
          <w:rFonts w:hint="eastAsia" w:ascii="宋体" w:hAnsi="宋体"/>
          <w:kern w:val="0"/>
          <w:sz w:val="24"/>
        </w:rPr>
      </w:pPr>
      <w:r>
        <w:rPr>
          <w:rFonts w:hint="eastAsia" w:ascii="宋体" w:hAnsi="宋体"/>
          <w:kern w:val="0"/>
          <w:sz w:val="24"/>
        </w:rPr>
        <w:t>（三）支付方式：由采购人负责结算，合同签订后，供应商在接受付款前，开具等额发票给采购人。</w:t>
      </w:r>
    </w:p>
    <w:p w14:paraId="2D221416">
      <w:pPr>
        <w:widowControl/>
        <w:tabs>
          <w:tab w:val="left" w:pos="0"/>
          <w:tab w:val="left" w:pos="437"/>
          <w:tab w:val="left" w:pos="1311"/>
        </w:tabs>
        <w:adjustRightInd w:val="0"/>
        <w:snapToGrid w:val="0"/>
        <w:spacing w:line="440" w:lineRule="exact"/>
        <w:ind w:firstLine="482" w:firstLineChars="200"/>
        <w:jc w:val="left"/>
        <w:rPr>
          <w:rFonts w:hint="eastAsia" w:ascii="宋体" w:hAnsi="宋体" w:eastAsia="宋体" w:cs="宋体"/>
          <w:b/>
          <w:bCs/>
          <w:kern w:val="0"/>
          <w:sz w:val="24"/>
          <w:szCs w:val="21"/>
          <w:lang w:val="en-US" w:eastAsia="zh-CN"/>
        </w:rPr>
      </w:pPr>
      <w:bookmarkStart w:id="7" w:name="_Toc12029"/>
      <w:r>
        <w:rPr>
          <w:rFonts w:hint="eastAsia" w:ascii="宋体" w:hAnsi="宋体" w:cs="宋体"/>
          <w:b/>
          <w:bCs/>
          <w:kern w:val="0"/>
          <w:sz w:val="24"/>
          <w:szCs w:val="21"/>
        </w:rPr>
        <w:t>四、服务</w:t>
      </w:r>
      <w:bookmarkEnd w:id="7"/>
      <w:r>
        <w:rPr>
          <w:rFonts w:hint="eastAsia" w:ascii="宋体" w:hAnsi="宋体" w:cs="宋体"/>
          <w:b/>
          <w:bCs/>
          <w:kern w:val="0"/>
          <w:sz w:val="24"/>
          <w:szCs w:val="21"/>
          <w:lang w:val="en-US" w:eastAsia="zh-CN"/>
        </w:rPr>
        <w:t>内容及要求</w:t>
      </w:r>
    </w:p>
    <w:p w14:paraId="5053D255">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bookmarkStart w:id="8" w:name="_Hlk98681507"/>
      <w:r>
        <w:rPr>
          <w:rFonts w:hint="eastAsia" w:ascii="宋体" w:hAnsi="宋体" w:cs="宋体"/>
          <w:kern w:val="0"/>
          <w:sz w:val="24"/>
          <w:szCs w:val="21"/>
        </w:rPr>
        <w:t>临渭区森林植被恢复补助项目任务量为在关中环线两侧实施6公里生态修复与提升治理；造林100亩。造林地点在关中环线东侧阳郭镇三官庙村荒山荒坡，造林作业面积为管护6公里、造林100亩。本项目设计林种为生态林，造林地类为荒山荒坡。造林100亩，栽植树种为侧柏；关中环线沿线绿化提升，补植树种为树状月季、紫荆、白皮松。根据各树种造林面积和初植密度进行计算，项目建设共需各类苗木11426株，其中：树状月季100株、紫荆141株、白皮松56株、银杏9株、樱花4株、花石榴丛生10株、海棠6株、侧柏11100株。</w:t>
      </w:r>
    </w:p>
    <w:p w14:paraId="71A95F2F">
      <w:pPr>
        <w:widowControl/>
        <w:tabs>
          <w:tab w:val="left" w:pos="0"/>
          <w:tab w:val="left" w:pos="437"/>
          <w:tab w:val="left" w:pos="1311"/>
        </w:tabs>
        <w:adjustRightInd w:val="0"/>
        <w:snapToGrid w:val="0"/>
        <w:spacing w:line="440" w:lineRule="exact"/>
        <w:jc w:val="center"/>
        <w:rPr>
          <w:rFonts w:hint="eastAsia" w:ascii="宋体" w:hAnsi="宋体" w:cs="宋体"/>
          <w:kern w:val="0"/>
          <w:sz w:val="24"/>
          <w:szCs w:val="21"/>
        </w:rPr>
      </w:pPr>
      <w:r>
        <w:rPr>
          <w:rFonts w:hint="eastAsia" w:ascii="宋体" w:hAnsi="宋体" w:cs="宋体"/>
          <w:kern w:val="0"/>
          <w:sz w:val="24"/>
          <w:szCs w:val="21"/>
        </w:rPr>
        <w:t>苗木规格</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5"/>
        <w:gridCol w:w="2175"/>
        <w:gridCol w:w="1885"/>
        <w:gridCol w:w="2464"/>
      </w:tblGrid>
      <w:tr w14:paraId="5115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760FF2AD">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树种品名</w:t>
            </w:r>
          </w:p>
        </w:tc>
        <w:tc>
          <w:tcPr>
            <w:tcW w:w="2175" w:type="dxa"/>
            <w:noWrap w:val="0"/>
            <w:vAlign w:val="center"/>
          </w:tcPr>
          <w:p w14:paraId="0C56B7D3">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粗度（cm）</w:t>
            </w:r>
          </w:p>
        </w:tc>
        <w:tc>
          <w:tcPr>
            <w:tcW w:w="1885" w:type="dxa"/>
            <w:noWrap w:val="0"/>
            <w:vAlign w:val="center"/>
          </w:tcPr>
          <w:p w14:paraId="7E05A0E5">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高度(m)</w:t>
            </w:r>
          </w:p>
        </w:tc>
        <w:tc>
          <w:tcPr>
            <w:tcW w:w="2464" w:type="dxa"/>
            <w:noWrap w:val="0"/>
            <w:vAlign w:val="center"/>
          </w:tcPr>
          <w:p w14:paraId="21100D86">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备注</w:t>
            </w:r>
          </w:p>
        </w:tc>
      </w:tr>
      <w:tr w14:paraId="66A7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75" w:type="dxa"/>
            <w:noWrap w:val="0"/>
            <w:vAlign w:val="center"/>
          </w:tcPr>
          <w:p w14:paraId="3EC6F506">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树状月季</w:t>
            </w:r>
          </w:p>
        </w:tc>
        <w:tc>
          <w:tcPr>
            <w:tcW w:w="2175" w:type="dxa"/>
            <w:noWrap w:val="0"/>
            <w:vAlign w:val="center"/>
          </w:tcPr>
          <w:p w14:paraId="6D45445F">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4</w:t>
            </w:r>
          </w:p>
        </w:tc>
        <w:tc>
          <w:tcPr>
            <w:tcW w:w="1885" w:type="dxa"/>
            <w:noWrap w:val="0"/>
            <w:vAlign w:val="center"/>
          </w:tcPr>
          <w:p w14:paraId="36585228">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≥1.2</w:t>
            </w:r>
          </w:p>
        </w:tc>
        <w:tc>
          <w:tcPr>
            <w:tcW w:w="2464" w:type="dxa"/>
            <w:noWrap w:val="0"/>
            <w:vAlign w:val="center"/>
          </w:tcPr>
          <w:p w14:paraId="176A69DE">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红花</w:t>
            </w:r>
          </w:p>
        </w:tc>
      </w:tr>
      <w:tr w14:paraId="2980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1AA715ED">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紫荆</w:t>
            </w:r>
          </w:p>
        </w:tc>
        <w:tc>
          <w:tcPr>
            <w:tcW w:w="2175" w:type="dxa"/>
            <w:noWrap w:val="0"/>
            <w:vAlign w:val="center"/>
          </w:tcPr>
          <w:p w14:paraId="3E6CA4A8">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1885" w:type="dxa"/>
            <w:noWrap w:val="0"/>
            <w:vAlign w:val="center"/>
          </w:tcPr>
          <w:p w14:paraId="37CD13EF">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1.5</w:t>
            </w:r>
          </w:p>
        </w:tc>
        <w:tc>
          <w:tcPr>
            <w:tcW w:w="2464" w:type="dxa"/>
            <w:noWrap w:val="0"/>
            <w:vAlign w:val="center"/>
          </w:tcPr>
          <w:p w14:paraId="7EBB81F0">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5年丛生，多分枝</w:t>
            </w:r>
          </w:p>
        </w:tc>
      </w:tr>
      <w:tr w14:paraId="5973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57E2D561">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白皮松</w:t>
            </w:r>
          </w:p>
        </w:tc>
        <w:tc>
          <w:tcPr>
            <w:tcW w:w="2175" w:type="dxa"/>
            <w:noWrap w:val="0"/>
            <w:vAlign w:val="center"/>
          </w:tcPr>
          <w:p w14:paraId="1D06558D">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2"/>
                <w:sz w:val="24"/>
                <w:szCs w:val="24"/>
                <w:highlight w:val="none"/>
                <w:vertAlign w:val="baseline"/>
                <w:lang w:val="en-US" w:eastAsia="zh-CN" w:bidi="ar-SA"/>
              </w:rPr>
              <w:t>/</w:t>
            </w:r>
          </w:p>
        </w:tc>
        <w:tc>
          <w:tcPr>
            <w:tcW w:w="1885" w:type="dxa"/>
            <w:noWrap w:val="0"/>
            <w:vAlign w:val="center"/>
          </w:tcPr>
          <w:p w14:paraId="0CE9BE1E">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kern w:val="2"/>
                <w:sz w:val="24"/>
                <w:szCs w:val="24"/>
                <w:highlight w:val="none"/>
                <w:vertAlign w:val="baseline"/>
                <w:lang w:val="en-US" w:eastAsia="zh-CN" w:bidi="ar-SA"/>
              </w:rPr>
              <w:t>4</w:t>
            </w:r>
          </w:p>
        </w:tc>
        <w:tc>
          <w:tcPr>
            <w:tcW w:w="2464" w:type="dxa"/>
            <w:noWrap w:val="0"/>
            <w:vAlign w:val="center"/>
          </w:tcPr>
          <w:p w14:paraId="0A059A43">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容器苗</w:t>
            </w:r>
          </w:p>
        </w:tc>
      </w:tr>
      <w:tr w14:paraId="736B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0AF61582">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银杏</w:t>
            </w:r>
          </w:p>
        </w:tc>
        <w:tc>
          <w:tcPr>
            <w:tcW w:w="2175" w:type="dxa"/>
            <w:noWrap w:val="0"/>
            <w:vAlign w:val="center"/>
          </w:tcPr>
          <w:p w14:paraId="71F72E3F">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10-12</w:t>
            </w:r>
          </w:p>
        </w:tc>
        <w:tc>
          <w:tcPr>
            <w:tcW w:w="1885" w:type="dxa"/>
            <w:noWrap w:val="0"/>
            <w:vAlign w:val="center"/>
          </w:tcPr>
          <w:p w14:paraId="18874A92">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p>
        </w:tc>
        <w:tc>
          <w:tcPr>
            <w:tcW w:w="2464" w:type="dxa"/>
            <w:noWrap w:val="0"/>
            <w:vAlign w:val="center"/>
          </w:tcPr>
          <w:p w14:paraId="74C64B25">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全冠</w:t>
            </w:r>
          </w:p>
        </w:tc>
      </w:tr>
      <w:tr w14:paraId="4C5B9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6810F471">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樱花</w:t>
            </w:r>
          </w:p>
        </w:tc>
        <w:tc>
          <w:tcPr>
            <w:tcW w:w="2175" w:type="dxa"/>
            <w:noWrap w:val="0"/>
            <w:vAlign w:val="center"/>
          </w:tcPr>
          <w:p w14:paraId="130D9819">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14-16</w:t>
            </w:r>
          </w:p>
        </w:tc>
        <w:tc>
          <w:tcPr>
            <w:tcW w:w="1885" w:type="dxa"/>
            <w:noWrap w:val="0"/>
            <w:vAlign w:val="center"/>
          </w:tcPr>
          <w:p w14:paraId="51C2F3C5">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p>
        </w:tc>
        <w:tc>
          <w:tcPr>
            <w:tcW w:w="2464" w:type="dxa"/>
            <w:noWrap w:val="0"/>
            <w:vAlign w:val="center"/>
          </w:tcPr>
          <w:p w14:paraId="6403D560">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全冠</w:t>
            </w:r>
          </w:p>
        </w:tc>
      </w:tr>
      <w:tr w14:paraId="4013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0FD8BE6E">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花石榴</w:t>
            </w:r>
          </w:p>
        </w:tc>
        <w:tc>
          <w:tcPr>
            <w:tcW w:w="2175" w:type="dxa"/>
            <w:noWrap w:val="0"/>
            <w:vAlign w:val="center"/>
          </w:tcPr>
          <w:p w14:paraId="76D68219">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p>
        </w:tc>
        <w:tc>
          <w:tcPr>
            <w:tcW w:w="1885" w:type="dxa"/>
            <w:noWrap w:val="0"/>
            <w:vAlign w:val="center"/>
          </w:tcPr>
          <w:p w14:paraId="1676D768">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w:t>
            </w:r>
          </w:p>
        </w:tc>
        <w:tc>
          <w:tcPr>
            <w:tcW w:w="2464" w:type="dxa"/>
            <w:noWrap w:val="0"/>
            <w:vAlign w:val="center"/>
          </w:tcPr>
          <w:p w14:paraId="0AD288EE">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丛生</w:t>
            </w:r>
          </w:p>
        </w:tc>
      </w:tr>
      <w:tr w14:paraId="38960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175" w:type="dxa"/>
            <w:noWrap w:val="0"/>
            <w:vAlign w:val="center"/>
          </w:tcPr>
          <w:p w14:paraId="26A466EB">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海棠</w:t>
            </w:r>
          </w:p>
        </w:tc>
        <w:tc>
          <w:tcPr>
            <w:tcW w:w="2175" w:type="dxa"/>
            <w:noWrap w:val="0"/>
            <w:vAlign w:val="center"/>
          </w:tcPr>
          <w:p w14:paraId="3C94ED18">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6-8</w:t>
            </w:r>
          </w:p>
        </w:tc>
        <w:tc>
          <w:tcPr>
            <w:tcW w:w="1885" w:type="dxa"/>
            <w:noWrap w:val="0"/>
            <w:vAlign w:val="center"/>
          </w:tcPr>
          <w:p w14:paraId="5C4164C2">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w:t>
            </w:r>
          </w:p>
        </w:tc>
        <w:tc>
          <w:tcPr>
            <w:tcW w:w="2464" w:type="dxa"/>
            <w:noWrap w:val="0"/>
            <w:vAlign w:val="center"/>
          </w:tcPr>
          <w:p w14:paraId="38C96130">
            <w:pPr>
              <w:spacing w:line="60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全冠</w:t>
            </w:r>
          </w:p>
        </w:tc>
      </w:tr>
      <w:tr w14:paraId="267A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2175" w:type="dxa"/>
            <w:noWrap w:val="0"/>
            <w:vAlign w:val="center"/>
          </w:tcPr>
          <w:p w14:paraId="74C5827C">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侧柏</w:t>
            </w:r>
          </w:p>
        </w:tc>
        <w:tc>
          <w:tcPr>
            <w:tcW w:w="2175" w:type="dxa"/>
            <w:noWrap w:val="0"/>
            <w:vAlign w:val="center"/>
          </w:tcPr>
          <w:p w14:paraId="4872992B">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c>
          <w:tcPr>
            <w:tcW w:w="1885" w:type="dxa"/>
            <w:noWrap w:val="0"/>
            <w:vAlign w:val="center"/>
          </w:tcPr>
          <w:p w14:paraId="29343339">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0.6</w:t>
            </w:r>
          </w:p>
        </w:tc>
        <w:tc>
          <w:tcPr>
            <w:tcW w:w="2464" w:type="dxa"/>
            <w:noWrap w:val="0"/>
            <w:vAlign w:val="center"/>
          </w:tcPr>
          <w:p w14:paraId="5160DC87">
            <w:pPr>
              <w:spacing w:line="60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容器苗</w:t>
            </w:r>
          </w:p>
        </w:tc>
      </w:tr>
    </w:tbl>
    <w:p w14:paraId="7B94A813">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养护措施：幼林抚育是指在造林后至郁闭前这段时间里所进行的各种技术措施。新造幼林一般要经历缓苗、扎根、生长并逐步进入速生的过程，对林木以后的快速生长影响极大。幼林抚育的根本任务在于为幼苗、幼树提供一个优越的生长环境，满足幼树对水、肥、气、热的要求。通过松土、除草、扩穴等改善土壤的理化性质，给幼苗幼树创造一个良好的生长环境。</w:t>
      </w:r>
    </w:p>
    <w:p w14:paraId="37C9C87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rPr>
        <w:t>具体内容详见作业设计。</w:t>
      </w:r>
    </w:p>
    <w:p w14:paraId="637C264B">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4.</w:t>
      </w:r>
      <w:r>
        <w:rPr>
          <w:rFonts w:hint="eastAsia" w:ascii="宋体" w:hAnsi="宋体" w:cs="宋体"/>
          <w:kern w:val="0"/>
          <w:sz w:val="24"/>
          <w:szCs w:val="21"/>
        </w:rPr>
        <w:t>服务地点：</w:t>
      </w:r>
      <w:r>
        <w:rPr>
          <w:rFonts w:hint="eastAsia" w:ascii="宋体" w:hAnsi="宋体"/>
          <w:bCs/>
          <w:kern w:val="0"/>
          <w:sz w:val="24"/>
          <w:u w:val="single"/>
          <w:lang w:val="en-US" w:eastAsia="zh-CN"/>
        </w:rPr>
        <w:t xml:space="preserve">           </w:t>
      </w:r>
      <w:r>
        <w:rPr>
          <w:rFonts w:hint="eastAsia" w:ascii="宋体" w:hAnsi="宋体" w:cs="宋体"/>
          <w:kern w:val="0"/>
          <w:sz w:val="24"/>
          <w:szCs w:val="21"/>
        </w:rPr>
        <w:t>。</w:t>
      </w:r>
    </w:p>
    <w:p w14:paraId="48C6F53F">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5.</w:t>
      </w:r>
      <w:r>
        <w:rPr>
          <w:rFonts w:hint="eastAsia" w:ascii="宋体" w:hAnsi="宋体" w:cs="宋体"/>
          <w:kern w:val="0"/>
          <w:sz w:val="24"/>
          <w:szCs w:val="21"/>
        </w:rPr>
        <w:t>服务</w:t>
      </w:r>
      <w:r>
        <w:rPr>
          <w:rFonts w:hint="eastAsia" w:ascii="宋体" w:hAnsi="宋体" w:cs="宋体"/>
          <w:kern w:val="0"/>
          <w:sz w:val="24"/>
          <w:szCs w:val="21"/>
          <w:lang w:val="en-US" w:eastAsia="zh-CN"/>
        </w:rPr>
        <w:t>期限</w:t>
      </w:r>
      <w:r>
        <w:rPr>
          <w:rFonts w:hint="eastAsia" w:ascii="宋体" w:hAnsi="宋体" w:cs="宋体"/>
          <w:kern w:val="0"/>
          <w:sz w:val="24"/>
          <w:szCs w:val="21"/>
        </w:rPr>
        <w:t>：</w:t>
      </w:r>
      <w:r>
        <w:rPr>
          <w:rFonts w:hint="eastAsia" w:ascii="宋体" w:hAnsi="宋体"/>
          <w:bCs/>
          <w:kern w:val="0"/>
          <w:sz w:val="24"/>
          <w:u w:val="single"/>
          <w:lang w:val="en-US" w:eastAsia="zh-CN"/>
        </w:rPr>
        <w:t xml:space="preserve">           </w:t>
      </w:r>
      <w:r>
        <w:rPr>
          <w:rFonts w:hint="eastAsia" w:ascii="宋体" w:hAnsi="宋体" w:cs="宋体"/>
          <w:kern w:val="0"/>
          <w:sz w:val="24"/>
          <w:szCs w:val="21"/>
        </w:rPr>
        <w:t>。</w:t>
      </w:r>
    </w:p>
    <w:bookmarkEnd w:id="8"/>
    <w:p w14:paraId="20A5F64E">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rPr>
      </w:pPr>
      <w:r>
        <w:rPr>
          <w:rFonts w:hint="eastAsia" w:ascii="宋体" w:hAnsi="宋体" w:cs="宋体"/>
          <w:kern w:val="0"/>
          <w:sz w:val="24"/>
          <w:szCs w:val="21"/>
          <w:lang w:val="en-US" w:eastAsia="zh-CN"/>
        </w:rPr>
        <w:t>6.服务标准：合格。</w:t>
      </w:r>
    </w:p>
    <w:p w14:paraId="2DF84DA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7.服务要求</w:t>
      </w:r>
    </w:p>
    <w:p w14:paraId="141E3B06">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（1）在服务范围内按工作内容和要求制定详细的方案，方案科学、合理、可靠。</w:t>
      </w:r>
    </w:p>
    <w:p w14:paraId="4FFF675F">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（2）人员配备合理。有针对本项目的专项项目小组，项目负责人、工作人员分工明确（应有具体成员名单，包括姓名、工作职责等）</w:t>
      </w:r>
    </w:p>
    <w:p w14:paraId="680B83D0">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（3）有各类突发事件的应急预案和措施，有明确具体的承诺。</w:t>
      </w:r>
    </w:p>
    <w:p w14:paraId="59C37FEB">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（4）供应商所拟派的工作人员，若在服务期间发生任何伤害，采购人概不负责，由供应商自行处理。</w:t>
      </w:r>
    </w:p>
    <w:p w14:paraId="086A805C">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五、技术资料</w:t>
      </w:r>
    </w:p>
    <w:p w14:paraId="6086413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1.供应商应按采购文件响应的时间向采购人提供完成项目的有关服务资料。</w:t>
      </w:r>
    </w:p>
    <w:p w14:paraId="331446D2">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无采购人事先书面同意，供应商不得将由采购人提供的有关合同或任何合同条文、规格、计划、样品或资料提供给与履行本合同无关的其他任何人。即使向履行本合同有关的人员提供，也应注意保密并限于履行合同的必需范围。</w:t>
      </w:r>
    </w:p>
    <w:p w14:paraId="72932EA4">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六、技术情报的保密</w:t>
      </w:r>
    </w:p>
    <w:p w14:paraId="0E7DABF2">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1.甲乙双方商定，供应商取得的所有原始技术资料在工作结束后交还采购人，供应商不得对外泄露。</w:t>
      </w:r>
    </w:p>
    <w:p w14:paraId="4A7C2220">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工作所需基础资料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6CD9554">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七、转</w:t>
      </w:r>
      <w:r>
        <w:rPr>
          <w:rFonts w:hint="eastAsia" w:ascii="宋体" w:hAnsi="宋体" w:cs="宋体"/>
          <w:b/>
          <w:bCs/>
          <w:kern w:val="0"/>
          <w:sz w:val="24"/>
          <w:szCs w:val="21"/>
          <w:lang w:val="en-US" w:eastAsia="zh-CN"/>
        </w:rPr>
        <w:t>让</w:t>
      </w:r>
      <w:r>
        <w:rPr>
          <w:rFonts w:hint="eastAsia" w:ascii="宋体" w:hAnsi="宋体" w:cs="宋体"/>
          <w:b/>
          <w:bCs/>
          <w:kern w:val="0"/>
          <w:sz w:val="24"/>
          <w:szCs w:val="21"/>
        </w:rPr>
        <w:t>或分包</w:t>
      </w:r>
    </w:p>
    <w:p w14:paraId="2E9F126D">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1.本合同范围的项目服务内容，应由供应商直接服务，不得转让他人；</w:t>
      </w:r>
    </w:p>
    <w:p w14:paraId="4BBEDA2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2.如有转让和未经采购人同意的分包行为，采购人有权解除合同，并追究供应商的违约责任。</w:t>
      </w:r>
    </w:p>
    <w:p w14:paraId="2EEAE7D9">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八、采购人的权利及义务</w:t>
      </w:r>
    </w:p>
    <w:p w14:paraId="155F88A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（一）采购人的权利</w:t>
      </w:r>
    </w:p>
    <w:p w14:paraId="7135F866">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1．采购人有权向供应商询问工作进展情况及相关的内容。</w:t>
      </w:r>
    </w:p>
    <w:p w14:paraId="056BF60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2．采购人有权阐述对具体问题的意见和建议。</w:t>
      </w:r>
    </w:p>
    <w:p w14:paraId="19DAE15D">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3. 采购人有权根据项目的具体情况，要求供应商按期到项目现场勘探解决争议。</w:t>
      </w:r>
    </w:p>
    <w:p w14:paraId="741016D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4．当采购人认定供应商专业人员不按合同履行其职责，或与第三人串通给采购人造成经济损失的，采购人有权要求更换专业人员，直至终止合同并要求供应商承担相应的赔偿责任。</w:t>
      </w:r>
    </w:p>
    <w:p w14:paraId="753DE356">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（二）采购人的义务</w:t>
      </w:r>
    </w:p>
    <w:p w14:paraId="083E7558">
      <w:pPr>
        <w:widowControl/>
        <w:tabs>
          <w:tab w:val="left" w:pos="0"/>
          <w:tab w:val="left" w:pos="437"/>
          <w:tab w:val="left" w:pos="1311"/>
        </w:tabs>
        <w:adjustRightInd w:val="0"/>
        <w:snapToGrid w:val="0"/>
        <w:spacing w:line="440" w:lineRule="exact"/>
        <w:ind w:firstLine="480" w:firstLineChars="200"/>
        <w:jc w:val="left"/>
        <w:rPr>
          <w:rFonts w:hint="default" w:ascii="宋体" w:hAnsi="宋体" w:cs="宋体"/>
          <w:kern w:val="0"/>
          <w:sz w:val="24"/>
          <w:szCs w:val="21"/>
          <w:lang w:val="en-US" w:eastAsia="zh-CN"/>
        </w:rPr>
      </w:pPr>
      <w:r>
        <w:rPr>
          <w:rFonts w:hint="eastAsia" w:ascii="宋体" w:hAnsi="宋体" w:cs="宋体"/>
          <w:kern w:val="0"/>
          <w:sz w:val="24"/>
          <w:szCs w:val="21"/>
          <w:lang w:val="en-US" w:eastAsia="zh-CN"/>
        </w:rPr>
        <w:t>1.服务期间，由采购人及相关部门定期对项目进行阶段性验收，服务未达到采购人要求，供应商继续完善至符合采购人要求。</w:t>
      </w:r>
    </w:p>
    <w:p w14:paraId="3DAC3287">
      <w:pPr>
        <w:widowControl/>
        <w:tabs>
          <w:tab w:val="left" w:pos="0"/>
          <w:tab w:val="left" w:pos="437"/>
          <w:tab w:val="left" w:pos="1311"/>
        </w:tabs>
        <w:adjustRightInd w:val="0"/>
        <w:snapToGrid w:val="0"/>
        <w:spacing w:line="440" w:lineRule="exact"/>
        <w:ind w:firstLine="480" w:firstLineChars="200"/>
        <w:jc w:val="left"/>
        <w:rPr>
          <w:rFonts w:hint="default" w:ascii="宋体" w:hAnsi="宋体" w:cs="宋体"/>
          <w:kern w:val="0"/>
          <w:sz w:val="24"/>
          <w:szCs w:val="21"/>
          <w:lang w:val="en-US" w:eastAsia="zh-CN"/>
        </w:rPr>
      </w:pPr>
      <w:r>
        <w:rPr>
          <w:rFonts w:hint="eastAsia" w:ascii="宋体" w:hAnsi="宋体" w:cs="宋体"/>
          <w:kern w:val="0"/>
          <w:sz w:val="24"/>
          <w:szCs w:val="21"/>
          <w:lang w:val="en-US" w:eastAsia="zh-CN"/>
        </w:rPr>
        <w:t>2.对供应商的服务进度、阶段性成果进行监督、检查。</w:t>
      </w:r>
    </w:p>
    <w:p w14:paraId="4ECE1615">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九、供应商的权利及义务</w:t>
      </w:r>
    </w:p>
    <w:p w14:paraId="1110E967">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（一）供应商的权利</w:t>
      </w:r>
    </w:p>
    <w:p w14:paraId="0D63C68A">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1.供应商在项目实施过程中，有到项目现场勘察的权利。</w:t>
      </w:r>
    </w:p>
    <w:p w14:paraId="69EE7A0D">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（二）供应商的义务</w:t>
      </w:r>
    </w:p>
    <w:p w14:paraId="190F04C8">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1．向采购人提供与本项目有关的资料，包括服务项目人员的资质证书及承担本业务的专业人员名单、工作计划等，并按合同专用条件中约定的范围实施业务。</w:t>
      </w:r>
    </w:p>
    <w:p w14:paraId="3F998B3E">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2．供应商在履行本合同期间，向采购人提供与本项目有关的一切服务。</w:t>
      </w:r>
    </w:p>
    <w:p w14:paraId="3F25A95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3．在服务范围内按工作内容和要求制定详细的方案，建立服务质量标准、保证项目高质量、高标准完成。</w:t>
      </w:r>
    </w:p>
    <w:p w14:paraId="0C0F8227">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4．在项目评审期间，供应商应按照采购人的要求保证及时到项目现场实施勘验。同时，针对项目出现较大争议的情况，供应商应提出解决争议的有效方案，获得相关主管部门批复通过。</w:t>
      </w:r>
    </w:p>
    <w:p w14:paraId="0F02C6D1">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5、项目完成后，供应商应及时向采购人提供资料及相关文件。</w:t>
      </w:r>
    </w:p>
    <w:p w14:paraId="0B924C8B">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十、违约责任</w:t>
      </w:r>
    </w:p>
    <w:p w14:paraId="267D5DE3">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一）采购人因未及时向供应商提供项目启动所需资料、协调地方关系造成服务期延误，每延误1日则本合同服务期限延长1日，以此类推；因资料真实性给供应商造成损失和产生相关连带责任时，采购人除按供应商要求进行赔偿外还需承担因连带责任产生的所有责任。</w:t>
      </w:r>
    </w:p>
    <w:p w14:paraId="319F2CE8">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二）因供应商原因造成服务期延误（自然灾害等不可抗力除外），采购人有权从未付款项中按每日0.5‰合同价款扣除违约金，此违约以30日为限；若采购人未按约定时间付款，则供应商有权按每日0.5‰合同价款收取违约金。</w:t>
      </w:r>
    </w:p>
    <w:p w14:paraId="312CA0AA">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w:t>
      </w:r>
      <w:r>
        <w:rPr>
          <w:rFonts w:hint="eastAsia" w:ascii="宋体" w:hAnsi="宋体" w:cs="宋体"/>
          <w:b/>
          <w:bCs/>
          <w:kern w:val="0"/>
          <w:sz w:val="24"/>
          <w:szCs w:val="21"/>
          <w:lang w:eastAsia="zh-CN"/>
        </w:rPr>
        <w:t>一</w:t>
      </w:r>
      <w:r>
        <w:rPr>
          <w:rFonts w:hint="eastAsia" w:ascii="宋体" w:hAnsi="宋体" w:cs="宋体"/>
          <w:b/>
          <w:bCs/>
          <w:kern w:val="0"/>
          <w:sz w:val="24"/>
          <w:szCs w:val="21"/>
        </w:rPr>
        <w:t>、不可抗力事件处理</w:t>
      </w:r>
    </w:p>
    <w:p w14:paraId="606D32F6">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1. 在合同有效期内，任何一方因不可抗力事件导致不能履行合同，则合同履行期可延长，其延长期与不可抗力影响期相同。</w:t>
      </w:r>
    </w:p>
    <w:p w14:paraId="3EB42F87">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2. 不可抗力事件发生后，应立即通知对方，并寄送有关权威机构出具的证明。</w:t>
      </w:r>
    </w:p>
    <w:p w14:paraId="7B4D0D25">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3. 不可抗力事件延续120天以上，双方应通过友好协商，确定是否继续履行合同。</w:t>
      </w:r>
    </w:p>
    <w:p w14:paraId="7AC4CDA5">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w:t>
      </w:r>
      <w:r>
        <w:rPr>
          <w:rFonts w:hint="eastAsia" w:ascii="宋体" w:hAnsi="宋体" w:cs="宋体"/>
          <w:b/>
          <w:bCs/>
          <w:kern w:val="0"/>
          <w:sz w:val="24"/>
          <w:szCs w:val="21"/>
          <w:lang w:val="en-US" w:eastAsia="zh-CN"/>
        </w:rPr>
        <w:t>二</w:t>
      </w:r>
      <w:r>
        <w:rPr>
          <w:rFonts w:hint="eastAsia" w:ascii="宋体" w:hAnsi="宋体" w:cs="宋体"/>
          <w:b/>
          <w:bCs/>
          <w:kern w:val="0"/>
          <w:sz w:val="24"/>
          <w:szCs w:val="21"/>
        </w:rPr>
        <w:t>、诉讼</w:t>
      </w:r>
    </w:p>
    <w:p w14:paraId="6113F913">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kern w:val="0"/>
          <w:sz w:val="24"/>
          <w:szCs w:val="21"/>
          <w:lang w:val="en-US" w:eastAsia="zh-CN"/>
        </w:rPr>
      </w:pPr>
      <w:r>
        <w:rPr>
          <w:rFonts w:hint="eastAsia" w:ascii="宋体" w:hAnsi="宋体" w:cs="宋体"/>
          <w:kern w:val="0"/>
          <w:sz w:val="24"/>
          <w:szCs w:val="21"/>
          <w:lang w:val="en-US" w:eastAsia="zh-CN"/>
        </w:rPr>
        <w:t>双方在执行合同中所发生的一切争议，应通过协商解决。如协商不成，可向采购人所在地法院起诉。</w:t>
      </w:r>
    </w:p>
    <w:p w14:paraId="715F2323">
      <w:pPr>
        <w:widowControl/>
        <w:tabs>
          <w:tab w:val="left" w:pos="0"/>
          <w:tab w:val="left" w:pos="437"/>
          <w:tab w:val="left" w:pos="1311"/>
        </w:tabs>
        <w:adjustRightInd w:val="0"/>
        <w:snapToGrid w:val="0"/>
        <w:spacing w:line="440" w:lineRule="exact"/>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十三、合同生效及其它</w:t>
      </w:r>
      <w:bookmarkStart w:id="9" w:name="_GoBack"/>
      <w:bookmarkEnd w:id="9"/>
    </w:p>
    <w:p w14:paraId="1721AB64">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rPr>
        <w:t>1、本合同经采购人、供应商法定代表人或其委托人签字并加盖公章后生效。</w:t>
      </w:r>
    </w:p>
    <w:p w14:paraId="4BD39D4C">
      <w:pPr>
        <w:widowControl/>
        <w:tabs>
          <w:tab w:val="left" w:pos="0"/>
          <w:tab w:val="left" w:pos="437"/>
          <w:tab w:val="left" w:pos="1311"/>
        </w:tabs>
        <w:adjustRightInd w:val="0"/>
        <w:snapToGrid w:val="0"/>
        <w:spacing w:line="440" w:lineRule="exact"/>
        <w:ind w:firstLine="480" w:firstLineChars="200"/>
        <w:jc w:val="left"/>
        <w:rPr>
          <w:rFonts w:hint="eastAsia" w:ascii="宋体" w:hAnsi="宋体" w:cs="宋体"/>
          <w:bCs/>
          <w:sz w:val="24"/>
        </w:rPr>
      </w:pPr>
      <w:r>
        <w:rPr>
          <w:rFonts w:hint="eastAsia" w:ascii="宋体" w:hAnsi="宋体" w:cs="宋体"/>
          <w:bCs/>
          <w:sz w:val="24"/>
        </w:rPr>
        <w:t>2、本合同一式陆份，采购人、供应商各执贰份，其余相关部门各壹份。</w:t>
      </w:r>
    </w:p>
    <w:p w14:paraId="7AFCD4A5">
      <w:pPr>
        <w:pStyle w:val="4"/>
        <w:spacing w:line="440" w:lineRule="exact"/>
        <w:rPr>
          <w:rFonts w:hint="eastAsia" w:ascii="宋体" w:hAnsi="宋体" w:cs="宋体"/>
          <w:kern w:val="0"/>
          <w:szCs w:val="21"/>
        </w:rPr>
      </w:pPr>
    </w:p>
    <w:p w14:paraId="31CFFDC7">
      <w:pPr>
        <w:rPr>
          <w:rFonts w:hint="eastAsia"/>
        </w:rPr>
      </w:pPr>
    </w:p>
    <w:p w14:paraId="3166A552">
      <w:pPr>
        <w:pStyle w:val="4"/>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采购人（</w:t>
      </w:r>
      <w:r>
        <w:rPr>
          <w:rFonts w:hint="eastAsia" w:ascii="宋体" w:hAnsi="宋体" w:cs="宋体"/>
          <w:color w:val="auto"/>
          <w:kern w:val="0"/>
          <w:szCs w:val="21"/>
          <w:lang w:val="en-US" w:eastAsia="zh-CN"/>
        </w:rPr>
        <w:t>公</w:t>
      </w:r>
      <w:r>
        <w:rPr>
          <w:rFonts w:hint="eastAsia" w:ascii="宋体" w:hAnsi="宋体" w:cs="宋体"/>
          <w:color w:val="auto"/>
          <w:kern w:val="0"/>
          <w:szCs w:val="21"/>
        </w:rPr>
        <w:t xml:space="preserve">章）：                     </w:t>
      </w:r>
      <w:r>
        <w:rPr>
          <w:rFonts w:ascii="宋体" w:hAnsi="宋体" w:cs="宋体"/>
          <w:color w:val="auto"/>
          <w:kern w:val="0"/>
          <w:szCs w:val="21"/>
        </w:rPr>
        <w:t xml:space="preserve"> </w:t>
      </w:r>
      <w:r>
        <w:rPr>
          <w:rFonts w:hint="eastAsia" w:ascii="宋体" w:hAnsi="宋体" w:cs="宋体"/>
          <w:color w:val="auto"/>
          <w:kern w:val="0"/>
          <w:szCs w:val="21"/>
        </w:rPr>
        <w:t xml:space="preserve">       供应商（</w:t>
      </w:r>
      <w:r>
        <w:rPr>
          <w:rFonts w:hint="eastAsia" w:ascii="宋体" w:hAnsi="宋体" w:cs="宋体"/>
          <w:color w:val="auto"/>
          <w:kern w:val="0"/>
          <w:szCs w:val="21"/>
          <w:lang w:val="en-US" w:eastAsia="zh-CN"/>
        </w:rPr>
        <w:t>公</w:t>
      </w:r>
      <w:r>
        <w:rPr>
          <w:rFonts w:hint="eastAsia" w:ascii="宋体" w:hAnsi="宋体" w:cs="宋体"/>
          <w:color w:val="auto"/>
          <w:kern w:val="0"/>
          <w:szCs w:val="21"/>
        </w:rPr>
        <w:t xml:space="preserve">章）：         </w:t>
      </w:r>
    </w:p>
    <w:p w14:paraId="3DFC9A75">
      <w:pPr>
        <w:pStyle w:val="4"/>
        <w:spacing w:line="440" w:lineRule="exact"/>
        <w:rPr>
          <w:rFonts w:ascii="宋体" w:hAnsi="宋体" w:cs="宋体"/>
          <w:color w:val="auto"/>
          <w:kern w:val="0"/>
          <w:szCs w:val="21"/>
        </w:rPr>
      </w:pPr>
    </w:p>
    <w:p w14:paraId="057E48AA">
      <w:pPr>
        <w:pStyle w:val="4"/>
        <w:spacing w:line="440" w:lineRule="exact"/>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法定代表人或委托代理人：          </w:t>
      </w:r>
      <w:r>
        <w:rPr>
          <w:rFonts w:ascii="宋体" w:hAnsi="宋体" w:cs="宋体"/>
          <w:color w:val="auto"/>
          <w:kern w:val="0"/>
          <w:szCs w:val="21"/>
        </w:rPr>
        <w:t xml:space="preserve">   </w:t>
      </w:r>
      <w:r>
        <w:rPr>
          <w:rFonts w:hint="eastAsia" w:ascii="宋体" w:hAnsi="宋体" w:cs="宋体"/>
          <w:color w:val="auto"/>
          <w:kern w:val="0"/>
          <w:szCs w:val="21"/>
        </w:rPr>
        <w:t xml:space="preserve">      　法定代表人或委托代理人：  </w:t>
      </w:r>
    </w:p>
    <w:p w14:paraId="784E6939">
      <w:pPr>
        <w:pStyle w:val="4"/>
        <w:spacing w:line="440" w:lineRule="exact"/>
        <w:ind w:firstLine="600" w:firstLineChars="250"/>
        <w:rPr>
          <w:rFonts w:hint="eastAsia" w:ascii="宋体" w:hAnsi="宋体" w:cs="宋体"/>
          <w:color w:val="auto"/>
          <w:kern w:val="0"/>
          <w:szCs w:val="21"/>
        </w:rPr>
      </w:pPr>
    </w:p>
    <w:p w14:paraId="4FD3850A">
      <w:pPr>
        <w:pStyle w:val="4"/>
        <w:spacing w:line="440" w:lineRule="exact"/>
        <w:ind w:firstLine="840" w:firstLineChars="350"/>
      </w:pPr>
      <w:r>
        <w:rPr>
          <w:rFonts w:hint="eastAsia" w:ascii="宋体" w:hAnsi="宋体" w:cs="宋体"/>
          <w:color w:val="auto"/>
          <w:kern w:val="0"/>
          <w:szCs w:val="21"/>
        </w:rPr>
        <w:t xml:space="preserve">年   月   日                      </w:t>
      </w:r>
      <w:r>
        <w:rPr>
          <w:rFonts w:ascii="宋体" w:hAnsi="宋体" w:cs="宋体"/>
          <w:color w:val="auto"/>
          <w:kern w:val="0"/>
          <w:szCs w:val="21"/>
        </w:rPr>
        <w:t xml:space="preserve">  </w:t>
      </w:r>
      <w:r>
        <w:rPr>
          <w:rFonts w:hint="eastAsia" w:ascii="宋体" w:hAnsi="宋体" w:cs="宋体"/>
          <w:color w:val="auto"/>
          <w:kern w:val="0"/>
          <w:szCs w:val="21"/>
        </w:rPr>
        <w:t xml:space="preserve">         年   月   日</w:t>
      </w:r>
    </w:p>
    <w:sectPr>
      <w:pgSz w:w="11906" w:h="16838"/>
      <w:pgMar w:top="1587" w:right="1587" w:bottom="1587"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C54549"/>
    <w:rsid w:val="0D3A20AB"/>
    <w:rsid w:val="13D11138"/>
    <w:rsid w:val="1EDB428A"/>
    <w:rsid w:val="205630F0"/>
    <w:rsid w:val="273E668C"/>
    <w:rsid w:val="2F077AEC"/>
    <w:rsid w:val="308710A4"/>
    <w:rsid w:val="32C5658A"/>
    <w:rsid w:val="379C5435"/>
    <w:rsid w:val="456046D6"/>
    <w:rsid w:val="46E62014"/>
    <w:rsid w:val="47BD7570"/>
    <w:rsid w:val="4F334479"/>
    <w:rsid w:val="5412733E"/>
    <w:rsid w:val="6FEE1FCA"/>
    <w:rsid w:val="70D34D1C"/>
    <w:rsid w:val="70DC62C7"/>
    <w:rsid w:val="7F9B5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4">
    <w:name w:val="Body Text"/>
    <w:basedOn w:val="1"/>
    <w:next w:val="1"/>
    <w:qFormat/>
    <w:uiPriority w:val="99"/>
    <w:rPr>
      <w:color w:val="993300"/>
      <w:sz w:val="24"/>
    </w:rPr>
  </w:style>
  <w:style w:type="paragraph" w:styleId="5">
    <w:name w:val="Subtitle"/>
    <w:basedOn w:val="1"/>
    <w:next w:val="1"/>
    <w:qFormat/>
    <w:uiPriority w:val="0"/>
    <w:pPr>
      <w:keepNext/>
      <w:adjustRightInd w:val="0"/>
      <w:spacing w:before="240" w:after="60" w:line="312" w:lineRule="atLeast"/>
      <w:jc w:val="center"/>
      <w:textAlignment w:val="baseline"/>
    </w:pPr>
    <w:rPr>
      <w:rFonts w:ascii="Arial" w:hAnsi="Arial"/>
      <w:b/>
      <w:kern w:val="0"/>
      <w:sz w:val="32"/>
      <w:szCs w:val="20"/>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2380</Words>
  <Characters>2436</Characters>
  <Lines>0</Lines>
  <Paragraphs>0</Paragraphs>
  <TotalTime>0</TotalTime>
  <ScaleCrop>false</ScaleCrop>
  <LinksUpToDate>false</LinksUpToDate>
  <CharactersWithSpaces>2707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2025-07-24T14:57:00Z</dcterms:created>
  <dc:creator>msi</dc:creator>
  <cp:lastModifiedBy>WPS_1730446345</cp:lastModifiedBy>
  <dcterms:modified xsi:type="dcterms:W3CDTF">2026-07-09T14:39:52Z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eyJoZGlkIjoiYTk5ODUyYTgyNTY4OGUzMmEyYmJiMDE0NmU0YjliZGYiLCJ1c2VySWQiOiIxNjUwNzU2NTAyIn0=</vt:lpwstr>
  </property>
  <property fmtid="{D5CDD505-2E9C-101B-9397-08002B2CF9AE}" pid="4" name="ICV">
    <vt:lpwstr>B7CA3F5DD53541B89A25A61614AE22F6_12</vt:lpwstr>
  </property>
</Properties>
</file>