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4D366D">
      <w:pPr>
        <w:widowControl/>
        <w:kinsoku w:val="0"/>
        <w:overflowPunct w:val="0"/>
        <w:autoSpaceDE w:val="0"/>
        <w:autoSpaceDN w:val="0"/>
        <w:adjustRightInd w:val="0"/>
        <w:snapToGrid w:val="0"/>
        <w:spacing w:before="99" w:line="224" w:lineRule="auto"/>
        <w:jc w:val="center"/>
        <w:textAlignment w:val="baseline"/>
        <w:outlineLvl w:val="0"/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32"/>
          <w:szCs w:val="32"/>
          <w:highlight w:val="none"/>
          <w:lang w:eastAsia="zh-CN"/>
        </w:rPr>
        <w:t>西安高新区集贤园老大路应急污水处理站运维服务项目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32"/>
          <w:szCs w:val="32"/>
          <w:highlight w:val="none"/>
        </w:rPr>
        <w:t>采购需求</w:t>
      </w:r>
    </w:p>
    <w:p w14:paraId="10B4030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</w:p>
    <w:p w14:paraId="02CC2E1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Times New Roman" w:hAnsi="Times New Roman" w:eastAsia="宋体" w:cs="Times New Roman"/>
          <w:b/>
          <w:bCs/>
          <w:snapToGrid w:val="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kern w:val="0"/>
          <w:sz w:val="24"/>
          <w:highlight w:val="none"/>
        </w:rPr>
        <w:t>一</w:t>
      </w:r>
      <w:r>
        <w:rPr>
          <w:rFonts w:ascii="Times New Roman" w:hAnsi="Times New Roman" w:eastAsia="宋体" w:cs="Times New Roman"/>
          <w:b/>
          <w:bCs/>
          <w:snapToGrid w:val="0"/>
          <w:kern w:val="0"/>
          <w:sz w:val="24"/>
          <w:highlight w:val="none"/>
        </w:rPr>
        <w:t>、项目概况</w:t>
      </w:r>
    </w:p>
    <w:p w14:paraId="2959790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bookmarkStart w:id="0" w:name="OLE_LINK1"/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老大路2000m³应急污水处理项目，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eastAsia="zh-CN"/>
        </w:rPr>
        <w:t>包含一体化污水处理站（2000m³/d）的设计、设备供货、安装、调试、运维等相关内容，运维服务期为初步验收合格之日起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12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eastAsia="zh-CN"/>
        </w:rPr>
        <w:t>个月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。</w:t>
      </w:r>
    </w:p>
    <w:bookmarkEnd w:id="0"/>
    <w:p w14:paraId="38738FD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Times New Roman" w:hAnsi="Times New Roman" w:eastAsia="宋体" w:cs="Times New Roman"/>
          <w:b/>
          <w:bCs/>
          <w:snapToGrid w:val="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kern w:val="0"/>
          <w:sz w:val="24"/>
          <w:highlight w:val="none"/>
        </w:rPr>
        <w:t>二、服务模式</w:t>
      </w:r>
    </w:p>
    <w:p w14:paraId="178A21D9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拟建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新增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应急污水处理站项目地址位于陕西省西安市周至县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集贤园老大路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，应急总处理规模为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2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000m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vertAlign w:val="superscript"/>
        </w:rPr>
        <w:t>3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/d。</w:t>
      </w:r>
    </w:p>
    <w:p w14:paraId="2545279F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采用“设备租赁+委托运维”模式，服务期内，运维单位提供一体化污水处理应急设备，并负责设计、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eastAsia="zh-CN"/>
        </w:rPr>
        <w:t>设备供货、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运输、安装、调试、运行、维护等，服务期满后，运维单位负责将污水处理设备进行拆除回收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。</w:t>
      </w:r>
    </w:p>
    <w:p w14:paraId="277E25C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三</w:t>
      </w:r>
      <w:r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、进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水水</w:t>
      </w:r>
      <w:r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质情况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、出水要求</w:t>
      </w:r>
    </w:p>
    <w:p w14:paraId="308CDD3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hint="eastAsia" w:ascii="宋体" w:hAnsi="宋体"/>
          <w:b/>
          <w:bCs/>
          <w:sz w:val="24"/>
          <w:highlight w:val="none"/>
        </w:rPr>
      </w:pPr>
      <w:r>
        <w:rPr>
          <w:rFonts w:hint="eastAsia" w:ascii="宋体" w:hAnsi="宋体"/>
          <w:b/>
          <w:bCs/>
          <w:sz w:val="24"/>
          <w:highlight w:val="none"/>
        </w:rPr>
        <w:t>1、进水水质情况</w:t>
      </w:r>
    </w:p>
    <w:p w14:paraId="24CFD08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本项目污水来源主要为：园区及周边居民产生的生活污水的混合污水。其参考进水水质指标如下表：</w:t>
      </w:r>
    </w:p>
    <w:p w14:paraId="7FA51DAF">
      <w:pPr>
        <w:ind w:firstLine="480" w:firstLineChars="200"/>
        <w:jc w:val="center"/>
        <w:textAlignment w:val="baseline"/>
        <w:rPr>
          <w:rFonts w:ascii="Times New Roman" w:hAnsi="Times New Roman" w:eastAsia="宋体" w:cs="Times New Roman"/>
          <w:snapToGrid w:val="0"/>
          <w:kern w:val="0"/>
          <w:sz w:val="24"/>
          <w:highlight w:val="none"/>
        </w:rPr>
      </w:pPr>
      <w:r>
        <w:rPr>
          <w:rFonts w:ascii="Times New Roman" w:hAnsi="Times New Roman" w:eastAsia="宋体" w:cs="Times New Roman"/>
          <w:snapToGrid w:val="0"/>
          <w:kern w:val="0"/>
          <w:sz w:val="24"/>
          <w:highlight w:val="none"/>
        </w:rPr>
        <w:t>表1：项目进水水质表</w:t>
      </w:r>
    </w:p>
    <w:tbl>
      <w:tblPr>
        <w:tblStyle w:val="11"/>
        <w:tblW w:w="9095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13"/>
        <w:gridCol w:w="1040"/>
        <w:gridCol w:w="1040"/>
        <w:gridCol w:w="1040"/>
        <w:gridCol w:w="1040"/>
        <w:gridCol w:w="1040"/>
        <w:gridCol w:w="1040"/>
        <w:gridCol w:w="1042"/>
      </w:tblGrid>
      <w:tr w14:paraId="21A850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1813" w:type="dxa"/>
            <w:vAlign w:val="center"/>
          </w:tcPr>
          <w:p w14:paraId="0DEB524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  <w:t>项目</w:t>
            </w:r>
          </w:p>
        </w:tc>
        <w:tc>
          <w:tcPr>
            <w:tcW w:w="1040" w:type="dxa"/>
            <w:vAlign w:val="center"/>
          </w:tcPr>
          <w:p w14:paraId="6078301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  <w:t>pH</w:t>
            </w:r>
          </w:p>
        </w:tc>
        <w:tc>
          <w:tcPr>
            <w:tcW w:w="1040" w:type="dxa"/>
            <w:vAlign w:val="center"/>
          </w:tcPr>
          <w:p w14:paraId="4BAB584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  <w:t>CODcr</w:t>
            </w:r>
          </w:p>
        </w:tc>
        <w:tc>
          <w:tcPr>
            <w:tcW w:w="1040" w:type="dxa"/>
            <w:vAlign w:val="center"/>
          </w:tcPr>
          <w:p w14:paraId="5BFA207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  <w:t>BOD</w:t>
            </w: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vertAlign w:val="subscript"/>
                <w:lang w:eastAsia="en-US"/>
              </w:rPr>
              <w:t>5</w:t>
            </w:r>
          </w:p>
        </w:tc>
        <w:tc>
          <w:tcPr>
            <w:tcW w:w="1040" w:type="dxa"/>
            <w:vAlign w:val="center"/>
          </w:tcPr>
          <w:p w14:paraId="40C5E7A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  <w:t>SS</w:t>
            </w:r>
          </w:p>
        </w:tc>
        <w:tc>
          <w:tcPr>
            <w:tcW w:w="1040" w:type="dxa"/>
            <w:vAlign w:val="center"/>
          </w:tcPr>
          <w:p w14:paraId="01C62BD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  <w:t>NH3-N</w:t>
            </w:r>
          </w:p>
        </w:tc>
        <w:tc>
          <w:tcPr>
            <w:tcW w:w="1040" w:type="dxa"/>
            <w:vAlign w:val="center"/>
          </w:tcPr>
          <w:p w14:paraId="63C6EA6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  <w:t>TN</w:t>
            </w:r>
          </w:p>
        </w:tc>
        <w:tc>
          <w:tcPr>
            <w:tcW w:w="1042" w:type="dxa"/>
            <w:vAlign w:val="center"/>
          </w:tcPr>
          <w:p w14:paraId="33113C9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  <w:t>TP</w:t>
            </w:r>
          </w:p>
        </w:tc>
      </w:tr>
      <w:tr w14:paraId="2EF22F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  <w:jc w:val="center"/>
        </w:trPr>
        <w:tc>
          <w:tcPr>
            <w:tcW w:w="1813" w:type="dxa"/>
            <w:vAlign w:val="center"/>
          </w:tcPr>
          <w:p w14:paraId="4B0832F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  <w:lang w:eastAsia="en-US"/>
              </w:rPr>
              <w:t>进水水质</w:t>
            </w:r>
          </w:p>
        </w:tc>
        <w:tc>
          <w:tcPr>
            <w:tcW w:w="1040" w:type="dxa"/>
            <w:vAlign w:val="center"/>
          </w:tcPr>
          <w:p w14:paraId="07FE5B6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  <w:t>6-9</w:t>
            </w:r>
          </w:p>
        </w:tc>
        <w:tc>
          <w:tcPr>
            <w:tcW w:w="1040" w:type="dxa"/>
            <w:vAlign w:val="center"/>
          </w:tcPr>
          <w:p w14:paraId="5C7D673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  <w:t>500</w:t>
            </w:r>
          </w:p>
        </w:tc>
        <w:tc>
          <w:tcPr>
            <w:tcW w:w="1040" w:type="dxa"/>
            <w:vAlign w:val="center"/>
          </w:tcPr>
          <w:p w14:paraId="74655A1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  <w:t>260</w:t>
            </w:r>
          </w:p>
        </w:tc>
        <w:tc>
          <w:tcPr>
            <w:tcW w:w="1040" w:type="dxa"/>
            <w:vAlign w:val="center"/>
          </w:tcPr>
          <w:p w14:paraId="0C62B6E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  <w:t>400</w:t>
            </w:r>
          </w:p>
        </w:tc>
        <w:tc>
          <w:tcPr>
            <w:tcW w:w="1040" w:type="dxa"/>
            <w:vAlign w:val="center"/>
          </w:tcPr>
          <w:p w14:paraId="6024453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  <w:t>40</w:t>
            </w:r>
          </w:p>
        </w:tc>
        <w:tc>
          <w:tcPr>
            <w:tcW w:w="1040" w:type="dxa"/>
            <w:vAlign w:val="center"/>
          </w:tcPr>
          <w:p w14:paraId="0982090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  <w:t>55</w:t>
            </w:r>
          </w:p>
        </w:tc>
        <w:tc>
          <w:tcPr>
            <w:tcW w:w="1042" w:type="dxa"/>
            <w:vAlign w:val="center"/>
          </w:tcPr>
          <w:p w14:paraId="7F69C5C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90" w:lineRule="exact"/>
              <w:jc w:val="center"/>
              <w:textAlignment w:val="baseline"/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snapToGrid w:val="0"/>
                <w:kern w:val="0"/>
                <w:sz w:val="24"/>
                <w:highlight w:val="none"/>
              </w:rPr>
              <w:t>6</w:t>
            </w:r>
          </w:p>
        </w:tc>
      </w:tr>
    </w:tbl>
    <w:p w14:paraId="6AFCAA19">
      <w:pPr>
        <w:pStyle w:val="4"/>
        <w:spacing w:line="360" w:lineRule="auto"/>
        <w:ind w:firstLine="482" w:firstLineChars="200"/>
        <w:rPr>
          <w:rFonts w:hint="eastAsia"/>
          <w:b/>
          <w:bCs/>
          <w:highlight w:val="none"/>
        </w:rPr>
      </w:pPr>
      <w:r>
        <w:rPr>
          <w:rFonts w:hint="eastAsia"/>
          <w:b/>
          <w:bCs/>
          <w:highlight w:val="none"/>
        </w:rPr>
        <w:t>2</w:t>
      </w:r>
      <w:r>
        <w:rPr>
          <w:b/>
          <w:bCs/>
          <w:highlight w:val="none"/>
        </w:rPr>
        <w:t>、出水水质排放标准</w:t>
      </w:r>
    </w:p>
    <w:p w14:paraId="55B767A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满足《陕西省黄河流域污水综合排放标准》DB61/224-2018表1中A标准。</w:t>
      </w:r>
    </w:p>
    <w:p w14:paraId="1E972F9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四、技术服务要求</w:t>
      </w:r>
    </w:p>
    <w:p w14:paraId="4252F6F8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1、技术规格要求</w:t>
      </w:r>
    </w:p>
    <w:p w14:paraId="2572A5BD">
      <w:pPr>
        <w:pStyle w:val="4"/>
        <w:jc w:val="center"/>
        <w:rPr>
          <w:rFonts w:hint="eastAsia"/>
          <w:highlight w:val="none"/>
        </w:rPr>
      </w:pPr>
      <w:r>
        <w:rPr>
          <w:rFonts w:hint="eastAsia"/>
          <w:highlight w:val="none"/>
        </w:rPr>
        <w:t>表2  技术规格要求</w:t>
      </w:r>
    </w:p>
    <w:tbl>
      <w:tblPr>
        <w:tblStyle w:val="7"/>
        <w:tblW w:w="97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4"/>
        <w:gridCol w:w="1765"/>
        <w:gridCol w:w="7241"/>
      </w:tblGrid>
      <w:tr w14:paraId="7EA01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126F4A67">
            <w:pPr>
              <w:pStyle w:val="12"/>
              <w:autoSpaceDE w:val="0"/>
              <w:autoSpaceDN w:val="0"/>
              <w:spacing w:before="104" w:line="221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pacing w:val="-6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62174572">
            <w:pPr>
              <w:pStyle w:val="12"/>
              <w:autoSpaceDE w:val="0"/>
              <w:autoSpaceDN w:val="0"/>
              <w:spacing w:before="103" w:line="22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pacing w:val="19"/>
                <w:sz w:val="24"/>
                <w:szCs w:val="24"/>
                <w:highlight w:val="none"/>
              </w:rPr>
              <w:t>项目</w:t>
            </w:r>
          </w:p>
        </w:tc>
        <w:tc>
          <w:tcPr>
            <w:tcW w:w="7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2D42740C">
            <w:pPr>
              <w:pStyle w:val="12"/>
              <w:autoSpaceDE w:val="0"/>
              <w:autoSpaceDN w:val="0"/>
              <w:spacing w:before="104" w:line="221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pacing w:val="-6"/>
                <w:sz w:val="24"/>
                <w:szCs w:val="24"/>
                <w:highlight w:val="none"/>
              </w:rPr>
              <w:t>要求</w:t>
            </w:r>
          </w:p>
        </w:tc>
      </w:tr>
      <w:tr w14:paraId="5E66DE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671CB704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3C077230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处理量</w:t>
            </w:r>
          </w:p>
        </w:tc>
        <w:tc>
          <w:tcPr>
            <w:tcW w:w="7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2CC6080A">
            <w:pPr>
              <w:pStyle w:val="12"/>
              <w:autoSpaceDE w:val="0"/>
              <w:autoSpaceDN w:val="0"/>
              <w:spacing w:before="58" w:line="198" w:lineRule="auto"/>
              <w:ind w:left="400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2</w:t>
            </w: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0</w:t>
            </w: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00吨/日</w:t>
            </w:r>
          </w:p>
        </w:tc>
      </w:tr>
      <w:tr w14:paraId="3DDE07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1F99E7A6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6EB7642E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处理工艺</w:t>
            </w:r>
          </w:p>
        </w:tc>
        <w:tc>
          <w:tcPr>
            <w:tcW w:w="7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0992E424">
            <w:pPr>
              <w:pStyle w:val="12"/>
              <w:autoSpaceDE w:val="0"/>
              <w:autoSpaceDN w:val="0"/>
              <w:spacing w:before="58" w:line="198" w:lineRule="auto"/>
              <w:ind w:left="400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A²/</w:t>
            </w: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O/A</w:t>
            </w: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+MBR工艺</w:t>
            </w:r>
          </w:p>
        </w:tc>
      </w:tr>
      <w:tr w14:paraId="193E69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67B13094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1DB317AB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设备材质</w:t>
            </w:r>
          </w:p>
        </w:tc>
        <w:tc>
          <w:tcPr>
            <w:tcW w:w="7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326361F8">
            <w:pPr>
              <w:pStyle w:val="12"/>
              <w:autoSpaceDE w:val="0"/>
              <w:autoSpaceDN w:val="0"/>
              <w:spacing w:before="58" w:line="198" w:lineRule="auto"/>
              <w:ind w:left="400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设备主体采用碳钢防腐材质</w:t>
            </w:r>
          </w:p>
        </w:tc>
      </w:tr>
      <w:tr w14:paraId="6AFE01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5F654094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4377E198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电源电压</w:t>
            </w:r>
          </w:p>
        </w:tc>
        <w:tc>
          <w:tcPr>
            <w:tcW w:w="7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6C47DBD0">
            <w:pPr>
              <w:pStyle w:val="12"/>
              <w:autoSpaceDE w:val="0"/>
              <w:autoSpaceDN w:val="0"/>
              <w:spacing w:before="58" w:line="198" w:lineRule="auto"/>
              <w:ind w:left="400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380V</w:t>
            </w:r>
          </w:p>
        </w:tc>
      </w:tr>
      <w:tr w14:paraId="0E45C8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1CCE4B0F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4CAC300A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安装方式</w:t>
            </w:r>
          </w:p>
        </w:tc>
        <w:tc>
          <w:tcPr>
            <w:tcW w:w="7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53F32B55">
            <w:pPr>
              <w:pStyle w:val="12"/>
              <w:autoSpaceDE w:val="0"/>
              <w:autoSpaceDN w:val="0"/>
              <w:spacing w:before="58" w:line="198" w:lineRule="auto"/>
              <w:ind w:left="400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地上式安装</w:t>
            </w:r>
          </w:p>
        </w:tc>
      </w:tr>
      <w:tr w14:paraId="036654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7533FD73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552BEC5D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控制要求</w:t>
            </w:r>
          </w:p>
        </w:tc>
        <w:tc>
          <w:tcPr>
            <w:tcW w:w="7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4F9FC241">
            <w:pPr>
              <w:pStyle w:val="12"/>
              <w:autoSpaceDE w:val="0"/>
              <w:autoSpaceDN w:val="0"/>
              <w:spacing w:before="58" w:line="198" w:lineRule="auto"/>
              <w:ind w:left="400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全自动运行，可手自动运行切换</w:t>
            </w:r>
          </w:p>
        </w:tc>
      </w:tr>
      <w:tr w14:paraId="2A221E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0F2DBF83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10CFF3FD">
            <w:pPr>
              <w:pStyle w:val="12"/>
              <w:autoSpaceDE w:val="0"/>
              <w:autoSpaceDN w:val="0"/>
              <w:spacing w:before="58" w:line="198" w:lineRule="auto"/>
              <w:jc w:val="center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MBR膜要求</w:t>
            </w:r>
          </w:p>
        </w:tc>
        <w:tc>
          <w:tcPr>
            <w:tcW w:w="7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center"/>
          </w:tcPr>
          <w:p w14:paraId="28B8D260">
            <w:pPr>
              <w:pStyle w:val="12"/>
              <w:autoSpaceDE w:val="0"/>
              <w:autoSpaceDN w:val="0"/>
              <w:spacing w:before="58" w:line="198" w:lineRule="auto"/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中空纤维帘式膜组件，膜材质：PVDF复合膜(带加强支撑层)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平均膜孔径：≤0.4</w:t>
            </w: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</w:rPr>
              <w:t>μ</w:t>
            </w: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m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spacing w:val="2"/>
                <w:sz w:val="24"/>
                <w:szCs w:val="24"/>
                <w:highlight w:val="none"/>
                <w:lang w:eastAsia="zh-CN"/>
              </w:rPr>
              <w:t>抗拉强度：≥100N。</w:t>
            </w:r>
          </w:p>
        </w:tc>
      </w:tr>
    </w:tbl>
    <w:p w14:paraId="0CF27343">
      <w:pPr>
        <w:pStyle w:val="4"/>
        <w:spacing w:line="360" w:lineRule="auto"/>
        <w:ind w:firstLine="482" w:firstLineChars="200"/>
        <w:rPr>
          <w:rFonts w:hint="eastAsia"/>
          <w:b/>
          <w:bCs/>
          <w:highlight w:val="none"/>
        </w:rPr>
      </w:pPr>
      <w:r>
        <w:rPr>
          <w:rFonts w:hint="eastAsia"/>
          <w:b/>
          <w:bCs/>
          <w:highlight w:val="none"/>
        </w:rPr>
        <w:t>2、技术服务要求</w:t>
      </w:r>
    </w:p>
    <w:p w14:paraId="34DBB66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 xml:space="preserve">2.1 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供货：</w:t>
      </w:r>
    </w:p>
    <w:p w14:paraId="528DC982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采购人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指定地点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。供应商负责污水处理服务所需要的相关设施设备的供货、安装、调试，供应商需自行完成进出水管线铺设、外接电源、污泥管道等配套基础设施。</w:t>
      </w:r>
    </w:p>
    <w:p w14:paraId="04E08B3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 xml:space="preserve">2.2 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运营：</w:t>
      </w:r>
    </w:p>
    <w:p w14:paraId="6893FBF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（1）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供应商负责此次租赁的污水处理设备的日常运营，确保污水处理设施运行正常，出水水质达标排放。</w:t>
      </w:r>
    </w:p>
    <w:p w14:paraId="4F832CE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（2）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供应商应制订污水处理管理应急预案，确保紧急情况下对污水的妥善处置。</w:t>
      </w:r>
    </w:p>
    <w:p w14:paraId="6EEA3A8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（3）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供应商负责污水临时处理设施产生的污泥规范化处理，包括但不限于无害化处置、焚烧处置、园林绿化利用、资源化利用等方式，处置方式需要达到当地环保要求，费用由供应商承担。</w:t>
      </w:r>
    </w:p>
    <w:p w14:paraId="40944DB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（4）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供应商应建立完备的检测、记录、存档和报告制度，运行期满将档案资料移交给采购人。</w:t>
      </w:r>
    </w:p>
    <w:p w14:paraId="14A6DB22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/>
          <w:b/>
          <w:bCs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3、</w:t>
      </w:r>
      <w:r>
        <w:rPr>
          <w:rFonts w:ascii="宋体" w:hAnsi="宋体"/>
          <w:b/>
          <w:bCs/>
          <w:sz w:val="24"/>
          <w:highlight w:val="none"/>
        </w:rPr>
        <w:t>运行服务要求</w:t>
      </w:r>
    </w:p>
    <w:p w14:paraId="44C4AC43">
      <w:pPr>
        <w:wordWrap w:val="0"/>
        <w:overflowPunct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 xml:space="preserve">3.1 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在污水处理设备运营期内，供应商确保设备的正常使用，按《陕西省黄河流域污水综合排放标准》DB61/224-2018 表1中A标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准限值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要求。</w:t>
      </w:r>
    </w:p>
    <w:p w14:paraId="359EDB2E">
      <w:pPr>
        <w:wordWrap w:val="0"/>
        <w:overflowPunct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 xml:space="preserve">3.2 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在服务期间，如因供应商管理、操作或经营不善等原因造成的人员安全事故、环境安全事故等一系列安全事故问题，均由供应商自行承担。</w:t>
      </w:r>
    </w:p>
    <w:p w14:paraId="1159470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五、商务要求</w:t>
      </w:r>
    </w:p>
    <w:p w14:paraId="197915F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yellow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1、</w:t>
      </w:r>
      <w:r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报价要求</w:t>
      </w:r>
    </w:p>
    <w:p w14:paraId="3B3E85F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/>
          <w:sz w:val="24"/>
          <w:szCs w:val="24"/>
          <w:lang w:val="en-US" w:eastAsia="zh-CN"/>
        </w:rPr>
        <w:t>供应商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的报价是</w:t>
      </w:r>
      <w:r>
        <w:rPr>
          <w:rFonts w:hint="eastAsia"/>
          <w:sz w:val="24"/>
          <w:szCs w:val="24"/>
          <w:highlight w:val="none"/>
          <w:lang w:val="en-US" w:eastAsia="zh-CN"/>
        </w:rPr>
        <w:t>供应商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响应项目要求的全部工作内容的价格体现，包括</w:t>
      </w:r>
      <w:r>
        <w:rPr>
          <w:rFonts w:hint="eastAsia"/>
          <w:sz w:val="24"/>
          <w:szCs w:val="24"/>
          <w:highlight w:val="none"/>
          <w:lang w:val="en-US" w:eastAsia="zh-CN"/>
        </w:rPr>
        <w:t>供应商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完成本项目所需的一切费用。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包含但不限于</w:t>
      </w:r>
      <w:r>
        <w:rPr>
          <w:rFonts w:hint="eastAsia"/>
          <w:sz w:val="24"/>
          <w:szCs w:val="24"/>
          <w:highlight w:val="none"/>
          <w:lang w:val="en-US" w:eastAsia="zh-CN"/>
        </w:rPr>
        <w:t>供应商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完成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本项目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所投入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的一体化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污水处理设备的设备租赁、运输、安装、调试、运行、维护、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电费、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污泥处置费、药剂费、人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工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费、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检测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化验费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、维修费、管理费、增值税金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等所有费用，</w:t>
      </w:r>
      <w:r>
        <w:rPr>
          <w:rFonts w:hint="eastAsia"/>
          <w:sz w:val="24"/>
          <w:szCs w:val="24"/>
          <w:lang w:val="en-US" w:eastAsia="zh-CN"/>
        </w:rPr>
        <w:t>供应商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在报价时应充分考虑其风险，中标后不做调整。</w:t>
      </w:r>
    </w:p>
    <w:p w14:paraId="5808F26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2、</w:t>
      </w:r>
      <w:r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服务期限</w:t>
      </w:r>
    </w:p>
    <w:p w14:paraId="7300E1C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（1）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设备交付期：自中标通知书发出之日起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3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日历天。</w:t>
      </w:r>
    </w:p>
    <w:p w14:paraId="46914628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（2）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安装调试期：自中标通知书发出之日起1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0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日历天内，供应商完成安装和清水试车，通过初步验收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。</w:t>
      </w:r>
    </w:p>
    <w:p w14:paraId="6AF7591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（3）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水质检测合格期限：自中标通知书发出之日起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15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日历天内，供应商完成工艺调试，通过水质验收。</w:t>
      </w:r>
    </w:p>
    <w:p w14:paraId="228F607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宋体" w:hAnsi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宋体" w:hAnsi="Times New Roman"/>
          <w:b/>
          <w:snapToGrid w:val="0"/>
          <w:color w:val="000000"/>
          <w:kern w:val="0"/>
          <w:sz w:val="24"/>
          <w:highlight w:val="none"/>
        </w:rPr>
        <w:t>3</w:t>
      </w:r>
      <w:r>
        <w:rPr>
          <w:rFonts w:ascii="宋体" w:hAnsi="Times New Roman"/>
          <w:b/>
          <w:snapToGrid w:val="0"/>
          <w:color w:val="000000"/>
          <w:kern w:val="0"/>
          <w:sz w:val="24"/>
          <w:highlight w:val="none"/>
        </w:rPr>
        <w:t>、</w:t>
      </w:r>
      <w:r>
        <w:rPr>
          <w:rFonts w:hint="eastAsia" w:ascii="宋体" w:hAnsi="Times New Roman"/>
          <w:b/>
          <w:snapToGrid w:val="0"/>
          <w:color w:val="000000"/>
          <w:kern w:val="0"/>
          <w:sz w:val="24"/>
          <w:highlight w:val="none"/>
        </w:rPr>
        <w:t>考核及验收要求</w:t>
      </w:r>
    </w:p>
    <w:p w14:paraId="49D86F7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宋体" w:hAnsi="Times New Roman"/>
          <w:snapToGrid w:val="0"/>
          <w:color w:val="000000"/>
          <w:kern w:val="0"/>
          <w:sz w:val="24"/>
          <w:highlight w:val="none"/>
        </w:rPr>
      </w:pPr>
      <w:r>
        <w:rPr>
          <w:rFonts w:ascii="宋体" w:hAnsi="Times New Roman"/>
          <w:snapToGrid w:val="0"/>
          <w:color w:val="000000"/>
          <w:kern w:val="0"/>
          <w:sz w:val="24"/>
          <w:highlight w:val="none"/>
        </w:rPr>
        <w:t>1）</w:t>
      </w:r>
      <w:r>
        <w:rPr>
          <w:rFonts w:hint="eastAsia" w:ascii="宋体" w:hAnsi="Times New Roman"/>
          <w:snapToGrid w:val="0"/>
          <w:color w:val="000000"/>
          <w:kern w:val="0"/>
          <w:sz w:val="24"/>
          <w:highlight w:val="none"/>
        </w:rPr>
        <w:t>初步验收</w:t>
      </w:r>
      <w:r>
        <w:rPr>
          <w:rFonts w:ascii="宋体" w:hAnsi="Times New Roman"/>
          <w:snapToGrid w:val="0"/>
          <w:color w:val="000000"/>
          <w:kern w:val="0"/>
          <w:sz w:val="24"/>
          <w:highlight w:val="none"/>
        </w:rPr>
        <w:t>：合同签订后，供应商设备抵运现场并安装</w:t>
      </w:r>
      <w:r>
        <w:rPr>
          <w:rFonts w:hint="eastAsia" w:ascii="宋体" w:hAnsi="Times New Roman"/>
          <w:snapToGrid w:val="0"/>
          <w:color w:val="000000"/>
          <w:kern w:val="0"/>
          <w:sz w:val="24"/>
          <w:highlight w:val="none"/>
        </w:rPr>
        <w:t>完毕后，采购人在2个工作日内完成项目的初步验收。初步验收包括设备的型号、规格、外观、数量及清水试车等。初步验收合格后，出具初步验收合格确认单，开始起算服务期。</w:t>
      </w:r>
    </w:p>
    <w:p w14:paraId="16E9AF7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宋体" w:hAnsi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宋体" w:hAnsi="Times New Roman"/>
          <w:snapToGrid w:val="0"/>
          <w:color w:val="000000"/>
          <w:kern w:val="0"/>
          <w:sz w:val="24"/>
          <w:highlight w:val="none"/>
        </w:rPr>
        <w:t>2）</w:t>
      </w:r>
      <w:r>
        <w:rPr>
          <w:rFonts w:hint="eastAsia" w:ascii="宋体" w:hAnsi="Times New Roman"/>
          <w:snapToGrid w:val="0"/>
          <w:color w:val="000000"/>
          <w:kern w:val="0"/>
          <w:sz w:val="24"/>
          <w:highlight w:val="none"/>
          <w:lang w:val="en-US" w:eastAsia="zh-CN"/>
        </w:rPr>
        <w:t>中期验收：服务期内，由甲方组织每三个月进行一次验收，验收合格后，出具验收单（甲方有权随时调阅、查验相关资料）。</w:t>
      </w:r>
      <w:r>
        <w:rPr>
          <w:rFonts w:hint="eastAsia" w:ascii="宋体" w:hAnsi="Times New Roman"/>
          <w:snapToGrid w:val="0"/>
          <w:color w:val="000000"/>
          <w:kern w:val="0"/>
          <w:sz w:val="24"/>
          <w:highlight w:val="none"/>
        </w:rPr>
        <w:t xml:space="preserve"> </w:t>
      </w:r>
    </w:p>
    <w:p w14:paraId="36F213C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宋体" w:hAnsi="Times New Roman"/>
          <w:snapToGrid w:val="0"/>
          <w:color w:val="000000"/>
          <w:kern w:val="0"/>
          <w:sz w:val="24"/>
          <w:highlight w:val="none"/>
        </w:rPr>
        <w:t>3）终期验收：服务期满且完成本项目服务内容及要求的所有内容，供应商向采购方提出验收申请，采购方接到供应商验收申请后组织终期验收，验收合格后，出具终期验收单。</w:t>
      </w:r>
    </w:p>
    <w:p w14:paraId="43D371CF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六</w:t>
      </w:r>
      <w:r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、招标标的及范围</w:t>
      </w:r>
    </w:p>
    <w:p w14:paraId="47C97D6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老大路2000m³应急污水处理项目，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eastAsia="zh-CN"/>
        </w:rPr>
        <w:t>包含一体化污水处理站（2000m³/d）的设计、设备供货、安装、调试、运维等相关内容，运维服务期为初步验收合格之日起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val="en-US" w:eastAsia="zh-CN"/>
        </w:rPr>
        <w:t>12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highlight w:val="none"/>
          <w:lang w:eastAsia="zh-CN"/>
        </w:rPr>
        <w:t>个月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  <w:highlight w:val="none"/>
        </w:rPr>
        <w:t>。</w:t>
      </w:r>
    </w:p>
    <w:p w14:paraId="46B7A120">
      <w:pPr>
        <w:widowControl/>
        <w:numPr>
          <w:ilvl w:val="0"/>
          <w:numId w:val="1"/>
        </w:numPr>
        <w:kinsoku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left"/>
        <w:textAlignment w:val="baseline"/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</w:pPr>
      <w:r>
        <w:rPr>
          <w:rFonts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招标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</w:rPr>
        <w:t>预算</w:t>
      </w:r>
    </w:p>
    <w:p w14:paraId="260E617C">
      <w:pPr>
        <w:widowControl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line="360" w:lineRule="auto"/>
        <w:ind w:firstLine="480"/>
        <w:jc w:val="left"/>
        <w:textAlignment w:val="baseline"/>
        <w:rPr>
          <w:rFonts w:hint="default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  <w:lang w:val="en-US" w:eastAsia="zh-CN"/>
        </w:rPr>
        <w:t>本项目预算金额为：4382251.12元</w:t>
      </w:r>
      <w:bookmarkStart w:id="1" w:name="_GoBack"/>
      <w:bookmarkEnd w:id="1"/>
    </w:p>
    <w:p w14:paraId="7EC377C0">
      <w:pPr>
        <w:widowControl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line="360" w:lineRule="auto"/>
        <w:ind w:firstLine="480"/>
        <w:jc w:val="left"/>
        <w:textAlignment w:val="baseline"/>
        <w:rPr>
          <w:rFonts w:hint="default" w:ascii="Times New Roman" w:hAnsi="Times New Roman" w:eastAsia="宋体" w:cs="Times New Roman"/>
          <w:b/>
          <w:bCs/>
          <w:snapToGrid w:val="0"/>
          <w:color w:val="000000"/>
          <w:kern w:val="0"/>
          <w:sz w:val="24"/>
          <w:highlight w:val="none"/>
          <w:lang w:val="en-US" w:eastAsia="zh-CN"/>
        </w:rPr>
      </w:pPr>
    </w:p>
    <w:tbl>
      <w:tblPr>
        <w:tblStyle w:val="11"/>
        <w:tblW w:w="5185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2161"/>
        <w:gridCol w:w="557"/>
        <w:gridCol w:w="1461"/>
        <w:gridCol w:w="4720"/>
      </w:tblGrid>
      <w:tr w14:paraId="335A1A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  <w:jc w:val="center"/>
        </w:trPr>
        <w:tc>
          <w:tcPr>
            <w:tcW w:w="345" w:type="pct"/>
            <w:vAlign w:val="center"/>
          </w:tcPr>
          <w:p w14:paraId="1FA40A07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130" w:type="pct"/>
            <w:vAlign w:val="center"/>
          </w:tcPr>
          <w:p w14:paraId="113E9F6F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项目名称</w:t>
            </w:r>
          </w:p>
        </w:tc>
        <w:tc>
          <w:tcPr>
            <w:tcW w:w="291" w:type="pct"/>
            <w:vAlign w:val="center"/>
          </w:tcPr>
          <w:p w14:paraId="7525C756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单位</w:t>
            </w:r>
          </w:p>
        </w:tc>
        <w:tc>
          <w:tcPr>
            <w:tcW w:w="764" w:type="pct"/>
            <w:vAlign w:val="center"/>
          </w:tcPr>
          <w:p w14:paraId="75DCD6A9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金额（元）</w:t>
            </w:r>
          </w:p>
        </w:tc>
        <w:tc>
          <w:tcPr>
            <w:tcW w:w="2468" w:type="pct"/>
            <w:vAlign w:val="center"/>
          </w:tcPr>
          <w:p w14:paraId="3A5CC697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备注</w:t>
            </w:r>
          </w:p>
        </w:tc>
      </w:tr>
      <w:tr w14:paraId="178E5C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 w:hRule="atLeast"/>
          <w:jc w:val="center"/>
        </w:trPr>
        <w:tc>
          <w:tcPr>
            <w:tcW w:w="345" w:type="pct"/>
            <w:vAlign w:val="center"/>
          </w:tcPr>
          <w:p w14:paraId="57A84EF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</w:t>
            </w:r>
          </w:p>
        </w:tc>
        <w:tc>
          <w:tcPr>
            <w:tcW w:w="1130" w:type="pct"/>
            <w:vAlign w:val="center"/>
          </w:tcPr>
          <w:p w14:paraId="087EE94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设备租赁费（污水处理规模2000m³/d）</w:t>
            </w:r>
          </w:p>
        </w:tc>
        <w:tc>
          <w:tcPr>
            <w:tcW w:w="291" w:type="pct"/>
            <w:vAlign w:val="center"/>
          </w:tcPr>
          <w:p w14:paraId="4C63E94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B75DC1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元</w:t>
            </w:r>
          </w:p>
        </w:tc>
        <w:tc>
          <w:tcPr>
            <w:tcW w:w="764" w:type="pct"/>
            <w:vAlign w:val="center"/>
          </w:tcPr>
          <w:p w14:paraId="382B1255">
            <w:pPr>
              <w:bidi w:val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3124400.00</w:t>
            </w:r>
          </w:p>
        </w:tc>
        <w:tc>
          <w:tcPr>
            <w:tcW w:w="2468" w:type="pct"/>
            <w:vAlign w:val="center"/>
          </w:tcPr>
          <w:p w14:paraId="4CE6CBF9">
            <w:pPr>
              <w:bidi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租赁期一年，含设备租赁费、安装费、吊装费、调试费、税金及设备拆除、设备运输（包含设备进场及离场费用）</w:t>
            </w:r>
          </w:p>
        </w:tc>
      </w:tr>
      <w:tr w14:paraId="0486A6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345" w:type="pct"/>
            <w:vAlign w:val="center"/>
          </w:tcPr>
          <w:p w14:paraId="7C2A2720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二</w:t>
            </w:r>
          </w:p>
        </w:tc>
        <w:tc>
          <w:tcPr>
            <w:tcW w:w="1130" w:type="pct"/>
            <w:vAlign w:val="center"/>
          </w:tcPr>
          <w:p w14:paraId="53726F27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运营成本（污水处理规模2000m³/d）</w:t>
            </w:r>
          </w:p>
        </w:tc>
        <w:tc>
          <w:tcPr>
            <w:tcW w:w="291" w:type="pct"/>
            <w:vAlign w:val="center"/>
          </w:tcPr>
          <w:p w14:paraId="14B68CF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元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6D4FCC4C">
            <w:pPr>
              <w:bidi w:val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1257851.12</w:t>
            </w:r>
          </w:p>
        </w:tc>
        <w:tc>
          <w:tcPr>
            <w:tcW w:w="2468" w:type="pct"/>
            <w:vAlign w:val="center"/>
          </w:tcPr>
          <w:p w14:paraId="1A1FEC04">
            <w:pPr>
              <w:bidi w:val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含电费、药剂费、污泥处置费、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检测费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人工费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管理费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维修费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税金</w:t>
            </w:r>
          </w:p>
        </w:tc>
      </w:tr>
      <w:tr w14:paraId="6CBD23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  <w:jc w:val="center"/>
        </w:trPr>
        <w:tc>
          <w:tcPr>
            <w:tcW w:w="345" w:type="pct"/>
            <w:vAlign w:val="center"/>
          </w:tcPr>
          <w:p w14:paraId="6D47107C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三</w:t>
            </w:r>
          </w:p>
        </w:tc>
        <w:tc>
          <w:tcPr>
            <w:tcW w:w="1130" w:type="pct"/>
            <w:vAlign w:val="center"/>
          </w:tcPr>
          <w:p w14:paraId="4F742B9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合计</w:t>
            </w:r>
          </w:p>
        </w:tc>
        <w:tc>
          <w:tcPr>
            <w:tcW w:w="291" w:type="pct"/>
            <w:vAlign w:val="center"/>
          </w:tcPr>
          <w:p w14:paraId="641DC0D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元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3675C7FC">
            <w:pPr>
              <w:bidi w:val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4382251.12</w:t>
            </w:r>
          </w:p>
        </w:tc>
        <w:tc>
          <w:tcPr>
            <w:tcW w:w="2468" w:type="pct"/>
            <w:vAlign w:val="center"/>
          </w:tcPr>
          <w:p w14:paraId="7DFF043D">
            <w:pPr>
              <w:bidi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95F79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345" w:type="pct"/>
            <w:vAlign w:val="center"/>
          </w:tcPr>
          <w:p w14:paraId="278188AA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四</w:t>
            </w:r>
          </w:p>
        </w:tc>
        <w:tc>
          <w:tcPr>
            <w:tcW w:w="1130" w:type="pct"/>
            <w:vAlign w:val="center"/>
          </w:tcPr>
          <w:p w14:paraId="0519412E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综合服务费单价（元/t）</w:t>
            </w:r>
          </w:p>
        </w:tc>
        <w:tc>
          <w:tcPr>
            <w:tcW w:w="291" w:type="pct"/>
            <w:vAlign w:val="center"/>
          </w:tcPr>
          <w:p w14:paraId="21512F36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元/t</w:t>
            </w:r>
          </w:p>
        </w:tc>
        <w:tc>
          <w:tcPr>
            <w:tcW w:w="764" w:type="pct"/>
            <w:vAlign w:val="center"/>
          </w:tcPr>
          <w:p w14:paraId="7E7F7AD9">
            <w:pPr>
              <w:bidi w:val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468" w:type="pct"/>
            <w:vAlign w:val="center"/>
          </w:tcPr>
          <w:p w14:paraId="3E10702E">
            <w:pPr>
              <w:bidi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00855CAE">
      <w:pPr>
        <w:pStyle w:val="4"/>
        <w:rPr>
          <w:rFonts w:hint="eastAsia"/>
          <w:highlight w:val="none"/>
        </w:rPr>
      </w:pPr>
    </w:p>
    <w:sectPr>
      <w:footerReference r:id="rId3" w:type="default"/>
      <w:pgSz w:w="12240" w:h="15840"/>
      <w:pgMar w:top="1270" w:right="1519" w:bottom="1270" w:left="1519" w:header="720" w:footer="720" w:gutter="0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11E803">
    <w:pPr>
      <w:pStyle w:val="5"/>
      <w:rPr>
        <w:rFonts w:hint="default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48F046">
                          <w:pPr>
                            <w:pStyle w:val="5"/>
                            <w:rPr>
                              <w:rFonts w:hint="default"/>
                            </w:rPr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48F046">
                    <w:pPr>
                      <w:pStyle w:val="5"/>
                      <w:rPr>
                        <w:rFonts w:hint="default"/>
                      </w:rPr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DC7FB9"/>
    <w:multiLevelType w:val="singleLevel"/>
    <w:tmpl w:val="AFDC7FB9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VmZDQ4ZjIwZmZiNzNkYWRmODNiYmU1YTQ0MWQxMjgifQ=="/>
    <w:docVar w:name="KSO_WPS_MARK_KEY" w:val="08aab195-fd07-4e66-bff3-3a60c5f74da1"/>
  </w:docVars>
  <w:rsids>
    <w:rsidRoot w:val="00172A27"/>
    <w:rsid w:val="00002374"/>
    <w:rsid w:val="00045BE9"/>
    <w:rsid w:val="00046A93"/>
    <w:rsid w:val="00172A27"/>
    <w:rsid w:val="002D0C3D"/>
    <w:rsid w:val="005E7856"/>
    <w:rsid w:val="00607BD2"/>
    <w:rsid w:val="006F3A59"/>
    <w:rsid w:val="00816E3C"/>
    <w:rsid w:val="008D1FA0"/>
    <w:rsid w:val="008D5D8D"/>
    <w:rsid w:val="00B811C5"/>
    <w:rsid w:val="00BC6DF0"/>
    <w:rsid w:val="00E83875"/>
    <w:rsid w:val="00E85BDF"/>
    <w:rsid w:val="00F87576"/>
    <w:rsid w:val="02225B04"/>
    <w:rsid w:val="028C4874"/>
    <w:rsid w:val="02F13073"/>
    <w:rsid w:val="05042A5A"/>
    <w:rsid w:val="065A7C2E"/>
    <w:rsid w:val="069C2C6D"/>
    <w:rsid w:val="07591FC8"/>
    <w:rsid w:val="09D14326"/>
    <w:rsid w:val="0DCA4B09"/>
    <w:rsid w:val="130660C0"/>
    <w:rsid w:val="14912AC7"/>
    <w:rsid w:val="18CB14EE"/>
    <w:rsid w:val="1AB24D93"/>
    <w:rsid w:val="1B440441"/>
    <w:rsid w:val="1C7A6810"/>
    <w:rsid w:val="1DDD59BC"/>
    <w:rsid w:val="1E911659"/>
    <w:rsid w:val="1F0F3C35"/>
    <w:rsid w:val="1FC77127"/>
    <w:rsid w:val="1FEC17D3"/>
    <w:rsid w:val="2019477E"/>
    <w:rsid w:val="218D2B42"/>
    <w:rsid w:val="238C12E3"/>
    <w:rsid w:val="2523272B"/>
    <w:rsid w:val="25D44DD8"/>
    <w:rsid w:val="27A3634D"/>
    <w:rsid w:val="29D474B6"/>
    <w:rsid w:val="2BDD0222"/>
    <w:rsid w:val="2F6F3887"/>
    <w:rsid w:val="30E82E1B"/>
    <w:rsid w:val="3318755B"/>
    <w:rsid w:val="33CD0B04"/>
    <w:rsid w:val="3457616F"/>
    <w:rsid w:val="36203B2D"/>
    <w:rsid w:val="36AE1139"/>
    <w:rsid w:val="398D5364"/>
    <w:rsid w:val="3DA908AC"/>
    <w:rsid w:val="400E49F6"/>
    <w:rsid w:val="42F95ECA"/>
    <w:rsid w:val="437744BA"/>
    <w:rsid w:val="44027DB6"/>
    <w:rsid w:val="44044A8E"/>
    <w:rsid w:val="44B75E37"/>
    <w:rsid w:val="47965C2E"/>
    <w:rsid w:val="47F53276"/>
    <w:rsid w:val="48C84201"/>
    <w:rsid w:val="48CB3DCC"/>
    <w:rsid w:val="4A2E6D47"/>
    <w:rsid w:val="4C356705"/>
    <w:rsid w:val="4C50023F"/>
    <w:rsid w:val="4C73355B"/>
    <w:rsid w:val="4DFB6E29"/>
    <w:rsid w:val="4E5E2FEC"/>
    <w:rsid w:val="50537828"/>
    <w:rsid w:val="533B56AA"/>
    <w:rsid w:val="547C74AB"/>
    <w:rsid w:val="58242BB1"/>
    <w:rsid w:val="58764541"/>
    <w:rsid w:val="59623521"/>
    <w:rsid w:val="5A2410CB"/>
    <w:rsid w:val="5A8913F1"/>
    <w:rsid w:val="5B885B4D"/>
    <w:rsid w:val="5BB24978"/>
    <w:rsid w:val="5BBD3C0E"/>
    <w:rsid w:val="5D974598"/>
    <w:rsid w:val="5DD0370C"/>
    <w:rsid w:val="5E2F0BBB"/>
    <w:rsid w:val="5E5A36C5"/>
    <w:rsid w:val="601B6339"/>
    <w:rsid w:val="613C2DCD"/>
    <w:rsid w:val="61823342"/>
    <w:rsid w:val="619C5EAE"/>
    <w:rsid w:val="61C00B9C"/>
    <w:rsid w:val="62584D39"/>
    <w:rsid w:val="626F5370"/>
    <w:rsid w:val="63F249C9"/>
    <w:rsid w:val="646113F0"/>
    <w:rsid w:val="646F2F21"/>
    <w:rsid w:val="65A73073"/>
    <w:rsid w:val="66BA40B5"/>
    <w:rsid w:val="671D539B"/>
    <w:rsid w:val="69C15FDD"/>
    <w:rsid w:val="6E0B59A2"/>
    <w:rsid w:val="6E2761B6"/>
    <w:rsid w:val="70097BC2"/>
    <w:rsid w:val="70E17439"/>
    <w:rsid w:val="70FE448F"/>
    <w:rsid w:val="716F0EE9"/>
    <w:rsid w:val="72C34FE4"/>
    <w:rsid w:val="72F20319"/>
    <w:rsid w:val="72F9528E"/>
    <w:rsid w:val="7490587D"/>
    <w:rsid w:val="781C169F"/>
    <w:rsid w:val="78AF56D6"/>
    <w:rsid w:val="7A097A01"/>
    <w:rsid w:val="7ACA3634"/>
    <w:rsid w:val="7C4A2039"/>
    <w:rsid w:val="7C851C0F"/>
    <w:rsid w:val="7C8B294F"/>
    <w:rsid w:val="7F7D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hint="eastAsia"/>
      <w:sz w:val="18"/>
      <w:szCs w:val="18"/>
    </w:rPr>
  </w:style>
  <w:style w:type="paragraph" w:styleId="6">
    <w:name w:val="header"/>
    <w:basedOn w:val="1"/>
    <w:unhideWhenUsed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9">
    <w:name w:val="page number"/>
    <w:basedOn w:val="8"/>
    <w:unhideWhenUsed/>
    <w:qFormat/>
    <w:uiPriority w:val="0"/>
    <w:rPr>
      <w:rFonts w:hint="default"/>
      <w:sz w:val="24"/>
      <w:szCs w:val="24"/>
    </w:rPr>
  </w:style>
  <w:style w:type="character" w:styleId="10">
    <w:name w:val="annotation reference"/>
    <w:basedOn w:val="8"/>
    <w:qFormat/>
    <w:uiPriority w:val="0"/>
    <w:rPr>
      <w:sz w:val="21"/>
      <w:szCs w:val="21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Table Text"/>
    <w:basedOn w:val="1"/>
    <w:unhideWhenUsed/>
    <w:qFormat/>
    <w:uiPriority w:val="0"/>
    <w:rPr>
      <w:rFonts w:hint="eastAsia" w:ascii="宋体" w:hAnsi="宋体" w:eastAsia="宋体" w:cs="宋体"/>
      <w:sz w:val="29"/>
      <w:szCs w:val="29"/>
      <w:lang w:eastAsia="en-US"/>
    </w:rPr>
  </w:style>
  <w:style w:type="paragraph" w:customStyle="1" w:styleId="13">
    <w:name w:val="null3"/>
    <w:unhideWhenUsed/>
    <w:qFormat/>
    <w:uiPriority w:val="0"/>
    <w:rPr>
      <w:rFonts w:hint="eastAsia" w:ascii="Calibri" w:hAnsi="Calibri" w:eastAsia="宋体" w:cs="Times New Roman"/>
      <w:sz w:val="24"/>
      <w:szCs w:val="24"/>
      <w:lang w:val="en-US" w:eastAsia="zh-Hans" w:bidi="ar-SA"/>
    </w:rPr>
  </w:style>
  <w:style w:type="character" w:customStyle="1" w:styleId="14">
    <w:name w:val="font0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1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16">
    <w:name w:val="font3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17">
    <w:name w:val="font2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18">
    <w:name w:val="font41"/>
    <w:basedOn w:val="8"/>
    <w:unhideWhenUsed/>
    <w:qFormat/>
    <w:uiPriority w:val="0"/>
    <w:rPr>
      <w:rFonts w:hint="default" w:ascii="宋体" w:hAnsi="宋体" w:eastAsia="宋体" w:cs="宋体"/>
      <w:b/>
      <w:color w:val="000000"/>
      <w:sz w:val="22"/>
      <w:szCs w:val="22"/>
    </w:rPr>
  </w:style>
  <w:style w:type="character" w:customStyle="1" w:styleId="19">
    <w:name w:val="font61"/>
    <w:basedOn w:val="8"/>
    <w:unhideWhenUsed/>
    <w:qFormat/>
    <w:uiPriority w:val="0"/>
    <w:rPr>
      <w:rFonts w:hint="default" w:ascii="宋体" w:hAnsi="宋体" w:eastAsia="宋体" w:cs="宋体"/>
      <w:color w:val="000000"/>
      <w:sz w:val="32"/>
      <w:szCs w:val="32"/>
    </w:rPr>
  </w:style>
  <w:style w:type="character" w:customStyle="1" w:styleId="20">
    <w:name w:val="font71"/>
    <w:basedOn w:val="8"/>
    <w:unhideWhenUsed/>
    <w:qFormat/>
    <w:uiPriority w:val="0"/>
    <w:rPr>
      <w:rFonts w:hint="default" w:ascii="Times New Roman" w:hAnsi="Times New Roman" w:eastAsia="宋体" w:cs="Times New Roman"/>
      <w:color w:val="000000"/>
      <w:sz w:val="22"/>
      <w:szCs w:val="22"/>
      <w:vertAlign w:val="superscript"/>
    </w:rPr>
  </w:style>
  <w:style w:type="paragraph" w:customStyle="1" w:styleId="21">
    <w:name w:val="HQ 段落"/>
    <w:basedOn w:val="1"/>
    <w:unhideWhenUsed/>
    <w:qFormat/>
    <w:uiPriority w:val="0"/>
    <w:rPr>
      <w:rFonts w:ascii="Times New Roman" w:hAnsi="Times New Roman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1730</Words>
  <Characters>1903</Characters>
  <Lines>500</Lines>
  <Paragraphs>611</Paragraphs>
  <TotalTime>0</TotalTime>
  <ScaleCrop>false</ScaleCrop>
  <LinksUpToDate>false</LinksUpToDate>
  <CharactersWithSpaces>1911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2025-04-24T05:16:00Z</dcterms:created>
  <dc:creator>张小朵</dc:creator>
  <cp:lastModifiedBy>怯</cp:lastModifiedBy>
  <dcterms:modified xsi:type="dcterms:W3CDTF">2026-06-12T07:02:02Z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D18DA0906AC24E599416EB5F2D5CD48D_13</vt:lpwstr>
  </property>
  <property fmtid="{D5CDD505-2E9C-101B-9397-08002B2CF9AE}" pid="4" name="KSOTemplateDocerSaveRecord">
    <vt:lpwstr>eyJoZGlkIjoiYWFiMWNmZGQxNzE1YzljMTVhOGQwMTljYzg3YzY2ZGEiLCJ1c2VySWQiOiIyOTQ2NTA5ODcifQ==</vt:lpwstr>
  </property>
</Properties>
</file>