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85203">
      <w:pPr>
        <w:keepNext w:val="0"/>
        <w:keepLines w:val="0"/>
        <w:pageBreakBefore w:val="0"/>
        <w:widowControl w:val="0"/>
        <w:kinsoku/>
        <w:wordWrap/>
        <w:overflowPunct/>
        <w:topLinePunct w:val="0"/>
        <w:bidi w:val="0"/>
        <w:spacing w:line="600" w:lineRule="exact"/>
        <w:jc w:val="center"/>
        <w:textAlignment w:val="auto"/>
        <w:rPr>
          <w:rFonts w:ascii="方正小标宋简体" w:hAnsi="Times New Roman" w:eastAsia="方正小标宋简体" w:cs="Times New Roman"/>
          <w:color w:val="333333"/>
          <w:kern w:val="0"/>
          <w:sz w:val="32"/>
          <w:szCs w:val="32"/>
        </w:rPr>
      </w:pPr>
    </w:p>
    <w:p w14:paraId="7414629C">
      <w:pPr>
        <w:keepNext w:val="0"/>
        <w:keepLines w:val="0"/>
        <w:pageBreakBefore w:val="0"/>
        <w:widowControl w:val="0"/>
        <w:kinsoku/>
        <w:wordWrap/>
        <w:overflowPunct/>
        <w:topLinePunct w:val="0"/>
        <w:bidi w:val="0"/>
        <w:spacing w:line="600" w:lineRule="exact"/>
        <w:jc w:val="center"/>
        <w:textAlignment w:val="auto"/>
        <w:rPr>
          <w:rFonts w:hint="eastAsia" w:ascii="方正小标宋简体" w:hAnsi="方正小标宋简体" w:eastAsia="方正小标宋简体" w:cs="方正小标宋简体"/>
          <w:b w:val="0"/>
          <w:bCs w:val="0"/>
          <w:color w:val="333333"/>
          <w:kern w:val="0"/>
          <w:sz w:val="44"/>
          <w:szCs w:val="44"/>
          <w:lang w:eastAsia="zh-CN"/>
        </w:rPr>
      </w:pPr>
      <w:r>
        <w:rPr>
          <w:rFonts w:hint="eastAsia" w:ascii="方正小标宋简体" w:hAnsi="方正小标宋简体" w:eastAsia="方正小标宋简体" w:cs="方正小标宋简体"/>
          <w:b w:val="0"/>
          <w:bCs w:val="0"/>
          <w:color w:val="333333"/>
          <w:kern w:val="0"/>
          <w:sz w:val="44"/>
          <w:szCs w:val="44"/>
          <w:lang w:val="en-US" w:eastAsia="zh-CN"/>
        </w:rPr>
        <w:t>2026年</w:t>
      </w:r>
      <w:r>
        <w:rPr>
          <w:rFonts w:hint="eastAsia" w:ascii="方正小标宋简体" w:hAnsi="方正小标宋简体" w:eastAsia="方正小标宋简体" w:cs="方正小标宋简体"/>
          <w:b w:val="0"/>
          <w:bCs w:val="0"/>
          <w:color w:val="333333"/>
          <w:kern w:val="0"/>
          <w:sz w:val="44"/>
          <w:szCs w:val="44"/>
        </w:rPr>
        <w:t>高新区</w:t>
      </w:r>
      <w:r>
        <w:rPr>
          <w:rFonts w:hint="eastAsia" w:ascii="方正小标宋简体" w:hAnsi="方正小标宋简体" w:eastAsia="方正小标宋简体" w:cs="方正小标宋简体"/>
          <w:b w:val="0"/>
          <w:bCs w:val="0"/>
          <w:color w:val="333333"/>
          <w:kern w:val="0"/>
          <w:sz w:val="44"/>
          <w:szCs w:val="44"/>
          <w:lang w:eastAsia="zh-CN"/>
        </w:rPr>
        <w:t>党群工作部信访接待</w:t>
      </w:r>
    </w:p>
    <w:p w14:paraId="5E16BEA1">
      <w:pPr>
        <w:keepNext w:val="0"/>
        <w:keepLines w:val="0"/>
        <w:pageBreakBefore w:val="0"/>
        <w:widowControl w:val="0"/>
        <w:kinsoku/>
        <w:wordWrap/>
        <w:overflowPunct/>
        <w:topLinePunct w:val="0"/>
        <w:bidi w:val="0"/>
        <w:spacing w:line="600" w:lineRule="exact"/>
        <w:jc w:val="center"/>
        <w:textAlignment w:val="auto"/>
        <w:rPr>
          <w:rFonts w:hint="eastAsia" w:ascii="方正小标宋简体" w:hAnsi="方正小标宋简体" w:eastAsia="方正小标宋简体" w:cs="方正小标宋简体"/>
          <w:b w:val="0"/>
          <w:bCs w:val="0"/>
          <w:color w:val="333333"/>
          <w:kern w:val="0"/>
          <w:sz w:val="44"/>
          <w:szCs w:val="44"/>
          <w:lang w:eastAsia="zh-CN"/>
        </w:rPr>
      </w:pPr>
      <w:r>
        <w:rPr>
          <w:rFonts w:hint="eastAsia" w:ascii="方正小标宋简体" w:hAnsi="方正小标宋简体" w:eastAsia="方正小标宋简体" w:cs="方正小标宋简体"/>
          <w:b w:val="0"/>
          <w:bCs w:val="0"/>
          <w:color w:val="333333"/>
          <w:kern w:val="0"/>
          <w:sz w:val="44"/>
          <w:szCs w:val="44"/>
          <w:lang w:eastAsia="zh-CN"/>
        </w:rPr>
        <w:t>与村（居）法律顾问服务机构</w:t>
      </w:r>
      <w:r>
        <w:rPr>
          <w:rFonts w:hint="eastAsia" w:ascii="方正小标宋简体" w:hAnsi="方正小标宋简体" w:eastAsia="方正小标宋简体" w:cs="方正小标宋简体"/>
          <w:b w:val="0"/>
          <w:bCs w:val="0"/>
          <w:color w:val="333333"/>
          <w:kern w:val="0"/>
          <w:sz w:val="44"/>
          <w:szCs w:val="44"/>
        </w:rPr>
        <w:t>采购</w:t>
      </w:r>
      <w:r>
        <w:rPr>
          <w:rFonts w:hint="eastAsia" w:ascii="方正小标宋简体" w:hAnsi="方正小标宋简体" w:eastAsia="方正小标宋简体" w:cs="方正小标宋简体"/>
          <w:b w:val="0"/>
          <w:bCs w:val="0"/>
          <w:color w:val="333333"/>
          <w:kern w:val="0"/>
          <w:sz w:val="44"/>
          <w:szCs w:val="44"/>
          <w:lang w:eastAsia="zh-CN"/>
        </w:rPr>
        <w:t>方案</w:t>
      </w:r>
    </w:p>
    <w:p w14:paraId="3B5C051F">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eastAsia="zh-CN"/>
        </w:rPr>
      </w:pPr>
    </w:p>
    <w:p w14:paraId="561CCE7B">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为认真贯彻落实中省市关于依法治国和加快法治信访建设的精神，充分发挥律师在推进法治信访建设、公共法律服务中的作用，</w:t>
      </w:r>
      <w:r>
        <w:rPr>
          <w:rFonts w:hint="eastAsia" w:ascii="仿宋_GB2312" w:hAnsi="仿宋_GB2312" w:eastAsia="仿宋_GB2312" w:cs="仿宋_GB2312"/>
          <w:sz w:val="32"/>
          <w:szCs w:val="32"/>
          <w:lang w:val="en-US" w:eastAsia="zh-CN"/>
        </w:rPr>
        <w:t>提升</w:t>
      </w:r>
      <w:r>
        <w:rPr>
          <w:rFonts w:hint="default" w:ascii="仿宋_GB2312" w:hAnsi="仿宋_GB2312" w:eastAsia="仿宋_GB2312" w:cs="仿宋_GB2312"/>
          <w:sz w:val="32"/>
          <w:szCs w:val="32"/>
          <w:lang w:val="en-US" w:eastAsia="zh-CN"/>
        </w:rPr>
        <w:t>依法治理</w:t>
      </w:r>
      <w:r>
        <w:rPr>
          <w:rFonts w:hint="eastAsia" w:ascii="仿宋_GB2312" w:hAnsi="仿宋_GB2312" w:eastAsia="仿宋_GB2312" w:cs="仿宋_GB2312"/>
          <w:sz w:val="32"/>
          <w:szCs w:val="32"/>
          <w:lang w:val="en-US" w:eastAsia="zh-CN"/>
        </w:rPr>
        <w:t>水平，</w:t>
      </w:r>
      <w:r>
        <w:rPr>
          <w:rFonts w:hint="default" w:ascii="仿宋_GB2312" w:hAnsi="仿宋_GB2312" w:eastAsia="仿宋_GB2312" w:cs="仿宋_GB2312"/>
          <w:sz w:val="32"/>
          <w:szCs w:val="32"/>
          <w:lang w:val="en-US" w:eastAsia="zh-CN"/>
        </w:rPr>
        <w:t>维护</w:t>
      </w:r>
      <w:r>
        <w:rPr>
          <w:rFonts w:hint="eastAsia" w:ascii="仿宋_GB2312" w:hAnsi="仿宋_GB2312" w:eastAsia="仿宋_GB2312" w:cs="仿宋_GB2312"/>
          <w:sz w:val="32"/>
          <w:szCs w:val="32"/>
          <w:lang w:val="en-US" w:eastAsia="zh-CN"/>
        </w:rPr>
        <w:t>区域</w:t>
      </w:r>
      <w:r>
        <w:rPr>
          <w:rFonts w:hint="default" w:ascii="仿宋_GB2312" w:hAnsi="仿宋_GB2312" w:eastAsia="仿宋_GB2312" w:cs="仿宋_GB2312"/>
          <w:sz w:val="32"/>
          <w:szCs w:val="32"/>
          <w:lang w:val="en-US" w:eastAsia="zh-CN"/>
        </w:rPr>
        <w:t>社会和谐稳定</w:t>
      </w:r>
      <w:r>
        <w:rPr>
          <w:rFonts w:hint="eastAsia" w:ascii="仿宋_GB2312" w:hAnsi="仿宋_GB2312" w:eastAsia="仿宋_GB2312" w:cs="仿宋_GB2312"/>
          <w:sz w:val="32"/>
          <w:szCs w:val="32"/>
          <w:lang w:val="en-US" w:eastAsia="zh-CN"/>
        </w:rPr>
        <w:t>。</w:t>
      </w:r>
      <w:r>
        <w:rPr>
          <w:rFonts w:hint="eastAsia" w:ascii="Times New Roman" w:hAnsi="Times New Roman" w:eastAsia="仿宋_GB2312" w:cs="Times New Roman"/>
          <w:kern w:val="0"/>
          <w:sz w:val="32"/>
          <w:szCs w:val="32"/>
          <w:lang w:val="en-US" w:eastAsia="zh-CN"/>
        </w:rPr>
        <w:t>根据</w:t>
      </w:r>
      <w:r>
        <w:rPr>
          <w:rFonts w:hint="eastAsia" w:ascii="仿宋_GB2312" w:hAnsi="仿宋_GB2312" w:eastAsia="仿宋_GB2312" w:cs="仿宋_GB2312"/>
          <w:sz w:val="32"/>
          <w:szCs w:val="32"/>
          <w:lang w:eastAsia="zh-CN"/>
        </w:rPr>
        <w:t>司法部、国家信访局《关于深入开展律师参与信访工作的意见》和司法部《关于进一步加强和规范村（居）法律顾问工作的意见》等有关规定，现结合实际，特制订</w:t>
      </w:r>
      <w:r>
        <w:rPr>
          <w:rFonts w:hint="eastAsia" w:ascii="仿宋_GB2312" w:hAnsi="仿宋_GB2312" w:eastAsia="仿宋_GB2312" w:cs="仿宋_GB2312"/>
          <w:sz w:val="32"/>
          <w:szCs w:val="32"/>
          <w:lang w:val="en-US" w:eastAsia="zh-CN"/>
        </w:rPr>
        <w:t>2026年高新区信访接待与村（居）法律顾问服务机构采购方案，将法律顾问服务采购分成五个标段：</w:t>
      </w:r>
    </w:p>
    <w:p w14:paraId="4DE9C1E1">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1.第一标段：星期一高新区综治中心和政务大厅法律咨询窗口坐班（至少各1名律师）及其他法律咨询，并为高新区2个街道辖区村（居）提供法律服务。数量：1家，全年预算：5.9万元。</w:t>
      </w:r>
    </w:p>
    <w:p w14:paraId="0BAA1610">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2.第二标段：星期二高新区综治中心和政务大厅法律咨询窗口坐班（至少各1名律师）及其他法律咨询，并为高新区2个街道辖区村（居）提供法律服务。数量：1家，全年预算：5.9万元。</w:t>
      </w:r>
    </w:p>
    <w:p w14:paraId="457A5E2F">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3.第三标段：星期三高新区综治中心和政务大厅法律咨询窗口坐班（至少各1名律师）及其他法律咨询，并为高新区2个街道辖区村（居）提供法律服务。数量：1家，全年预算：5.9万元。</w:t>
      </w:r>
    </w:p>
    <w:p w14:paraId="6CEE2260">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4.第四标段：星期四高新区综治中心和政务大厅法律咨询窗口坐班（至少各1名律师）及其他法律咨询，并为高新区2个街道辖区村（居）提供法律服务。数量：1家，全年预算：5.9万元。</w:t>
      </w:r>
    </w:p>
    <w:p w14:paraId="7D9EE975">
      <w:pPr>
        <w:keepNext w:val="0"/>
        <w:keepLines w:val="0"/>
        <w:pageBreakBefore w:val="0"/>
        <w:widowControl w:val="0"/>
        <w:kinsoku/>
        <w:wordWrap/>
        <w:overflowPunct/>
        <w:topLinePunct w:val="0"/>
        <w:bidi w:val="0"/>
        <w:spacing w:line="600" w:lineRule="exact"/>
        <w:ind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5.第五标段：星期五高新区综治中心和政务大厅法律咨询窗口坐班（至少各1名律师）及其他法律咨询，并为高新区2个街道辖区村（居）提供法律服务。数量：1家，全年预算：5.9万元。</w:t>
      </w:r>
    </w:p>
    <w:p w14:paraId="166D8F59">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leftChars="0"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服务内容</w:t>
      </w:r>
    </w:p>
    <w:p w14:paraId="52802890">
      <w:pPr>
        <w:keepNext w:val="0"/>
        <w:keepLines w:val="0"/>
        <w:pageBreakBefore w:val="0"/>
        <w:widowControl w:val="0"/>
        <w:numPr>
          <w:ilvl w:val="0"/>
          <w:numId w:val="0"/>
        </w:numPr>
        <w:kinsoku/>
        <w:wordWrap/>
        <w:overflowPunct/>
        <w:topLinePunct w:val="0"/>
        <w:autoSpaceDE w:val="0"/>
        <w:autoSpaceDN w:val="0"/>
        <w:bidi w:val="0"/>
        <w:adjustRightInd w:val="0"/>
        <w:spacing w:line="600" w:lineRule="exact"/>
        <w:ind w:leftChars="0" w:right="0" w:firstLine="640" w:firstLineChars="200"/>
        <w:jc w:val="left"/>
        <w:textAlignment w:val="auto"/>
        <w:rPr>
          <w:rFonts w:hint="eastAsia" w:ascii="楷体_GB2312" w:hAnsi="楷体_GB2312" w:eastAsia="楷体_GB2312" w:cs="楷体_GB2312"/>
          <w:b w:val="0"/>
          <w:bCs w:val="0"/>
          <w:color w:val="auto"/>
          <w:kern w:val="0"/>
          <w:sz w:val="32"/>
          <w:szCs w:val="32"/>
          <w:shd w:val="clear" w:color="auto" w:fill="auto"/>
          <w:lang w:eastAsia="zh-CN"/>
        </w:rPr>
      </w:pPr>
      <w:r>
        <w:rPr>
          <w:rFonts w:hint="eastAsia" w:ascii="楷体_GB2312" w:hAnsi="楷体_GB2312" w:eastAsia="楷体_GB2312" w:cs="楷体_GB2312"/>
          <w:b w:val="0"/>
          <w:bCs w:val="0"/>
          <w:color w:val="auto"/>
          <w:kern w:val="0"/>
          <w:sz w:val="32"/>
          <w:szCs w:val="32"/>
          <w:shd w:val="clear" w:color="auto" w:fill="auto"/>
          <w:lang w:eastAsia="zh-CN"/>
        </w:rPr>
        <w:t>（一）信访接待</w:t>
      </w:r>
    </w:p>
    <w:p w14:paraId="4C5123FD">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1.</w:t>
      </w:r>
      <w:r>
        <w:rPr>
          <w:rFonts w:hint="default" w:ascii="仿宋_GB2312" w:hAnsi="仿宋_GB2312" w:eastAsia="仿宋_GB2312" w:cs="仿宋_GB2312"/>
          <w:color w:val="auto"/>
          <w:sz w:val="32"/>
          <w:szCs w:val="32"/>
          <w:shd w:val="clear" w:color="auto" w:fill="auto"/>
          <w:lang w:val="en-US" w:eastAsia="zh-CN"/>
        </w:rPr>
        <w:t>指派1名律师常驻</w:t>
      </w:r>
      <w:r>
        <w:rPr>
          <w:rFonts w:hint="eastAsia" w:ascii="仿宋_GB2312" w:hAnsi="仿宋_GB2312" w:eastAsia="仿宋_GB2312" w:cs="仿宋_GB2312"/>
          <w:color w:val="auto"/>
          <w:sz w:val="32"/>
          <w:szCs w:val="32"/>
          <w:shd w:val="clear" w:color="auto" w:fill="auto"/>
          <w:lang w:val="en-US" w:eastAsia="zh-CN"/>
        </w:rPr>
        <w:t>高新区综治中心</w:t>
      </w:r>
      <w:r>
        <w:rPr>
          <w:rFonts w:hint="default" w:ascii="仿宋_GB2312" w:hAnsi="仿宋_GB2312" w:eastAsia="仿宋_GB2312" w:cs="仿宋_GB2312"/>
          <w:color w:val="auto"/>
          <w:sz w:val="32"/>
          <w:szCs w:val="32"/>
          <w:shd w:val="clear" w:color="auto" w:fill="auto"/>
          <w:lang w:val="en-US" w:eastAsia="zh-CN"/>
        </w:rPr>
        <w:t>，</w:t>
      </w:r>
      <w:r>
        <w:rPr>
          <w:rFonts w:hint="eastAsia" w:ascii="仿宋_GB2312" w:hAnsi="仿宋_GB2312" w:eastAsia="仿宋_GB2312" w:cs="仿宋_GB2312"/>
          <w:color w:val="auto"/>
          <w:sz w:val="32"/>
          <w:szCs w:val="32"/>
          <w:shd w:val="clear" w:color="auto" w:fill="auto"/>
          <w:lang w:val="en-US" w:eastAsia="zh-CN"/>
        </w:rPr>
        <w:t>向信访人提供法律咨询服务；</w:t>
      </w:r>
    </w:p>
    <w:p w14:paraId="2A06ACEB">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2.参与群众来访、领导接访、听证会等相关活动，并给出相应法律意见；</w:t>
      </w:r>
    </w:p>
    <w:p w14:paraId="3424DD88">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3.参与信访事项复查的办理，并及时出具书面法律意见；</w:t>
      </w:r>
    </w:p>
    <w:p w14:paraId="0E62351F">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4.参与交办的信访疑难案件化解事项，并从法律角度给出相应的可操作、可执行的解决方案和法律意见书；</w:t>
      </w:r>
    </w:p>
    <w:p w14:paraId="1775D829">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5.参与信访相关规范性文件的起草、调研论证、审查等工作，并出具合法性审查意见;</w:t>
      </w:r>
    </w:p>
    <w:p w14:paraId="02C2DFB0">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6.为信访重大决策和重要行为提供法律咨询，并出具合法性审查意见;</w:t>
      </w:r>
    </w:p>
    <w:p w14:paraId="4D434DA7">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7.参与信访重要合同的洽谈，起草、审查合同及其他有关法律文书;</w:t>
      </w:r>
    </w:p>
    <w:p w14:paraId="3F46AD4C">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8.协助开展信访法治宣传、教育培训和政策咨询工作;</w:t>
      </w:r>
    </w:p>
    <w:p w14:paraId="7353FA5D">
      <w:pPr>
        <w:keepNext w:val="0"/>
        <w:keepLines w:val="0"/>
        <w:pageBreakBefore w:val="0"/>
        <w:widowControl w:val="0"/>
        <w:kinsoku/>
        <w:wordWrap/>
        <w:overflowPunct/>
        <w:topLinePunct w:val="0"/>
        <w:bidi w:val="0"/>
        <w:spacing w:line="600" w:lineRule="exact"/>
        <w:ind w:leftChars="0" w:right="0" w:firstLine="640" w:firstLineChars="2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9.办理与信访有关的其他法律事务。</w:t>
      </w:r>
    </w:p>
    <w:p w14:paraId="4FFFD47B">
      <w:pPr>
        <w:keepNext w:val="0"/>
        <w:keepLines w:val="0"/>
        <w:pageBreakBefore w:val="0"/>
        <w:widowControl w:val="0"/>
        <w:numPr>
          <w:ilvl w:val="0"/>
          <w:numId w:val="0"/>
        </w:numPr>
        <w:kinsoku/>
        <w:wordWrap/>
        <w:overflowPunct/>
        <w:topLinePunct w:val="0"/>
        <w:autoSpaceDE w:val="0"/>
        <w:autoSpaceDN w:val="0"/>
        <w:bidi w:val="0"/>
        <w:adjustRightInd w:val="0"/>
        <w:spacing w:line="600" w:lineRule="exact"/>
        <w:ind w:leftChars="0" w:right="0" w:firstLine="640" w:firstLineChars="200"/>
        <w:jc w:val="left"/>
        <w:textAlignment w:val="auto"/>
        <w:rPr>
          <w:rFonts w:hint="eastAsia" w:ascii="楷体_GB2312" w:hAnsi="楷体_GB2312" w:eastAsia="楷体_GB2312" w:cs="楷体_GB2312"/>
          <w:b w:val="0"/>
          <w:bCs w:val="0"/>
          <w:kern w:val="0"/>
          <w:sz w:val="32"/>
          <w:szCs w:val="32"/>
          <w:lang w:eastAsia="zh-CN"/>
        </w:rPr>
      </w:pPr>
      <w:r>
        <w:rPr>
          <w:rFonts w:hint="eastAsia" w:ascii="楷体_GB2312" w:hAnsi="楷体_GB2312" w:eastAsia="楷体_GB2312" w:cs="楷体_GB2312"/>
          <w:b w:val="0"/>
          <w:bCs w:val="0"/>
          <w:kern w:val="0"/>
          <w:sz w:val="32"/>
          <w:szCs w:val="32"/>
          <w:lang w:eastAsia="zh-CN"/>
        </w:rPr>
        <w:t>（二）村（居）法律顾问服务</w:t>
      </w:r>
    </w:p>
    <w:p w14:paraId="0850B7B4">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1.指派1名律师常驻高新区政务大厅法律咨询窗口，向群众和企业提供法律咨询服务;</w:t>
      </w:r>
    </w:p>
    <w:p w14:paraId="398664AC">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2.协助村（居）做好自治管理。主要包括：（</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）帮助村（居）起草、审核、修订自治组织章程、村规民约以及其他规章制度;（</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）为村（居）换届选举工作提供法律咨询和协助;（</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）为村（居）重大经济、民生和社会管理方面的决策提供法律意见;（</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应村（居）要求，帮助村（居）起草、审查民事经济合同、接受委托参与项目谈判等非诉讼活动及诉讼活动(参与诉讼活动需另行协商收取律师服务费用及依法办理委托代理手续,律师事务所可酌情予以减免收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）参与村（居）“民主法治示范村（社区）</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创建、“法律明白人”培养等活动，推动基层民主法治建设;</w:t>
      </w:r>
    </w:p>
    <w:p w14:paraId="1F4237DF">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3.为村（居）辖区内的群众提供法律咨询，每周至少到街道司法所提供不少于1次、4小时的现场坐班法律服务；</w:t>
      </w:r>
    </w:p>
    <w:p w14:paraId="46ABF1BA">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4.举办法治讲座,开展法治宣传、培训。每月至少举办一次法治讲座或开展一次法治宣传(法治体检)，讲座备有讲义提纲,并报街道司法所备案;</w:t>
      </w:r>
    </w:p>
    <w:p w14:paraId="4015A29A">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5.协助开展人民调解工作，参与率不少于</w:t>
      </w:r>
      <w:r>
        <w:rPr>
          <w:rFonts w:hint="eastAsia" w:ascii="仿宋_GB2312" w:hAnsi="仿宋_GB2312" w:eastAsia="仿宋_GB2312" w:cs="仿宋_GB2312"/>
          <w:sz w:val="32"/>
          <w:szCs w:val="32"/>
          <w:lang w:val="en-US" w:eastAsia="zh-CN"/>
        </w:rPr>
        <w:t>街道</w:t>
      </w:r>
      <w:r>
        <w:rPr>
          <w:rFonts w:hint="eastAsia" w:ascii="仿宋_GB2312" w:hAnsi="仿宋_GB2312" w:eastAsia="仿宋_GB2312" w:cs="仿宋_GB2312"/>
          <w:sz w:val="32"/>
          <w:szCs w:val="32"/>
          <w:lang w:eastAsia="zh-CN"/>
        </w:rPr>
        <w:t>全年人民调解案件数量的</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lang w:eastAsia="zh-CN"/>
        </w:rPr>
        <w:t>%;</w:t>
      </w:r>
    </w:p>
    <w:p w14:paraId="0A652FE4">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6.按照党群工作部和街道司法所安排开展其他相关法律服务工作。</w:t>
      </w:r>
    </w:p>
    <w:p w14:paraId="7333F367">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服务范围</w:t>
      </w:r>
    </w:p>
    <w:p w14:paraId="2AED52CD">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法律服务范围主要涵盖日常工作中所涉及的问题，包括但不限于：征地拆迁、违法建设查处、行政审批、国土规划、</w:t>
      </w:r>
      <w:r>
        <w:rPr>
          <w:rFonts w:hint="eastAsia" w:ascii="仿宋_GB2312" w:hAnsi="仿宋_GB2312" w:eastAsia="仿宋_GB2312" w:cs="仿宋_GB2312"/>
          <w:sz w:val="32"/>
          <w:szCs w:val="32"/>
          <w:lang w:val="en-US" w:eastAsia="zh-CN"/>
        </w:rPr>
        <w:t>生态</w:t>
      </w:r>
      <w:r>
        <w:rPr>
          <w:rFonts w:hint="eastAsia" w:ascii="仿宋_GB2312" w:hAnsi="仿宋_GB2312" w:eastAsia="仿宋_GB2312" w:cs="仿宋_GB2312"/>
          <w:sz w:val="32"/>
          <w:szCs w:val="32"/>
          <w:lang w:eastAsia="zh-CN"/>
        </w:rPr>
        <w:t>环保、</w:t>
      </w:r>
      <w:r>
        <w:rPr>
          <w:rFonts w:hint="eastAsia" w:ascii="仿宋_GB2312" w:hAnsi="仿宋_GB2312" w:eastAsia="仿宋_GB2312" w:cs="仿宋_GB2312"/>
          <w:sz w:val="32"/>
          <w:szCs w:val="32"/>
          <w:lang w:val="en-US" w:eastAsia="zh-CN"/>
        </w:rPr>
        <w:t>劳动纠纷和社保、</w:t>
      </w:r>
      <w:r>
        <w:rPr>
          <w:rFonts w:hint="eastAsia" w:ascii="仿宋_GB2312" w:hAnsi="仿宋_GB2312" w:eastAsia="仿宋_GB2312" w:cs="仿宋_GB2312"/>
          <w:sz w:val="32"/>
          <w:szCs w:val="32"/>
          <w:lang w:eastAsia="zh-CN"/>
        </w:rPr>
        <w:t>市场监管、社区和物业管理、矛盾调解等。</w:t>
      </w:r>
    </w:p>
    <w:p w14:paraId="2B5EA899">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服务机构数量</w:t>
      </w:r>
    </w:p>
    <w:p w14:paraId="0A3BABA7">
      <w:pPr>
        <w:keepNext w:val="0"/>
        <w:keepLines w:val="0"/>
        <w:pageBreakBefore w:val="0"/>
        <w:widowControl w:val="0"/>
        <w:kinsoku/>
        <w:wordWrap/>
        <w:overflowPunct/>
        <w:topLinePunct w:val="0"/>
        <w:bidi w:val="0"/>
        <w:adjustRightInd w:val="0"/>
        <w:snapToGrid w:val="0"/>
        <w:spacing w:line="600" w:lineRule="exact"/>
        <w:ind w:right="0" w:firstLine="640" w:firstLineChars="200"/>
        <w:textAlignment w:val="auto"/>
        <w:rPr>
          <w:rFonts w:hint="eastAsia" w:ascii="仿宋_GB2312" w:hAnsi="仿宋_GB2312" w:eastAsia="仿宋_GB2312" w:cs="仿宋_GB2312"/>
          <w:kern w:val="0"/>
          <w:sz w:val="32"/>
          <w:szCs w:val="32"/>
          <w:shd w:val="clear" w:color="auto" w:fill="auto"/>
        </w:rPr>
      </w:pPr>
      <w:r>
        <w:rPr>
          <w:rFonts w:hint="eastAsia" w:ascii="仿宋_GB2312" w:hAnsi="仿宋_GB2312" w:eastAsia="仿宋_GB2312" w:cs="仿宋_GB2312"/>
          <w:kern w:val="0"/>
          <w:sz w:val="32"/>
          <w:szCs w:val="32"/>
          <w:shd w:val="clear" w:color="auto" w:fill="auto"/>
          <w:lang w:eastAsia="zh-CN"/>
        </w:rPr>
        <w:t>拟</w:t>
      </w:r>
      <w:r>
        <w:rPr>
          <w:rFonts w:hint="eastAsia" w:ascii="仿宋_GB2312" w:hAnsi="仿宋_GB2312" w:eastAsia="仿宋_GB2312" w:cs="仿宋_GB2312"/>
          <w:kern w:val="0"/>
          <w:sz w:val="32"/>
          <w:szCs w:val="32"/>
          <w:shd w:val="clear" w:color="auto" w:fill="auto"/>
        </w:rPr>
        <w:t>采购5家法律服务机构进行法律服务。</w:t>
      </w:r>
    </w:p>
    <w:p w14:paraId="0702F354">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服务期限</w:t>
      </w:r>
    </w:p>
    <w:p w14:paraId="0687E7E0">
      <w:pPr>
        <w:keepNext w:val="0"/>
        <w:keepLines w:val="0"/>
        <w:pageBreakBefore w:val="0"/>
        <w:widowControl w:val="0"/>
        <w:kinsoku/>
        <w:wordWrap/>
        <w:overflowPunct/>
        <w:topLinePunct w:val="0"/>
        <w:bidi w:val="0"/>
        <w:adjustRightInd w:val="0"/>
        <w:snapToGrid w:val="0"/>
        <w:spacing w:line="600" w:lineRule="exact"/>
        <w:ind w:right="0" w:firstLine="640" w:firstLineChars="200"/>
        <w:textAlignment w:val="auto"/>
        <w:rPr>
          <w:rFonts w:hint="eastAsia" w:ascii="仿宋_GB2312" w:hAnsi="仿宋_GB2312" w:eastAsia="仿宋_GB2312" w:cs="仿宋_GB2312"/>
          <w:kern w:val="0"/>
          <w:sz w:val="32"/>
          <w:szCs w:val="32"/>
          <w:shd w:val="clear" w:color="auto" w:fill="auto"/>
        </w:rPr>
      </w:pPr>
      <w:r>
        <w:rPr>
          <w:rFonts w:hint="eastAsia" w:ascii="仿宋_GB2312" w:hAnsi="仿宋_GB2312" w:eastAsia="仿宋_GB2312" w:cs="仿宋_GB2312"/>
          <w:color w:val="000000" w:themeColor="text1"/>
          <w:kern w:val="0"/>
          <w:sz w:val="32"/>
          <w:szCs w:val="32"/>
          <w:shd w:val="clear" w:color="auto" w:fill="auto"/>
          <w:lang w:val="en-US" w:eastAsia="zh-CN"/>
          <w14:textFill>
            <w14:solidFill>
              <w14:schemeClr w14:val="tx1"/>
            </w14:solidFill>
          </w14:textFill>
        </w:rPr>
        <w:t>合同签订后一年</w:t>
      </w:r>
      <w:r>
        <w:rPr>
          <w:rFonts w:hint="eastAsia" w:ascii="仿宋_GB2312" w:hAnsi="仿宋_GB2312" w:eastAsia="仿宋_GB2312" w:cs="仿宋_GB2312"/>
          <w:color w:val="000000" w:themeColor="text1"/>
          <w:kern w:val="0"/>
          <w:sz w:val="32"/>
          <w:szCs w:val="32"/>
          <w:shd w:val="clear" w:color="auto" w:fill="auto"/>
          <w14:textFill>
            <w14:solidFill>
              <w14:schemeClr w14:val="tx1"/>
            </w14:solidFill>
          </w14:textFill>
        </w:rPr>
        <w:t>。</w:t>
      </w:r>
    </w:p>
    <w:p w14:paraId="7EF944C6">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服务费用</w:t>
      </w:r>
    </w:p>
    <w:p w14:paraId="2B7641F9">
      <w:pPr>
        <w:keepNext w:val="0"/>
        <w:keepLines w:val="0"/>
        <w:pageBreakBefore w:val="0"/>
        <w:widowControl w:val="0"/>
        <w:kinsoku/>
        <w:wordWrap/>
        <w:overflowPunct/>
        <w:topLinePunct w:val="0"/>
        <w:autoSpaceDE/>
        <w:autoSpaceDN/>
        <w:bidi w:val="0"/>
        <w:adjustRightInd w:val="0"/>
        <w:snapToGrid w:val="0"/>
        <w:spacing w:line="600" w:lineRule="exact"/>
        <w:ind w:leftChars="0" w:right="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日常法律服务费</w:t>
      </w:r>
      <w:r>
        <w:rPr>
          <w:rFonts w:hint="eastAsia" w:ascii="仿宋_GB2312" w:hAnsi="仿宋_GB2312" w:eastAsia="仿宋_GB2312" w:cs="仿宋_GB2312"/>
          <w:sz w:val="32"/>
          <w:szCs w:val="32"/>
          <w:lang w:val="en-US" w:eastAsia="zh-CN"/>
        </w:rPr>
        <w:t>不超过5.9</w:t>
      </w:r>
      <w:r>
        <w:rPr>
          <w:rFonts w:hint="eastAsia" w:ascii="仿宋_GB2312" w:hAnsi="仿宋_GB2312" w:eastAsia="仿宋_GB2312" w:cs="仿宋_GB2312"/>
          <w:sz w:val="32"/>
          <w:szCs w:val="32"/>
          <w:lang w:eastAsia="zh-CN"/>
        </w:rPr>
        <w:t>万/年（含出具书面</w:t>
      </w:r>
      <w:r>
        <w:rPr>
          <w:rFonts w:hint="eastAsia" w:ascii="仿宋_GB2312" w:hAnsi="仿宋_GB2312" w:eastAsia="仿宋_GB2312" w:cs="仿宋_GB2312"/>
          <w:sz w:val="32"/>
          <w:szCs w:val="32"/>
          <w:lang w:val="en-US" w:eastAsia="zh-CN"/>
        </w:rPr>
        <w:t>法律</w:t>
      </w:r>
      <w:r>
        <w:rPr>
          <w:rFonts w:hint="eastAsia" w:ascii="仿宋_GB2312" w:hAnsi="仿宋_GB2312" w:eastAsia="仿宋_GB2312" w:cs="仿宋_GB2312"/>
          <w:sz w:val="32"/>
          <w:szCs w:val="32"/>
          <w:lang w:eastAsia="zh-CN"/>
        </w:rPr>
        <w:t>意见费用）。</w:t>
      </w:r>
    </w:p>
    <w:p w14:paraId="231F5762">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服务方式</w:t>
      </w:r>
    </w:p>
    <w:p w14:paraId="2F6C46D4">
      <w:pPr>
        <w:keepNext w:val="0"/>
        <w:keepLines w:val="0"/>
        <w:pageBreakBefore w:val="0"/>
        <w:widowControl w:val="0"/>
        <w:numPr>
          <w:ilvl w:val="0"/>
          <w:numId w:val="0"/>
        </w:numPr>
        <w:kinsoku/>
        <w:wordWrap/>
        <w:overflowPunct/>
        <w:topLinePunct w:val="0"/>
        <w:autoSpaceDE w:val="0"/>
        <w:autoSpaceDN w:val="0"/>
        <w:bidi w:val="0"/>
        <w:adjustRightInd w:val="0"/>
        <w:spacing w:line="600" w:lineRule="exact"/>
        <w:ind w:right="0" w:firstLine="640" w:firstLineChars="20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i w:val="0"/>
          <w:color w:val="000000" w:themeColor="text1"/>
          <w:kern w:val="0"/>
          <w:sz w:val="32"/>
          <w:szCs w:val="32"/>
          <w:lang w:val="en-US" w:eastAsia="zh-CN" w:bidi="ar"/>
          <w14:textFill>
            <w14:solidFill>
              <w14:schemeClr w14:val="tx1"/>
            </w14:solidFill>
          </w14:textFill>
        </w:rPr>
        <w:t xml:space="preserve">法律服务工作采取坐班和随机相结合的方式。五家法律服务机构每周一天分别在高新区综治中心和政务大厅法律咨询窗口坐班，其余时间随机接受咨询，并在相关街道提供村（居）法律顾问服务工作，并按时办结法律顾问职责范围内的工作事项。 </w:t>
      </w:r>
    </w:p>
    <w:p w14:paraId="277F4E48">
      <w:pPr>
        <w:keepNext w:val="0"/>
        <w:keepLines w:val="0"/>
        <w:pageBreakBefore w:val="0"/>
        <w:widowControl w:val="0"/>
        <w:numPr>
          <w:ilvl w:val="0"/>
          <w:numId w:val="1"/>
        </w:numPr>
        <w:kinsoku/>
        <w:wordWrap/>
        <w:overflowPunct/>
        <w:topLinePunct w:val="0"/>
        <w:autoSpaceDE w:val="0"/>
        <w:autoSpaceDN w:val="0"/>
        <w:bidi w:val="0"/>
        <w:adjustRightInd w:val="0"/>
        <w:spacing w:line="600" w:lineRule="exact"/>
        <w:ind w:right="0" w:firstLine="640" w:firstLineChars="200"/>
        <w:jc w:val="left"/>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法律服务机构应当遵守的规定</w:t>
      </w:r>
    </w:p>
    <w:p w14:paraId="09FC33F3">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在处理法律事务过程中获取的尚未公开的信息和法律事务处理意见，未经许可不得向第三人披露；</w:t>
      </w:r>
    </w:p>
    <w:p w14:paraId="1D021834">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谨慎、合理的完成工作任务，不得擅自委托他人处理有关事务，不得发表、散布有损</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声誉的言论和进行有损形象的行为；</w:t>
      </w:r>
    </w:p>
    <w:p w14:paraId="5C0B75F1">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与交办的事务存在利害关系，可能影响正在履行的职责的，应当回避。</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认为其与交办的事务存在利害关系的，可以要求其回避；</w:t>
      </w:r>
    </w:p>
    <w:p w14:paraId="48EACFF3">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不得利用</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律师代理机构的身份和便利，办理与</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法律服务工作无关的业务，不得</w:t>
      </w:r>
      <w:r>
        <w:rPr>
          <w:rFonts w:hint="eastAsia" w:ascii="仿宋_GB2312" w:hAnsi="仿宋_GB2312" w:eastAsia="仿宋_GB2312" w:cs="仿宋_GB2312"/>
          <w:kern w:val="0"/>
          <w:sz w:val="32"/>
          <w:szCs w:val="32"/>
          <w:lang w:eastAsia="zh-CN"/>
        </w:rPr>
        <w:t>利用我部</w:t>
      </w:r>
      <w:r>
        <w:rPr>
          <w:rFonts w:hint="eastAsia" w:ascii="仿宋_GB2312" w:hAnsi="仿宋_GB2312" w:eastAsia="仿宋_GB2312" w:cs="仿宋_GB2312"/>
          <w:kern w:val="0"/>
          <w:sz w:val="32"/>
          <w:szCs w:val="32"/>
        </w:rPr>
        <w:t>尚未披露的信息牟利；</w:t>
      </w:r>
    </w:p>
    <w:p w14:paraId="2293DFB0">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依据《中华人民共和国律师法》应当履行的其他义务；</w:t>
      </w:r>
    </w:p>
    <w:p w14:paraId="2DF2A011">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其他相关要求按《陕西省人民政府办公厅关于加强政府法律顾问工作的通知》（陕政办函〔2016〕</w:t>
      </w:r>
      <w:r>
        <w:rPr>
          <w:rFonts w:hint="eastAsia" w:ascii="仿宋_GB2312" w:hAnsi="仿宋_GB2312" w:eastAsia="仿宋_GB2312" w:cs="仿宋_GB2312"/>
          <w:kern w:val="0"/>
          <w:sz w:val="32"/>
          <w:szCs w:val="32"/>
          <w:lang w:eastAsia="zh-CN"/>
        </w:rPr>
        <w:t>6</w:t>
      </w:r>
      <w:r>
        <w:rPr>
          <w:rFonts w:hint="eastAsia" w:ascii="仿宋_GB2312" w:hAnsi="仿宋_GB2312" w:eastAsia="仿宋_GB2312" w:cs="仿宋_GB2312"/>
          <w:kern w:val="0"/>
          <w:sz w:val="32"/>
          <w:szCs w:val="32"/>
        </w:rPr>
        <w:t>号）文件相关规定执行。</w:t>
      </w:r>
    </w:p>
    <w:p w14:paraId="04397769">
      <w:pPr>
        <w:keepNext w:val="0"/>
        <w:keepLines w:val="0"/>
        <w:pageBreakBefore w:val="0"/>
        <w:widowControl w:val="0"/>
        <w:kinsoku/>
        <w:wordWrap/>
        <w:overflowPunct/>
        <w:topLinePunct w:val="0"/>
        <w:autoSpaceDE w:val="0"/>
        <w:autoSpaceDN w:val="0"/>
        <w:bidi w:val="0"/>
        <w:adjustRightInd w:val="0"/>
        <w:spacing w:line="600" w:lineRule="exact"/>
        <w:ind w:righ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律师服务团队应本着长期合作、专业服务的精神，应严格保证业务质量，一旦发现该团队从事服务的情况与专业水平与标书所述不符，或成交单位从事服务之律师的实际从业能力无法达到</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的要求，或因成交单位及指派往招标人从事服务之律师的过错给</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带来损失的，或不能按招标文件的要求提供服务的，</w:t>
      </w:r>
      <w:r>
        <w:rPr>
          <w:rFonts w:hint="eastAsia" w:ascii="仿宋_GB2312" w:hAnsi="仿宋_GB2312" w:eastAsia="仿宋_GB2312" w:cs="仿宋_GB2312"/>
          <w:kern w:val="0"/>
          <w:sz w:val="32"/>
          <w:szCs w:val="32"/>
          <w:lang w:eastAsia="zh-CN"/>
        </w:rPr>
        <w:t>我部</w:t>
      </w:r>
      <w:r>
        <w:rPr>
          <w:rFonts w:hint="eastAsia" w:ascii="仿宋_GB2312" w:hAnsi="仿宋_GB2312" w:eastAsia="仿宋_GB2312" w:cs="仿宋_GB2312"/>
          <w:kern w:val="0"/>
          <w:sz w:val="32"/>
          <w:szCs w:val="32"/>
        </w:rPr>
        <w:t>保留中途解聘并要求赔偿的权利，且</w:t>
      </w:r>
      <w:r>
        <w:rPr>
          <w:rFonts w:hint="eastAsia" w:ascii="仿宋_GB2312" w:hAnsi="仿宋_GB2312" w:eastAsia="仿宋_GB2312" w:cs="仿宋_GB2312"/>
          <w:kern w:val="0"/>
          <w:sz w:val="32"/>
          <w:szCs w:val="32"/>
          <w:lang w:val="en-US" w:eastAsia="zh-CN"/>
        </w:rPr>
        <w:t>我部</w:t>
      </w:r>
      <w:r>
        <w:rPr>
          <w:rFonts w:hint="eastAsia" w:ascii="仿宋_GB2312" w:hAnsi="仿宋_GB2312" w:eastAsia="仿宋_GB2312" w:cs="仿宋_GB2312"/>
          <w:kern w:val="0"/>
          <w:sz w:val="32"/>
          <w:szCs w:val="32"/>
        </w:rPr>
        <w:t>将不承担任何费用。</w:t>
      </w:r>
    </w:p>
    <w:p w14:paraId="220D3920">
      <w:pPr>
        <w:keepNext w:val="0"/>
        <w:keepLines w:val="0"/>
        <w:pageBreakBefore w:val="0"/>
        <w:widowControl w:val="0"/>
        <w:numPr>
          <w:ilvl w:val="0"/>
          <w:numId w:val="0"/>
        </w:numPr>
        <w:tabs>
          <w:tab w:val="left" w:pos="710"/>
        </w:tabs>
        <w:kinsoku/>
        <w:wordWrap/>
        <w:overflowPunct/>
        <w:topLinePunct w:val="0"/>
        <w:bidi w:val="0"/>
        <w:adjustRightInd w:val="0"/>
        <w:snapToGrid w:val="0"/>
        <w:spacing w:line="600" w:lineRule="exact"/>
        <w:jc w:val="center"/>
        <w:textAlignment w:val="auto"/>
        <w:rPr>
          <w:rFonts w:hint="eastAsia" w:ascii="仿宋_GB2312" w:hAnsi="仿宋_GB2312" w:eastAsia="仿宋_GB2312" w:cs="仿宋_GB2312"/>
          <w:kern w:val="0"/>
          <w:sz w:val="32"/>
          <w:szCs w:val="32"/>
          <w:lang w:val="en-US" w:eastAsia="zh-CN"/>
        </w:rPr>
      </w:pPr>
      <w:bookmarkStart w:id="0" w:name="_GoBack"/>
      <w:bookmarkEnd w:id="0"/>
      <w:r>
        <w:rPr>
          <w:rFonts w:hint="eastAsia" w:ascii="仿宋_GB2312" w:hAnsi="仿宋_GB2312" w:eastAsia="仿宋_GB2312" w:cs="仿宋_GB2312"/>
          <w:kern w:val="0"/>
          <w:sz w:val="32"/>
          <w:szCs w:val="32"/>
          <w:lang w:val="en-US" w:eastAsia="zh-CN"/>
        </w:rPr>
        <w:t xml:space="preserve">                                  </w:t>
      </w:r>
    </w:p>
    <w:p w14:paraId="5DE272ED">
      <w:pPr>
        <w:keepNext w:val="0"/>
        <w:keepLines w:val="0"/>
        <w:pageBreakBefore w:val="0"/>
        <w:widowControl w:val="0"/>
        <w:kinsoku/>
        <w:wordWrap/>
        <w:overflowPunct/>
        <w:topLinePunct w:val="0"/>
        <w:autoSpaceDE/>
        <w:autoSpaceDN/>
        <w:bidi w:val="0"/>
        <w:adjustRightInd/>
        <w:snapToGrid/>
        <w:spacing w:line="600" w:lineRule="exact"/>
        <w:ind w:firstLine="3520" w:firstLineChars="11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sz w:val="32"/>
          <w:szCs w:val="32"/>
          <w:lang w:val="en-US" w:eastAsia="zh-CN"/>
        </w:rPr>
        <w:t>中共西安高新区工委党群工作部</w:t>
      </w:r>
    </w:p>
    <w:p w14:paraId="0D1A0973">
      <w:pPr>
        <w:keepNext w:val="0"/>
        <w:keepLines w:val="0"/>
        <w:pageBreakBefore w:val="0"/>
        <w:widowControl w:val="0"/>
        <w:numPr>
          <w:ilvl w:val="0"/>
          <w:numId w:val="0"/>
        </w:numPr>
        <w:tabs>
          <w:tab w:val="left" w:pos="710"/>
        </w:tabs>
        <w:kinsoku/>
        <w:wordWrap/>
        <w:overflowPunct/>
        <w:topLinePunct w:val="0"/>
        <w:bidi w:val="0"/>
        <w:adjustRightInd w:val="0"/>
        <w:snapToGrid w:val="0"/>
        <w:spacing w:line="600" w:lineRule="exact"/>
        <w:jc w:val="center"/>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2026年7月8日</w:t>
      </w:r>
    </w:p>
    <w:sectPr>
      <w:footerReference r:id="rId3" w:type="default"/>
      <w:pgSz w:w="11906" w:h="16838"/>
      <w:pgMar w:top="1701" w:right="1474" w:bottom="1134" w:left="158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F1E6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E312B7">
                          <w:pPr>
                            <w:pStyle w:val="3"/>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4E312B7">
                    <w:pPr>
                      <w:pStyle w:val="3"/>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9A446E"/>
    <w:multiLevelType w:val="singleLevel"/>
    <w:tmpl w:val="599A446E"/>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kZDIzODdlZjhhOGM4NjRjN2ZjNzI1MmQ0ZjZmNmEifQ=="/>
  </w:docVars>
  <w:rsids>
    <w:rsidRoot w:val="5B2865B3"/>
    <w:rsid w:val="00003D05"/>
    <w:rsid w:val="000264AE"/>
    <w:rsid w:val="001A59E0"/>
    <w:rsid w:val="001F1286"/>
    <w:rsid w:val="002B0BD4"/>
    <w:rsid w:val="002B5010"/>
    <w:rsid w:val="00367FCA"/>
    <w:rsid w:val="00377ED9"/>
    <w:rsid w:val="0046564D"/>
    <w:rsid w:val="0046795F"/>
    <w:rsid w:val="00476FBE"/>
    <w:rsid w:val="0057232A"/>
    <w:rsid w:val="005C7BCB"/>
    <w:rsid w:val="007503D1"/>
    <w:rsid w:val="00767F71"/>
    <w:rsid w:val="007F0DFE"/>
    <w:rsid w:val="00861F84"/>
    <w:rsid w:val="008E6829"/>
    <w:rsid w:val="009167D3"/>
    <w:rsid w:val="00932279"/>
    <w:rsid w:val="009A7F36"/>
    <w:rsid w:val="00A313AB"/>
    <w:rsid w:val="00AA6453"/>
    <w:rsid w:val="00B06A92"/>
    <w:rsid w:val="00C23D54"/>
    <w:rsid w:val="00C8471C"/>
    <w:rsid w:val="00CE57D4"/>
    <w:rsid w:val="00CF319D"/>
    <w:rsid w:val="00DA688E"/>
    <w:rsid w:val="00DC7A12"/>
    <w:rsid w:val="00E33D61"/>
    <w:rsid w:val="00E47253"/>
    <w:rsid w:val="00F252CD"/>
    <w:rsid w:val="00F37823"/>
    <w:rsid w:val="00F60171"/>
    <w:rsid w:val="01205D5C"/>
    <w:rsid w:val="016942B4"/>
    <w:rsid w:val="01C947CE"/>
    <w:rsid w:val="026A14FF"/>
    <w:rsid w:val="02D9036D"/>
    <w:rsid w:val="04D246E7"/>
    <w:rsid w:val="04DF3EEF"/>
    <w:rsid w:val="05CF138F"/>
    <w:rsid w:val="090E6756"/>
    <w:rsid w:val="0A101FA1"/>
    <w:rsid w:val="0A610A95"/>
    <w:rsid w:val="0BAF6F03"/>
    <w:rsid w:val="0BBC518B"/>
    <w:rsid w:val="0C244874"/>
    <w:rsid w:val="0F822F76"/>
    <w:rsid w:val="101074FD"/>
    <w:rsid w:val="102B29DC"/>
    <w:rsid w:val="10EC28F3"/>
    <w:rsid w:val="111F2D1C"/>
    <w:rsid w:val="117C4EAE"/>
    <w:rsid w:val="124D6A63"/>
    <w:rsid w:val="138658AD"/>
    <w:rsid w:val="13B12D4A"/>
    <w:rsid w:val="14310155"/>
    <w:rsid w:val="14FB6805"/>
    <w:rsid w:val="15FD5CB4"/>
    <w:rsid w:val="174363DF"/>
    <w:rsid w:val="17571FB6"/>
    <w:rsid w:val="17A437A9"/>
    <w:rsid w:val="184041A6"/>
    <w:rsid w:val="190176DD"/>
    <w:rsid w:val="1995417F"/>
    <w:rsid w:val="19A503A2"/>
    <w:rsid w:val="1B1E4CBB"/>
    <w:rsid w:val="1C281528"/>
    <w:rsid w:val="1FB7470B"/>
    <w:rsid w:val="1FE07379"/>
    <w:rsid w:val="21DE22C9"/>
    <w:rsid w:val="22003286"/>
    <w:rsid w:val="2232104E"/>
    <w:rsid w:val="24DA21CD"/>
    <w:rsid w:val="2501731E"/>
    <w:rsid w:val="25021A8B"/>
    <w:rsid w:val="25446AD9"/>
    <w:rsid w:val="258F0305"/>
    <w:rsid w:val="261B3547"/>
    <w:rsid w:val="26DF49A7"/>
    <w:rsid w:val="27663C6B"/>
    <w:rsid w:val="27EB0734"/>
    <w:rsid w:val="286D3AE8"/>
    <w:rsid w:val="29922713"/>
    <w:rsid w:val="2A2872C4"/>
    <w:rsid w:val="2A8653A5"/>
    <w:rsid w:val="2B0A5B29"/>
    <w:rsid w:val="2B8E505A"/>
    <w:rsid w:val="2BAA53A6"/>
    <w:rsid w:val="2D195510"/>
    <w:rsid w:val="3078516B"/>
    <w:rsid w:val="30A76A89"/>
    <w:rsid w:val="31765FCF"/>
    <w:rsid w:val="31B71127"/>
    <w:rsid w:val="32FD3720"/>
    <w:rsid w:val="3590050E"/>
    <w:rsid w:val="36CB213A"/>
    <w:rsid w:val="373D24BC"/>
    <w:rsid w:val="3789606F"/>
    <w:rsid w:val="37897724"/>
    <w:rsid w:val="37AA766C"/>
    <w:rsid w:val="38904289"/>
    <w:rsid w:val="39320F86"/>
    <w:rsid w:val="399179EB"/>
    <w:rsid w:val="3AEE4F58"/>
    <w:rsid w:val="3BD00E01"/>
    <w:rsid w:val="3D577B08"/>
    <w:rsid w:val="3E38532E"/>
    <w:rsid w:val="3F5A10CE"/>
    <w:rsid w:val="40454365"/>
    <w:rsid w:val="427949B0"/>
    <w:rsid w:val="44986F84"/>
    <w:rsid w:val="450A5A17"/>
    <w:rsid w:val="45B70AAA"/>
    <w:rsid w:val="460B6566"/>
    <w:rsid w:val="461F0862"/>
    <w:rsid w:val="46DA1E44"/>
    <w:rsid w:val="47493372"/>
    <w:rsid w:val="4903480E"/>
    <w:rsid w:val="492E4022"/>
    <w:rsid w:val="49674726"/>
    <w:rsid w:val="4A1E62F3"/>
    <w:rsid w:val="4B1A09FF"/>
    <w:rsid w:val="4B393FF2"/>
    <w:rsid w:val="4C1836F7"/>
    <w:rsid w:val="4C5766FE"/>
    <w:rsid w:val="4D023D4B"/>
    <w:rsid w:val="4DA82064"/>
    <w:rsid w:val="4DD62C29"/>
    <w:rsid w:val="4F151B7E"/>
    <w:rsid w:val="4FC6756F"/>
    <w:rsid w:val="50010702"/>
    <w:rsid w:val="509314B3"/>
    <w:rsid w:val="516A19C4"/>
    <w:rsid w:val="52654F86"/>
    <w:rsid w:val="528725F8"/>
    <w:rsid w:val="53AC2F68"/>
    <w:rsid w:val="540E49C9"/>
    <w:rsid w:val="554B7C60"/>
    <w:rsid w:val="572F5526"/>
    <w:rsid w:val="5778258E"/>
    <w:rsid w:val="58B328FF"/>
    <w:rsid w:val="5B2865B3"/>
    <w:rsid w:val="5BCC536E"/>
    <w:rsid w:val="5C0E3D58"/>
    <w:rsid w:val="5C6B553B"/>
    <w:rsid w:val="5DC13C89"/>
    <w:rsid w:val="5E83371C"/>
    <w:rsid w:val="5E866CCD"/>
    <w:rsid w:val="606C72E1"/>
    <w:rsid w:val="60E55D1E"/>
    <w:rsid w:val="61FB43E4"/>
    <w:rsid w:val="674671D3"/>
    <w:rsid w:val="689C4AEE"/>
    <w:rsid w:val="68CD518A"/>
    <w:rsid w:val="692D2291"/>
    <w:rsid w:val="69430983"/>
    <w:rsid w:val="69A93391"/>
    <w:rsid w:val="6D256EC2"/>
    <w:rsid w:val="6D2B3935"/>
    <w:rsid w:val="6DE73385"/>
    <w:rsid w:val="6F74754D"/>
    <w:rsid w:val="700943D1"/>
    <w:rsid w:val="70F43B70"/>
    <w:rsid w:val="728042A7"/>
    <w:rsid w:val="72EF5887"/>
    <w:rsid w:val="739A766E"/>
    <w:rsid w:val="745C3283"/>
    <w:rsid w:val="752E0293"/>
    <w:rsid w:val="75DB5AC3"/>
    <w:rsid w:val="76221A3F"/>
    <w:rsid w:val="77A20FC4"/>
    <w:rsid w:val="78721E8C"/>
    <w:rsid w:val="790879ED"/>
    <w:rsid w:val="7D6157AB"/>
    <w:rsid w:val="7DDD69E6"/>
    <w:rsid w:val="7F171744"/>
    <w:rsid w:val="7F2C4A57"/>
    <w:rsid w:val="7FA9637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jc w:val="left"/>
    </w:pPr>
    <w:rPr>
      <w:rFonts w:ascii="Copperplate Gothic Bold" w:hAnsi="Copperplate Gothic Bold"/>
      <w:kern w:val="0"/>
      <w:sz w:val="20"/>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style>
  <w:style w:type="character" w:styleId="10">
    <w:name w:val="FollowedHyperlink"/>
    <w:basedOn w:val="8"/>
    <w:qFormat/>
    <w:uiPriority w:val="0"/>
    <w:rPr>
      <w:color w:val="333333"/>
      <w:sz w:val="21"/>
      <w:szCs w:val="21"/>
      <w:u w:val="none"/>
    </w:rPr>
  </w:style>
  <w:style w:type="character" w:styleId="11">
    <w:name w:val="Emphasis"/>
    <w:basedOn w:val="8"/>
    <w:qFormat/>
    <w:uiPriority w:val="0"/>
  </w:style>
  <w:style w:type="character" w:styleId="12">
    <w:name w:val="HTML Definition"/>
    <w:basedOn w:val="8"/>
    <w:qFormat/>
    <w:uiPriority w:val="0"/>
  </w:style>
  <w:style w:type="character" w:styleId="13">
    <w:name w:val="HTML Acronym"/>
    <w:basedOn w:val="8"/>
    <w:qFormat/>
    <w:uiPriority w:val="0"/>
  </w:style>
  <w:style w:type="character" w:styleId="14">
    <w:name w:val="HTML Variable"/>
    <w:basedOn w:val="8"/>
    <w:qFormat/>
    <w:uiPriority w:val="0"/>
  </w:style>
  <w:style w:type="character" w:styleId="15">
    <w:name w:val="Hyperlink"/>
    <w:basedOn w:val="8"/>
    <w:qFormat/>
    <w:uiPriority w:val="0"/>
    <w:rPr>
      <w:color w:val="333333"/>
      <w:sz w:val="21"/>
      <w:szCs w:val="21"/>
      <w:u w:val="none"/>
    </w:rPr>
  </w:style>
  <w:style w:type="character" w:styleId="16">
    <w:name w:val="HTML Code"/>
    <w:basedOn w:val="8"/>
    <w:qFormat/>
    <w:uiPriority w:val="0"/>
    <w:rPr>
      <w:rFonts w:ascii="Courier New" w:hAnsi="Courier New"/>
      <w:sz w:val="20"/>
    </w:rPr>
  </w:style>
  <w:style w:type="character" w:styleId="17">
    <w:name w:val="HTML Cite"/>
    <w:basedOn w:val="8"/>
    <w:qFormat/>
    <w:uiPriority w:val="0"/>
  </w:style>
  <w:style w:type="character" w:customStyle="1" w:styleId="18">
    <w:name w:val="页眉 Char"/>
    <w:basedOn w:val="8"/>
    <w:link w:val="4"/>
    <w:autoRedefine/>
    <w:qFormat/>
    <w:uiPriority w:val="0"/>
    <w:rPr>
      <w:rFonts w:asciiTheme="minorHAnsi" w:hAnsiTheme="minorHAnsi" w:eastAsiaTheme="minorEastAsia" w:cstheme="minorBidi"/>
      <w:kern w:val="2"/>
      <w:sz w:val="18"/>
      <w:szCs w:val="18"/>
    </w:rPr>
  </w:style>
  <w:style w:type="character" w:customStyle="1" w:styleId="19">
    <w:name w:val="hover19"/>
    <w:basedOn w:val="8"/>
    <w:qFormat/>
    <w:uiPriority w:val="0"/>
    <w:rPr>
      <w:shd w:val="clear" w:fill="999999"/>
    </w:rPr>
  </w:style>
  <w:style w:type="character" w:customStyle="1" w:styleId="20">
    <w:name w:val="cbp-fwcurrent"/>
    <w:basedOn w:val="8"/>
    <w:qFormat/>
    <w:uiPriority w:val="0"/>
    <w:rPr>
      <w:shd w:val="clear" w:fill="1188FF"/>
    </w:rPr>
  </w:style>
  <w:style w:type="character" w:customStyle="1" w:styleId="21">
    <w:name w:val="hover18"/>
    <w:basedOn w:val="8"/>
    <w:qFormat/>
    <w:uiPriority w:val="0"/>
    <w:rPr>
      <w:shd w:val="clear" w:fill="999999"/>
    </w:rPr>
  </w:style>
  <w:style w:type="character" w:customStyle="1" w:styleId="22">
    <w:name w:val="tabg"/>
    <w:basedOn w:val="8"/>
    <w:qFormat/>
    <w:uiPriority w:val="0"/>
    <w:rPr>
      <w:shd w:val="clear" w:fill="EEF9FF"/>
    </w:rPr>
  </w:style>
  <w:style w:type="character" w:customStyle="1" w:styleId="23">
    <w:name w:val="tabg1"/>
    <w:basedOn w:val="8"/>
    <w:qFormat/>
    <w:uiPriority w:val="0"/>
    <w:rPr>
      <w:color w:val="FFFFFF"/>
      <w:shd w:val="clear" w:fill="1571B0"/>
    </w:rPr>
  </w:style>
  <w:style w:type="character" w:customStyle="1" w:styleId="24">
    <w:name w:val="wz"/>
    <w:basedOn w:val="8"/>
    <w:qFormat/>
    <w:uiPriority w:val="0"/>
    <w:rPr>
      <w:rFonts w:ascii="微软雅黑" w:hAnsi="微软雅黑" w:eastAsia="微软雅黑" w:cs="微软雅黑"/>
      <w:color w:val="FFFFFF"/>
      <w:sz w:val="27"/>
      <w:szCs w:val="27"/>
      <w:shd w:val="clear" w:fill="1571B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2433</Words>
  <Characters>2491</Characters>
  <Lines>11</Lines>
  <Paragraphs>3</Paragraphs>
  <TotalTime>28</TotalTime>
  <ScaleCrop>false</ScaleCrop>
  <LinksUpToDate>false</LinksUpToDate>
  <CharactersWithSpaces>2562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2018-04-13T03:32:00Z</dcterms:created>
  <dc:creator>lenovo</dc:creator>
  <cp:lastModifiedBy>Du。</cp:lastModifiedBy>
  <cp:lastPrinted>2026-07-08T08:15:00Z</cp:lastPrinted>
  <dcterms:modified xsi:type="dcterms:W3CDTF">2026-07-30T06:39:14Z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3AF2F9D214834A6B8F541351A5E0108A_13</vt:lpwstr>
  </property>
  <property fmtid="{D5CDD505-2E9C-101B-9397-08002B2CF9AE}" pid="4" name="KSOTemplateDocerSaveRecord">
    <vt:lpwstr>eyJoZGlkIjoiNjY1ODhiNGYyOTdhN2YxYTI5NjY0OTMzZGE3MzAzYzAiLCJ1c2VySWQiOiIyNDk3ODI4NjEifQ==</vt:lpwstr>
  </property>
</Properties>
</file>