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版本号：YWGL-ZC-2026-0010.1B120260612001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陕西人才网功能升级改造项目(二次)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YWGL-ZC-2026-0010.1B1</w:t>
      </w:r>
      <w:r>
        <w:br/>
      </w:r>
      <w:r>
        <w:br/>
      </w:r>
      <w:r>
        <w:br/>
      </w:r>
    </w:p>
    <w:p>
      <w:pPr>
        <w:pStyle w:val="null3"/>
        <w:jc w:val="center"/>
        <w:outlineLvl w:val="2"/>
      </w:pPr>
      <w:r>
        <w:rPr>
          <w:rFonts w:ascii="仿宋_GB2312" w:hAnsi="仿宋_GB2312" w:cs="仿宋_GB2312" w:eastAsia="仿宋_GB2312"/>
          <w:sz w:val="28"/>
          <w:b/>
        </w:rPr>
        <w:t>中国西安人才市场管理委员会办公室</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中国西安人才市场管理委员会办公室</w:t>
      </w:r>
      <w:r>
        <w:rPr>
          <w:rFonts w:ascii="仿宋_GB2312" w:hAnsi="仿宋_GB2312" w:cs="仿宋_GB2312" w:eastAsia="仿宋_GB2312"/>
        </w:rPr>
        <w:t>委托，拟对</w:t>
      </w:r>
      <w:r>
        <w:rPr>
          <w:rFonts w:ascii="仿宋_GB2312" w:hAnsi="仿宋_GB2312" w:cs="仿宋_GB2312" w:eastAsia="仿宋_GB2312"/>
        </w:rPr>
        <w:t>陕西人才网功能升级改造项目(二次)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YWGL-ZC-2026-0010.1B1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陕西人才网功能升级改造项目(二次)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陕西人才网功能升级改造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采购包1（陕西人才网功能升级改造项目）：属于专门面向中小企业采购。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记录：供应商不得为“信⽤中国”⽹站(www.creditchina.gov.cn)中列⼊失信被执⾏⼈和重⼤税收违法失信主体，不得为中国政府采购⽹(www.ccgp.gov.cn)政府采购严重违法失信⾏为记录名单中被财政部⻔禁⽌参加政府采购活动的。</w:t>
      </w:r>
    </w:p>
    <w:p>
      <w:pPr>
        <w:pStyle w:val="null3"/>
      </w:pPr>
      <w:r>
        <w:rPr>
          <w:rFonts w:ascii="仿宋_GB2312" w:hAnsi="仿宋_GB2312" w:cs="仿宋_GB2312" w:eastAsia="仿宋_GB2312"/>
        </w:rPr>
        <w:t>2、法定代表⼈⾝份证明书或其授权委托书：法定代表⼈直接参加磋商的，须出具法定代表⼈⾝份证明书；法定代表⼈授权代表参加磋商的，须出具法定代表⼈授权委托书。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中国西安人才市场管理委员会办公室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西安市莲湖区习武园39号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029-85265029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开户名称：陕西猷为项目管理有限公司</w:t>
            </w:r>
          </w:p>
          <w:p>
            <w:pPr>
              <w:pStyle w:val="null3"/>
            </w:pPr>
            <w:r>
              <w:rPr>
                <w:rFonts w:ascii="仿宋_GB2312" w:hAnsi="仿宋_GB2312" w:cs="仿宋_GB2312" w:eastAsia="仿宋_GB2312"/>
              </w:rPr>
              <w:t>开户银行：陕西秦农农村商业银行股份有限公司钟楼支行</w:t>
            </w:r>
          </w:p>
          <w:p>
            <w:pPr>
              <w:pStyle w:val="null3"/>
            </w:pPr>
            <w:r>
              <w:rPr>
                <w:rFonts w:ascii="仿宋_GB2312" w:hAnsi="仿宋_GB2312" w:cs="仿宋_GB2312" w:eastAsia="仿宋_GB2312"/>
              </w:rPr>
              <w:t>银行账号：2701012201201000054344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说明：项目履约保证金在项目免费维护期后，成交供应商提出返还申请后1个月内返还，不计利息。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的规定，按差额定率累进法计算；具体费率为：成交金额100万元以下部分按1.50%收取，100万元至500万元部分按0.80%收取；同时，单个采购包的代理服务费不足6000元的，按6000元计收。</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中国西安人才市场管理委员会办公室</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中国西安人才市场管理委员会办公室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中国西安人才市场管理委员会办公室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具体内容同详见本项目合同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地址：西安市碑林区南二环路79号广丰国际大厦2区8楼810</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陕西人才网功能升级改造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陕西人才网功能升级改造项目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标的名称：陕西人才网功能升级改造项目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一、建设内容</w:t>
            </w:r>
          </w:p>
          <w:p>
            <w:pPr>
              <w:pStyle w:val="null3"/>
              <w:ind w:firstLine="360"/>
              <w:jc w:val="both"/>
            </w:pPr>
            <w:r>
              <w:rPr>
                <w:rFonts w:ascii="仿宋_GB2312" w:hAnsi="仿宋_GB2312" w:cs="仿宋_GB2312" w:eastAsia="仿宋_GB2312"/>
                <w:sz w:val="21"/>
              </w:rPr>
              <w:t>陕西人才网升级改造项目主要内容包括：（一）页面设计与功能优化：内容包括：高校毕业生服务、招聘服务、人才服务、云招聘会场、工作动态、业务办理、互动帮助、下载专区等栏目模块；（二）建立就业云招聘平台：开发线上招聘会场、视频面试间、直播带岗、直播就业指导等服务功能，通过线上匹配互动和影像交流沟通，实现供需双方精准对接；（三）建立省级就业岗位信息资源库：完成网站业务数据共享接口的开发工作，实现多平台的公共就业岗位数据对接融合，归集形成省级就业岗位信息资源库。（四）精准匹配就业岗位：通过整合平台招聘岗位资源，完善人岗匹配应用功能，实现</w:t>
            </w:r>
            <w:r>
              <w:rPr>
                <w:rFonts w:ascii="仿宋_GB2312" w:hAnsi="仿宋_GB2312" w:cs="仿宋_GB2312" w:eastAsia="仿宋_GB2312"/>
                <w:sz w:val="21"/>
                <w:color w:val="000000"/>
                <w:shd w:fill="FFFFFF" w:val="clear"/>
              </w:rPr>
              <w:t>人工智能</w:t>
            </w:r>
            <w:r>
              <w:rPr>
                <w:rFonts w:ascii="仿宋_GB2312" w:hAnsi="仿宋_GB2312" w:cs="仿宋_GB2312" w:eastAsia="仿宋_GB2312"/>
                <w:sz w:val="21"/>
                <w:color w:val="000000"/>
                <w:shd w:fill="FFFFFF" w:val="clear"/>
              </w:rPr>
              <w:t>AI发送就业岗位信息，</w:t>
            </w:r>
            <w:r>
              <w:rPr>
                <w:rFonts w:ascii="仿宋_GB2312" w:hAnsi="仿宋_GB2312" w:cs="仿宋_GB2312" w:eastAsia="仿宋_GB2312"/>
                <w:sz w:val="21"/>
              </w:rPr>
              <w:t>为高校毕业生和重点群体失业人员提供精准岗位匹配。（五）信息管理与统计分析：完善后台数据资源管理、单位管理中心、个人求职中心、数据分析管理等功能模块；（六）</w:t>
            </w:r>
            <w:r>
              <w:rPr>
                <w:rFonts w:ascii="仿宋_GB2312" w:hAnsi="仿宋_GB2312" w:cs="仿宋_GB2312" w:eastAsia="仿宋_GB2312"/>
                <w:sz w:val="21"/>
                <w:color w:val="000000"/>
              </w:rPr>
              <w:t>开发</w:t>
            </w:r>
            <w:r>
              <w:rPr>
                <w:rFonts w:ascii="仿宋_GB2312" w:hAnsi="仿宋_GB2312" w:cs="仿宋_GB2312" w:eastAsia="仿宋_GB2312"/>
                <w:sz w:val="21"/>
              </w:rPr>
              <w:t>移动端小程序</w:t>
            </w:r>
            <w:r>
              <w:rPr>
                <w:rFonts w:ascii="仿宋_GB2312" w:hAnsi="仿宋_GB2312" w:cs="仿宋_GB2312" w:eastAsia="仿宋_GB2312"/>
                <w:sz w:val="21"/>
                <w:color w:val="000000"/>
              </w:rPr>
              <w:t>和</w:t>
            </w:r>
            <w:r>
              <w:rPr>
                <w:rFonts w:ascii="仿宋_GB2312" w:hAnsi="仿宋_GB2312" w:cs="仿宋_GB2312" w:eastAsia="仿宋_GB2312"/>
                <w:sz w:val="21"/>
                <w:color w:val="000000"/>
              </w:rPr>
              <w:t>H5页面：在</w:t>
            </w:r>
            <w:r>
              <w:rPr>
                <w:rFonts w:ascii="仿宋_GB2312" w:hAnsi="仿宋_GB2312" w:cs="仿宋_GB2312" w:eastAsia="仿宋_GB2312"/>
                <w:sz w:val="21"/>
              </w:rPr>
              <w:t>升级改造网站</w:t>
            </w:r>
            <w:r>
              <w:rPr>
                <w:rFonts w:ascii="仿宋_GB2312" w:hAnsi="仿宋_GB2312" w:cs="仿宋_GB2312" w:eastAsia="仿宋_GB2312"/>
                <w:sz w:val="21"/>
                <w:color w:val="000000"/>
              </w:rPr>
              <w:t>PC端功能应用的基础上，开发建设陕西人才网微信小程序移动端应用，全面同步打通 PC 端系统平台全部功能模块与业务属性，实现数据同源、流程统一、权限一致的移动端服务窗口。办事群众在移动端可完整使用 PC 端所有服务管理功能，打造双端互通、功能完整、高效便捷的移动应用载体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（一）页面设计与功能优化</w:t>
            </w:r>
          </w:p>
          <w:p>
            <w:pPr>
              <w:pStyle w:val="null3"/>
              <w:jc w:val="both"/>
            </w:pPr>
            <w:r>
              <w:rPr>
                <w:rFonts w:ascii="仿宋_GB2312" w:hAnsi="仿宋_GB2312" w:cs="仿宋_GB2312" w:eastAsia="仿宋_GB2312"/>
                <w:sz w:val="21"/>
                <w:color w:val="000000"/>
              </w:rPr>
              <w:t>1.首页：优化升级</w:t>
            </w:r>
            <w:r>
              <w:rPr>
                <w:rFonts w:ascii="仿宋_GB2312" w:hAnsi="仿宋_GB2312" w:cs="仿宋_GB2312" w:eastAsia="仿宋_GB2312"/>
                <w:sz w:val="21"/>
              </w:rPr>
              <w:t>高校毕业生服务、招聘服务、人才服务、工作动态、业务办理、互动帮助、下载专区</w:t>
            </w:r>
            <w:r>
              <w:rPr>
                <w:rFonts w:ascii="仿宋_GB2312" w:hAnsi="仿宋_GB2312" w:cs="仿宋_GB2312" w:eastAsia="仿宋_GB2312"/>
                <w:sz w:val="21"/>
                <w:color w:val="000000"/>
              </w:rPr>
              <w:t>等栏目模块，新增云招聘会场模块。</w:t>
            </w:r>
          </w:p>
          <w:p>
            <w:pPr>
              <w:pStyle w:val="null3"/>
              <w:jc w:val="both"/>
            </w:pPr>
            <w:r>
              <w:rPr>
                <w:rFonts w:ascii="仿宋_GB2312" w:hAnsi="仿宋_GB2312" w:cs="仿宋_GB2312" w:eastAsia="仿宋_GB2312"/>
                <w:sz w:val="21"/>
                <w:color w:val="000000"/>
              </w:rPr>
              <w:t>2.专区专栏：优化城乡基层岗位专栏、事业单位招录专区、高校毕业生就业创业专区、各类就业活动专区等。</w:t>
            </w:r>
          </w:p>
          <w:p>
            <w:pPr>
              <w:pStyle w:val="null3"/>
              <w:jc w:val="both"/>
            </w:pPr>
            <w:r>
              <w:rPr>
                <w:rFonts w:ascii="仿宋_GB2312" w:hAnsi="仿宋_GB2312" w:cs="仿宋_GB2312" w:eastAsia="仿宋_GB2312"/>
                <w:sz w:val="21"/>
                <w:b/>
              </w:rPr>
              <w:t>（二）就业云招聘平台</w:t>
            </w:r>
          </w:p>
          <w:p>
            <w:pPr>
              <w:pStyle w:val="null3"/>
              <w:jc w:val="left"/>
            </w:pPr>
            <w:r>
              <w:rPr>
                <w:rFonts w:ascii="仿宋_GB2312" w:hAnsi="仿宋_GB2312" w:cs="仿宋_GB2312" w:eastAsia="仿宋_GB2312"/>
                <w:sz w:val="21"/>
              </w:rPr>
              <w:t>1.视频面试间：增加线上视频面试功能，项目建设要求能在PC端和移动端、微信小程序进行跨平台流畅的视频面试。PC端兼容主流浏览器，移动端兼容安卓及IOS操作系统。</w:t>
            </w:r>
          </w:p>
          <w:p>
            <w:pPr>
              <w:pStyle w:val="null3"/>
              <w:jc w:val="left"/>
            </w:pPr>
            <w:r>
              <w:rPr>
                <w:rFonts w:ascii="仿宋_GB2312" w:hAnsi="仿宋_GB2312" w:cs="仿宋_GB2312" w:eastAsia="仿宋_GB2312"/>
                <w:sz w:val="21"/>
              </w:rPr>
              <w:t>2.线上招聘会场功能：就业活动专场建立，报名单位岗位、主题页审核；单位报名、岗位管理、简历管理；个人报名、简历投递管理等。</w:t>
            </w:r>
          </w:p>
          <w:p>
            <w:pPr>
              <w:pStyle w:val="null3"/>
              <w:jc w:val="left"/>
            </w:pPr>
            <w:r>
              <w:rPr>
                <w:rFonts w:ascii="仿宋_GB2312" w:hAnsi="仿宋_GB2312" w:cs="仿宋_GB2312" w:eastAsia="仿宋_GB2312"/>
                <w:sz w:val="21"/>
              </w:rPr>
              <w:t>3.直播活动（直播带岗、直播就业指导等）开发功能：直播前，实现直播基础配置、用人单位素材审核管理及主播后台筹备、权限安全设置；直播中，开发多视角推介、岗位实时挂载、实时互动（留言、连麦）、简历一键投递及反馈、直播管控与应急处置功能；直播后，支持回放生成与剪辑、多维度数据统计、简历跟进提醒及资料归档。开发主播与专家身份备案审核、违规内容检测拦截，精细化权限分级管理功能，保障合规与服务标准化。</w:t>
            </w:r>
          </w:p>
          <w:p>
            <w:pPr>
              <w:pStyle w:val="null3"/>
              <w:jc w:val="left"/>
            </w:pPr>
            <w:r>
              <w:rPr>
                <w:rFonts w:ascii="仿宋_GB2312" w:hAnsi="仿宋_GB2312" w:cs="仿宋_GB2312" w:eastAsia="仿宋_GB2312"/>
                <w:sz w:val="21"/>
              </w:rPr>
              <w:t>4.直播数据统计分析：根据每场直播情况，进行直播数据采集统计分析，自动生成数据统计分析报告。</w:t>
            </w:r>
          </w:p>
          <w:p>
            <w:pPr>
              <w:pStyle w:val="null3"/>
              <w:jc w:val="left"/>
            </w:pPr>
            <w:r>
              <w:rPr>
                <w:rFonts w:ascii="仿宋_GB2312" w:hAnsi="仿宋_GB2312" w:cs="仿宋_GB2312" w:eastAsia="仿宋_GB2312"/>
                <w:sz w:val="21"/>
                <w:b/>
              </w:rPr>
              <w:t>（三）省级就业岗位信息资源库</w:t>
            </w:r>
          </w:p>
          <w:p>
            <w:pPr>
              <w:pStyle w:val="null3"/>
              <w:ind w:firstLine="420"/>
              <w:jc w:val="both"/>
            </w:pPr>
            <w:r>
              <w:rPr>
                <w:rFonts w:ascii="仿宋_GB2312" w:hAnsi="仿宋_GB2312" w:cs="仿宋_GB2312" w:eastAsia="仿宋_GB2312"/>
                <w:sz w:val="21"/>
              </w:rPr>
              <w:t>整合开发利用数据资源，完成全省公共就业和人才服务业务数据共享接口的开发工作，实现公共就业岗位数据共享对接，建设省市（区）县全方位覆盖的就业岗位信息数据交互平台，形成省级就业信息资源库。</w:t>
            </w:r>
            <w:r>
              <w:rPr>
                <w:rFonts w:ascii="仿宋_GB2312" w:hAnsi="仿宋_GB2312" w:cs="仿宋_GB2312" w:eastAsia="仿宋_GB2312"/>
                <w:sz w:val="21"/>
              </w:rPr>
              <w:t>1.对接网站：“秦云就业”平台、社会第三方平台。</w:t>
            </w:r>
          </w:p>
          <w:p>
            <w:pPr>
              <w:pStyle w:val="null3"/>
              <w:jc w:val="both"/>
            </w:pPr>
            <w:r>
              <w:rPr>
                <w:rFonts w:ascii="仿宋_GB2312" w:hAnsi="仿宋_GB2312" w:cs="仿宋_GB2312" w:eastAsia="仿宋_GB2312"/>
                <w:sz w:val="21"/>
              </w:rPr>
              <w:t>2.数据信息迁移：包括企业基本信息、企业发布招聘信息、个人求职信息、线上线下招聘会信息等数据。</w:t>
            </w:r>
          </w:p>
          <w:tbl>
            <w:tblPr>
              <w:tblInd w:type="dxa" w:w="120"/>
              <w:tblBorders>
                <w:top w:val="none" w:color="000000" w:sz="4"/>
                <w:left w:val="none" w:color="000000" w:sz="4"/>
                <w:bottom w:val="none" w:color="000000" w:sz="4"/>
                <w:right w:val="none" w:color="000000" w:sz="4"/>
                <w:insideH w:val="none"/>
                <w:insideV w:val="none"/>
              </w:tblBorders>
            </w:tblPr>
            <w:tblGrid>
              <w:gridCol w:w="166"/>
              <w:gridCol w:w="314"/>
              <w:gridCol w:w="900"/>
              <w:gridCol w:w="1173"/>
            </w:tblGrid>
            <w:tr>
              <w:tc>
                <w:tcPr>
                  <w:tcW w:type="dxa" w:w="2553"/>
                  <w:gridSpan w:val="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招聘数据共享平台建设清单</w:t>
                  </w:r>
                </w:p>
              </w:tc>
            </w:tr>
            <w:tr>
              <w:tc>
                <w:tcPr>
                  <w:tcW w:type="dxa" w:w="166"/>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314"/>
                  <w:tcBorders>
                    <w:top w:val="non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业务子系统</w:t>
                  </w:r>
                </w:p>
              </w:tc>
              <w:tc>
                <w:tcPr>
                  <w:tcW w:type="dxa" w:w="900"/>
                  <w:tcBorders>
                    <w:top w:val="non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模块（一级）</w:t>
                  </w:r>
                </w:p>
              </w:tc>
              <w:tc>
                <w:tcPr>
                  <w:tcW w:type="dxa" w:w="1173"/>
                  <w:tcBorders>
                    <w:top w:val="non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模块（二级）</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3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省级岗位信息资源库</w:t>
                  </w:r>
                </w:p>
              </w:tc>
              <w:tc>
                <w:tcPr>
                  <w:tcW w:type="dxa" w:w="9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招聘数据共享接口</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企业信息共享接口</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314"/>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岗位信息共享接口</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314"/>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招聘公告共享接口</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314"/>
                  <w:vMerge/>
                  <w:tcBorders>
                    <w:top w:val="none" w:color="000000" w:sz="4"/>
                    <w:left w:val="none" w:color="000000" w:sz="4"/>
                    <w:bottom w:val="single" w:color="000000" w:sz="4"/>
                    <w:right w:val="single" w:color="000000" w:sz="4"/>
                  </w:tcBorders>
                </w:tcPr>
                <w:p/>
              </w:tc>
              <w:tc>
                <w:tcPr>
                  <w:tcW w:type="dxa" w:w="9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求职数据共享接口</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个人信息共享接口</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314"/>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求职意向共享接口</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314"/>
                  <w:vMerge/>
                  <w:tcBorders>
                    <w:top w:val="none" w:color="000000" w:sz="4"/>
                    <w:left w:val="none" w:color="000000" w:sz="4"/>
                    <w:bottom w:val="single" w:color="000000" w:sz="4"/>
                    <w:right w:val="single" w:color="000000" w:sz="4"/>
                  </w:tcBorders>
                </w:tcPr>
                <w:p/>
              </w:tc>
              <w:tc>
                <w:tcPr>
                  <w:tcW w:type="dxa" w:w="9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招聘会数据共享接口</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招聘会讯共享接口</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314"/>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招聘会数据共享接口</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314"/>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参展单位数据共享接口</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314"/>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协议签订数据共享接口</w:t>
                  </w:r>
                </w:p>
              </w:tc>
            </w:tr>
          </w:tbl>
          <w:p>
            <w:pPr>
              <w:pStyle w:val="null3"/>
              <w:jc w:val="both"/>
            </w:pPr>
            <w:r>
              <w:rPr>
                <w:rFonts w:ascii="仿宋_GB2312" w:hAnsi="仿宋_GB2312" w:cs="仿宋_GB2312" w:eastAsia="仿宋_GB2312"/>
                <w:sz w:val="21"/>
                <w:b/>
              </w:rPr>
              <w:t>（四）精准匹配就业岗位</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通过整合平台招聘岗位资源，完善人岗匹配应用功能，</w:t>
            </w:r>
            <w:r>
              <w:rPr>
                <w:rFonts w:ascii="仿宋_GB2312" w:hAnsi="仿宋_GB2312" w:cs="仿宋_GB2312" w:eastAsia="仿宋_GB2312"/>
                <w:sz w:val="21"/>
                <w:color w:val="000000"/>
                <w:shd w:fill="FFFFFF" w:val="clear"/>
              </w:rPr>
              <w:t>人工智能</w:t>
            </w:r>
            <w:r>
              <w:rPr>
                <w:rFonts w:ascii="仿宋_GB2312" w:hAnsi="仿宋_GB2312" w:cs="仿宋_GB2312" w:eastAsia="仿宋_GB2312"/>
                <w:sz w:val="21"/>
                <w:color w:val="000000"/>
                <w:shd w:fill="FFFFFF" w:val="clear"/>
              </w:rPr>
              <w:t>AI发送就业岗位信息，</w:t>
            </w:r>
            <w:r>
              <w:rPr>
                <w:rFonts w:ascii="仿宋_GB2312" w:hAnsi="仿宋_GB2312" w:cs="仿宋_GB2312" w:eastAsia="仿宋_GB2312"/>
                <w:sz w:val="21"/>
              </w:rPr>
              <w:t>为高校毕业生和重点群体失业人员提供精准岗位匹配。</w:t>
            </w:r>
          </w:p>
          <w:p>
            <w:pPr>
              <w:pStyle w:val="null3"/>
              <w:jc w:val="both"/>
            </w:pPr>
            <w:r>
              <w:rPr>
                <w:rFonts w:ascii="仿宋_GB2312" w:hAnsi="仿宋_GB2312" w:cs="仿宋_GB2312" w:eastAsia="仿宋_GB2312"/>
                <w:sz w:val="21"/>
                <w:b/>
              </w:rPr>
              <w:t>（五）信息管理与统计</w:t>
            </w:r>
          </w:p>
          <w:p>
            <w:pPr>
              <w:pStyle w:val="null3"/>
              <w:spacing w:before="105" w:after="105"/>
              <w:ind w:firstLine="420"/>
              <w:jc w:val="both"/>
            </w:pPr>
            <w:r>
              <w:rPr>
                <w:rFonts w:ascii="仿宋_GB2312" w:hAnsi="仿宋_GB2312" w:cs="仿宋_GB2312" w:eastAsia="仿宋_GB2312"/>
                <w:sz w:val="21"/>
                <w:b/>
              </w:rPr>
              <w:t>陕西人才网管理后台：</w:t>
            </w:r>
            <w:r>
              <w:rPr>
                <w:rFonts w:ascii="仿宋_GB2312" w:hAnsi="仿宋_GB2312" w:cs="仿宋_GB2312" w:eastAsia="仿宋_GB2312"/>
                <w:sz w:val="21"/>
                <w:b/>
              </w:rPr>
              <w:t>（</w:t>
            </w:r>
            <w:r>
              <w:rPr>
                <w:rFonts w:ascii="仿宋_GB2312" w:hAnsi="仿宋_GB2312" w:cs="仿宋_GB2312" w:eastAsia="仿宋_GB2312"/>
                <w:sz w:val="21"/>
                <w:b/>
              </w:rPr>
              <w:t>1）单位相关：①单位管理模块：单位基本信息查询修改；②申请审核模块：单位审核、营业执照、logo、宣传图片、宣传视频等单位资源审核；（2）个人相关：①普通简历：简历查询；②个人管理：个人信息维护、账号密码重置、快速登录；③附件简历：附件简历查看审核；④求职信：求职信查看审核；⑤身份审核。（3）岗位发布：后台快速发布岗位。（4）敏感词管理：网站岗位、简历等关键信息敏感词过滤。（5）公共管理：文章、宣传图内容发布管理。（6）统计报表：各项报表统计分析。（7）系统设置：工作人员信息、权限管理。</w:t>
            </w:r>
          </w:p>
          <w:p>
            <w:pPr>
              <w:pStyle w:val="null3"/>
              <w:ind w:firstLine="420"/>
              <w:jc w:val="both"/>
            </w:pPr>
            <w:r>
              <w:rPr>
                <w:rFonts w:ascii="仿宋_GB2312" w:hAnsi="仿宋_GB2312" w:cs="仿宋_GB2312" w:eastAsia="仿宋_GB2312"/>
                <w:sz w:val="21"/>
                <w:b/>
              </w:rPr>
              <w:t>个人求职中心：</w:t>
            </w:r>
            <w:r>
              <w:rPr>
                <w:rFonts w:ascii="仿宋_GB2312" w:hAnsi="仿宋_GB2312" w:cs="仿宋_GB2312" w:eastAsia="仿宋_GB2312"/>
                <w:sz w:val="21"/>
              </w:rPr>
              <w:t>（</w:t>
            </w:r>
            <w:r>
              <w:rPr>
                <w:rFonts w:ascii="仿宋_GB2312" w:hAnsi="仿宋_GB2312" w:cs="仿宋_GB2312" w:eastAsia="仿宋_GB2312"/>
                <w:sz w:val="21"/>
              </w:rPr>
              <w:t>1）个人帐户管理：个人账户注册、账号密码等信息安全管理、个人基本信息管理。（2）简历管理：在线简历信息维护、附件简历上传、求职信管理、屏蔽管理。（3）岗位搜索：关键字快速搜索、分类精确搜索、定制搜索、</w:t>
            </w:r>
            <w:r>
              <w:rPr>
                <w:rFonts w:ascii="仿宋_GB2312" w:hAnsi="仿宋_GB2312" w:cs="仿宋_GB2312" w:eastAsia="仿宋_GB2312"/>
                <w:sz w:val="21"/>
                <w:color w:val="000000"/>
              </w:rPr>
              <w:t>岗位精准</w:t>
            </w:r>
            <w:r>
              <w:rPr>
                <w:rFonts w:ascii="仿宋_GB2312" w:hAnsi="仿宋_GB2312" w:cs="仿宋_GB2312" w:eastAsia="仿宋_GB2312"/>
                <w:sz w:val="21"/>
                <w:color w:val="000000"/>
              </w:rPr>
              <w:t>/模糊匹配</w:t>
            </w:r>
            <w:r>
              <w:rPr>
                <w:rFonts w:ascii="仿宋_GB2312" w:hAnsi="仿宋_GB2312" w:cs="仿宋_GB2312" w:eastAsia="仿宋_GB2312"/>
                <w:sz w:val="21"/>
              </w:rPr>
              <w:t>（支持短信接口）、网络招聘现场职位多渠道搜索。（</w:t>
            </w:r>
            <w:r>
              <w:rPr>
                <w:rFonts w:ascii="仿宋_GB2312" w:hAnsi="仿宋_GB2312" w:cs="仿宋_GB2312" w:eastAsia="仿宋_GB2312"/>
                <w:sz w:val="21"/>
              </w:rPr>
              <w:t>4）求职管理：谁看过我的简历、谁邀请我面试、已申请的职位、已收藏的职位、已关注的单位。（5）职位智能推荐。运用人工智能+就业岗位，为求职者提供可供选择的就业岗位信息。（6）视频面试管理：视频面试功能、语音面试功能、即时聊天功能、聊天消息存储功能、文字、语音、图片消息分类、聊天常用语管理功能、黑名单功能、面试人员管理功能、面试记录管理功能。</w:t>
            </w:r>
          </w:p>
          <w:p>
            <w:pPr>
              <w:pStyle w:val="null3"/>
              <w:ind w:firstLine="420"/>
              <w:jc w:val="both"/>
            </w:pPr>
            <w:r>
              <w:rPr>
                <w:rFonts w:ascii="仿宋_GB2312" w:hAnsi="仿宋_GB2312" w:cs="仿宋_GB2312" w:eastAsia="仿宋_GB2312"/>
                <w:sz w:val="21"/>
                <w:b/>
              </w:rPr>
              <w:t>单位管理中心：</w:t>
            </w:r>
            <w:r>
              <w:rPr>
                <w:rFonts w:ascii="仿宋_GB2312" w:hAnsi="仿宋_GB2312" w:cs="仿宋_GB2312" w:eastAsia="仿宋_GB2312"/>
                <w:sz w:val="21"/>
              </w:rPr>
              <w:t>（</w:t>
            </w:r>
            <w:r>
              <w:rPr>
                <w:rFonts w:ascii="仿宋_GB2312" w:hAnsi="仿宋_GB2312" w:cs="仿宋_GB2312" w:eastAsia="仿宋_GB2312"/>
                <w:sz w:val="21"/>
              </w:rPr>
              <w:t>1）单位帐户管理：单位账户注册、账号密码等信息安全管理、单位基本资料管理、证照上传、logo上传、子账号管理。（2）网络招聘：网络岗位发布、已发布的岗位、未发布岗位、审核未通过岗位、已下线岗位信息。（3）人才搜索：关键字快速搜索、分类精确搜索、简历搜索器。（4）简历管理：已收简历、已邀请面试简历、已查看联系方式简历、</w:t>
            </w:r>
            <w:r>
              <w:rPr>
                <w:rFonts w:ascii="仿宋_GB2312" w:hAnsi="仿宋_GB2312" w:cs="仿宋_GB2312" w:eastAsia="仿宋_GB2312"/>
                <w:sz w:val="21"/>
                <w:color w:val="000000"/>
              </w:rPr>
              <w:t>简历智能匹配推送、</w:t>
            </w:r>
            <w:r>
              <w:rPr>
                <w:rFonts w:ascii="仿宋_GB2312" w:hAnsi="仿宋_GB2312" w:cs="仿宋_GB2312" w:eastAsia="仿宋_GB2312"/>
                <w:sz w:val="21"/>
              </w:rPr>
              <w:t>已收藏简历、邀请函模板。（</w:t>
            </w:r>
            <w:r>
              <w:rPr>
                <w:rFonts w:ascii="仿宋_GB2312" w:hAnsi="仿宋_GB2312" w:cs="仿宋_GB2312" w:eastAsia="仿宋_GB2312"/>
                <w:sz w:val="21"/>
              </w:rPr>
              <w:t>5）视频面试管理：视频面试功能、语音面试功能、即时聊天功能、聊天消息存储功能、文字、语音、图片消息分类、聊天常用语管理功能、黑名单功能、面试人员管理功能、面试记录管理功能。</w:t>
            </w:r>
          </w:p>
          <w:p>
            <w:pPr>
              <w:pStyle w:val="null3"/>
              <w:jc w:val="both"/>
            </w:pPr>
            <w:r>
              <w:rPr>
                <w:rFonts w:ascii="仿宋_GB2312" w:hAnsi="仿宋_GB2312" w:cs="仿宋_GB2312" w:eastAsia="仿宋_GB2312"/>
                <w:sz w:val="21"/>
                <w:b/>
              </w:rPr>
              <w:t>（六）移动端小程序</w:t>
            </w:r>
            <w:r>
              <w:rPr>
                <w:rFonts w:ascii="仿宋_GB2312" w:hAnsi="仿宋_GB2312" w:cs="仿宋_GB2312" w:eastAsia="仿宋_GB2312"/>
                <w:sz w:val="21"/>
                <w:b/>
                <w:color w:val="000000"/>
              </w:rPr>
              <w:t>和</w:t>
            </w:r>
            <w:r>
              <w:rPr>
                <w:rFonts w:ascii="仿宋_GB2312" w:hAnsi="仿宋_GB2312" w:cs="仿宋_GB2312" w:eastAsia="仿宋_GB2312"/>
                <w:sz w:val="21"/>
                <w:b/>
                <w:color w:val="000000"/>
              </w:rPr>
              <w:t>H5页面</w:t>
            </w:r>
          </w:p>
          <w:p>
            <w:pPr>
              <w:pStyle w:val="null3"/>
              <w:ind w:firstLine="360"/>
              <w:jc w:val="both"/>
            </w:pPr>
            <w:r>
              <w:rPr>
                <w:rFonts w:ascii="仿宋_GB2312" w:hAnsi="仿宋_GB2312" w:cs="仿宋_GB2312" w:eastAsia="仿宋_GB2312"/>
                <w:sz w:val="21"/>
                <w:color w:val="000000"/>
              </w:rPr>
              <w:t>在</w:t>
            </w:r>
            <w:r>
              <w:rPr>
                <w:rFonts w:ascii="仿宋_GB2312" w:hAnsi="仿宋_GB2312" w:cs="仿宋_GB2312" w:eastAsia="仿宋_GB2312"/>
                <w:sz w:val="21"/>
              </w:rPr>
              <w:t>升级改造网站</w:t>
            </w:r>
            <w:r>
              <w:rPr>
                <w:rFonts w:ascii="仿宋_GB2312" w:hAnsi="仿宋_GB2312" w:cs="仿宋_GB2312" w:eastAsia="仿宋_GB2312"/>
                <w:sz w:val="21"/>
                <w:color w:val="000000"/>
              </w:rPr>
              <w:t>PC端功能应用的基础上，开发建设陕西人才网微信小程序移动端应用。</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color w:val="000000"/>
              </w:rPr>
              <w:t>首页：</w:t>
            </w:r>
            <w:r>
              <w:rPr>
                <w:rFonts w:ascii="仿宋_GB2312" w:hAnsi="仿宋_GB2312" w:cs="仿宋_GB2312" w:eastAsia="仿宋_GB2312"/>
                <w:sz w:val="21"/>
              </w:rPr>
              <w:t>高校毕业生服务、招聘服务、人才服务、云招聘会场、工作动态、业务办理、互动帮助、下载专区</w:t>
            </w:r>
            <w:r>
              <w:rPr>
                <w:rFonts w:ascii="仿宋_GB2312" w:hAnsi="仿宋_GB2312" w:cs="仿宋_GB2312" w:eastAsia="仿宋_GB2312"/>
                <w:sz w:val="21"/>
                <w:color w:val="000000"/>
              </w:rPr>
              <w:t>等栏目模块。（</w:t>
            </w:r>
            <w:r>
              <w:rPr>
                <w:rFonts w:ascii="仿宋_GB2312" w:hAnsi="仿宋_GB2312" w:cs="仿宋_GB2312" w:eastAsia="仿宋_GB2312"/>
                <w:sz w:val="21"/>
                <w:color w:val="000000"/>
              </w:rPr>
              <w:t>2）专区专栏：城乡基层岗位专栏、事业单位招录专区、高校毕业省专区、各类就业活动专区等。</w:t>
            </w:r>
            <w:r>
              <w:rPr>
                <w:rFonts w:ascii="仿宋_GB2312" w:hAnsi="仿宋_GB2312" w:cs="仿宋_GB2312" w:eastAsia="仿宋_GB2312"/>
                <w:sz w:val="21"/>
              </w:rPr>
              <w:t>（</w:t>
            </w:r>
            <w:r>
              <w:rPr>
                <w:rFonts w:ascii="仿宋_GB2312" w:hAnsi="仿宋_GB2312" w:cs="仿宋_GB2312" w:eastAsia="仿宋_GB2312"/>
                <w:sz w:val="21"/>
              </w:rPr>
              <w:t>3）视频面试、招聘会、直播功能：移动小程序端支持视频各类功能、简历投递、数据统计等，适用于视频面试、招聘会、政策宣讲、直播带岗等各种视频场景。（4）PC端其他各项主要功能的迁移开发应用。</w:t>
            </w:r>
          </w:p>
          <w:p>
            <w:pPr>
              <w:pStyle w:val="null3"/>
              <w:spacing w:before="105" w:after="105"/>
              <w:jc w:val="both"/>
            </w:pPr>
            <w:r>
              <w:rPr>
                <w:rFonts w:ascii="仿宋_GB2312" w:hAnsi="仿宋_GB2312" w:cs="仿宋_GB2312" w:eastAsia="仿宋_GB2312"/>
                <w:b/>
              </w:rPr>
              <w:t xml:space="preserve"> </w:t>
            </w:r>
            <w:r>
              <w:rPr>
                <w:rFonts w:ascii="仿宋_GB2312" w:hAnsi="仿宋_GB2312" w:cs="仿宋_GB2312" w:eastAsia="仿宋_GB2312"/>
                <w:sz w:val="21"/>
                <w:b/>
              </w:rPr>
              <w:t>二</w:t>
            </w:r>
            <w:r>
              <w:rPr>
                <w:rFonts w:ascii="仿宋_GB2312" w:hAnsi="仿宋_GB2312" w:cs="仿宋_GB2312" w:eastAsia="仿宋_GB2312"/>
                <w:sz w:val="21"/>
                <w:b/>
              </w:rPr>
              <w:t>、项目建设其他要求</w:t>
            </w:r>
          </w:p>
          <w:p>
            <w:pPr>
              <w:pStyle w:val="null3"/>
              <w:spacing w:before="105" w:after="105"/>
              <w:jc w:val="both"/>
            </w:pPr>
            <w:r>
              <w:rPr>
                <w:rFonts w:ascii="仿宋_GB2312" w:hAnsi="仿宋_GB2312" w:cs="仿宋_GB2312" w:eastAsia="仿宋_GB2312"/>
                <w:sz w:val="21"/>
                <w:b/>
              </w:rPr>
              <w:t>（一）项目实施要求：</w:t>
            </w:r>
          </w:p>
          <w:tbl>
            <w:tblPr>
              <w:tblInd w:type="dxa" w:w="120"/>
              <w:tblBorders>
                <w:top w:val="none" w:color="000000" w:sz="4"/>
                <w:left w:val="none" w:color="000000" w:sz="4"/>
                <w:bottom w:val="none" w:color="000000" w:sz="4"/>
                <w:right w:val="none" w:color="000000" w:sz="4"/>
                <w:insideH w:val="none"/>
                <w:insideV w:val="none"/>
              </w:tblBorders>
            </w:tblPr>
            <w:tblGrid>
              <w:gridCol w:w="166"/>
              <w:gridCol w:w="616"/>
              <w:gridCol w:w="894"/>
              <w:gridCol w:w="877"/>
            </w:tblGrid>
            <w:tr>
              <w:tc>
                <w:tcPr>
                  <w:tcW w:type="dxa" w:w="16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16"/>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产品实施任务阶段</w:t>
                  </w:r>
                </w:p>
              </w:tc>
              <w:tc>
                <w:tcPr>
                  <w:tcW w:type="dxa" w:w="894"/>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任务内容</w:t>
                  </w:r>
                </w:p>
              </w:tc>
              <w:tc>
                <w:tcPr>
                  <w:tcW w:type="dxa" w:w="87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成果要求</w:t>
                  </w:r>
                </w:p>
              </w:tc>
            </w:tr>
            <w:tr>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需求分析阶段</w:t>
                  </w:r>
                </w:p>
              </w:tc>
              <w:tc>
                <w:tcPr>
                  <w:tcW w:type="dxa" w:w="8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开展需求分析设计</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需求分析报告</w:t>
                  </w:r>
                </w:p>
              </w:tc>
            </w:tr>
            <w:tr>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研发及评审测试</w:t>
                  </w:r>
                </w:p>
              </w:tc>
              <w:tc>
                <w:tcPr>
                  <w:tcW w:type="dxa" w:w="8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根据用户需求进行产品研发</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《系统设计说明书》</w:t>
                  </w:r>
                </w:p>
                <w:p>
                  <w:pPr>
                    <w:pStyle w:val="null3"/>
                    <w:jc w:val="left"/>
                  </w:pPr>
                  <w:r>
                    <w:rPr>
                      <w:rFonts w:ascii="仿宋_GB2312" w:hAnsi="仿宋_GB2312" w:cs="仿宋_GB2312" w:eastAsia="仿宋_GB2312"/>
                      <w:sz w:val="21"/>
                    </w:rPr>
                    <w:t>系统开发文档</w:t>
                  </w:r>
                </w:p>
              </w:tc>
            </w:tr>
            <w:tr>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系统接口对接</w:t>
                  </w:r>
                </w:p>
              </w:tc>
              <w:tc>
                <w:tcPr>
                  <w:tcW w:type="dxa" w:w="8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需要明确系统跟外部需要对接的系统、指标等</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《接口文档》</w:t>
                  </w:r>
                </w:p>
              </w:tc>
            </w:tr>
            <w:tr>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数据迁移</w:t>
                  </w:r>
                </w:p>
              </w:tc>
              <w:tc>
                <w:tcPr>
                  <w:tcW w:type="dxa" w:w="8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需要对历史数据分析汇总，并开发迁移程序</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《数据迁移报告》</w:t>
                  </w:r>
                </w:p>
              </w:tc>
            </w:tr>
            <w:tr>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准备部署环境</w:t>
                  </w:r>
                </w:p>
              </w:tc>
              <w:tc>
                <w:tcPr>
                  <w:tcW w:type="dxa" w:w="8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系统安装部署</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《系统安装报告》</w:t>
                  </w:r>
                </w:p>
              </w:tc>
            </w:tr>
            <w:tr>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安装系统（包括操作系统、数据库和应用服务器中间件的安装）</w:t>
                  </w:r>
                </w:p>
              </w:tc>
              <w:tc>
                <w:tcPr>
                  <w:tcW w:type="dxa" w:w="8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系统安装部署和测试维护工作</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《系统安装报告》</w:t>
                  </w:r>
                </w:p>
                <w:p>
                  <w:pPr>
                    <w:pStyle w:val="null3"/>
                    <w:jc w:val="left"/>
                  </w:pPr>
                  <w:r>
                    <w:rPr>
                      <w:rFonts w:ascii="仿宋_GB2312" w:hAnsi="仿宋_GB2312" w:cs="仿宋_GB2312" w:eastAsia="仿宋_GB2312"/>
                      <w:sz w:val="21"/>
                    </w:rPr>
                    <w:t>《系统试运行报告》</w:t>
                  </w:r>
                </w:p>
              </w:tc>
            </w:tr>
            <w:tr>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系统日常维护</w:t>
                  </w:r>
                </w:p>
              </w:tc>
              <w:tc>
                <w:tcPr>
                  <w:tcW w:type="dxa" w:w="8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对用户在系统使用过程中遇到的问题进行处理</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《系统跟踪报告》</w:t>
                  </w:r>
                </w:p>
              </w:tc>
            </w:tr>
          </w:tbl>
          <w:p>
            <w:pPr>
              <w:pStyle w:val="null3"/>
              <w:spacing w:before="105" w:after="105"/>
              <w:jc w:val="both"/>
            </w:pPr>
            <w:r>
              <w:rPr>
                <w:rFonts w:ascii="仿宋_GB2312" w:hAnsi="仿宋_GB2312" w:cs="仿宋_GB2312" w:eastAsia="仿宋_GB2312"/>
                <w:sz w:val="21"/>
                <w:b/>
              </w:rPr>
              <w:t>（二）</w:t>
            </w:r>
            <w:r>
              <w:rPr>
                <w:rFonts w:ascii="仿宋_GB2312" w:hAnsi="仿宋_GB2312" w:cs="仿宋_GB2312" w:eastAsia="仿宋_GB2312"/>
                <w:sz w:val="21"/>
                <w:b/>
              </w:rPr>
              <w:t>安全要求</w:t>
            </w:r>
          </w:p>
          <w:p>
            <w:pPr>
              <w:pStyle w:val="null3"/>
              <w:ind w:firstLine="560"/>
              <w:jc w:val="both"/>
            </w:pPr>
            <w:r>
              <w:rPr>
                <w:rFonts w:ascii="仿宋_GB2312" w:hAnsi="仿宋_GB2312" w:cs="仿宋_GB2312" w:eastAsia="仿宋_GB2312"/>
                <w:sz w:val="21"/>
                <w:color w:val="000000"/>
              </w:rPr>
              <w:t>安全：配合安全服务商开展网络安全等级保护测评（三级）工作，实施网络安全等级保护测评整改工作；采用符合国家标准的云主机、网络要求，并提供防病毒、防攻击、容灾备份等必要手段和安全措施；系统用户信息数据必须使用符合国家密码安全要求的加密算法和手段进行加密，数据展示时，必须进行脱敏处理，提供必要的安全日志系统。</w:t>
            </w:r>
          </w:p>
          <w:p>
            <w:pPr>
              <w:pStyle w:val="null3"/>
              <w:jc w:val="both"/>
            </w:pPr>
            <w:r>
              <w:rPr>
                <w:rFonts w:ascii="仿宋_GB2312" w:hAnsi="仿宋_GB2312" w:cs="仿宋_GB2312" w:eastAsia="仿宋_GB2312"/>
                <w:sz w:val="21"/>
                <w:b/>
              </w:rPr>
              <w:t>（三）系统架构</w:t>
            </w:r>
          </w:p>
          <w:p>
            <w:pPr>
              <w:pStyle w:val="null3"/>
              <w:jc w:val="both"/>
            </w:pPr>
            <w:r>
              <w:rPr>
                <w:rFonts w:ascii="仿宋_GB2312" w:hAnsi="仿宋_GB2312" w:cs="仿宋_GB2312" w:eastAsia="仿宋_GB2312"/>
                <w:sz w:val="21"/>
              </w:rPr>
              <w:t>架构说明：</w:t>
            </w:r>
          </w:p>
          <w:p>
            <w:pPr>
              <w:pStyle w:val="null3"/>
              <w:jc w:val="both"/>
            </w:pPr>
            <w:r>
              <w:rPr>
                <w:rFonts w:ascii="仿宋_GB2312" w:hAnsi="仿宋_GB2312" w:cs="仿宋_GB2312" w:eastAsia="仿宋_GB2312"/>
                <w:sz w:val="21"/>
              </w:rPr>
              <w:t>1.终端访问层：作为用户接入系统的核心入口，全面覆盖方案要求的三大终端场景。其中</w:t>
            </w:r>
            <w:r>
              <w:rPr>
                <w:rFonts w:ascii="仿宋_GB2312" w:hAnsi="仿宋_GB2312" w:cs="仿宋_GB2312" w:eastAsia="仿宋_GB2312"/>
                <w:sz w:val="21"/>
              </w:rPr>
              <w:t>PC端兼容Chrome、Edge、Firefox等主流浏览器，保障桌面端用户操作流畅性；移动端H5适配安卓、IOS全版本操作系统，支持自适应屏幕显示；微信小程序实现PC端核心功能的全迁移，涵盖视频面试、岗位搜索、直播带岗等服务，真正实现全场景、多终端无缝访问适配，实现“PC端移动端一体化”的建设要求。</w:t>
            </w:r>
          </w:p>
          <w:p>
            <w:pPr>
              <w:pStyle w:val="null3"/>
              <w:jc w:val="both"/>
            </w:pPr>
            <w:r>
              <w:rPr>
                <w:rFonts w:ascii="仿宋_GB2312" w:hAnsi="仿宋_GB2312" w:cs="仿宋_GB2312" w:eastAsia="仿宋_GB2312"/>
                <w:sz w:val="21"/>
              </w:rPr>
              <w:t>2.接入层：承担终端访问承接与系统安全第一道管控职责，实现安全性防护原则。负载均衡器可根据访问量动态分配资源，有效应对招聘高峰期高并发访问场景，避免系统卡顿；</w:t>
            </w:r>
            <w:r>
              <w:rPr>
                <w:rFonts w:ascii="仿宋_GB2312" w:hAnsi="仿宋_GB2312" w:cs="仿宋_GB2312" w:eastAsia="仿宋_GB2312"/>
                <w:sz w:val="21"/>
              </w:rPr>
              <w:t>API网关实现所有业务接口的统一管理、调度与监控，简化接口对接流程，支撑省市公共就业招聘数据共享对接；安全网关严格落实数据脱敏处理要求，对用户敏感信息进行加密展示，同时具备防病毒、防攻击、防注入等防护能力，为系统安全筑牢基础。</w:t>
            </w:r>
          </w:p>
          <w:p>
            <w:pPr>
              <w:pStyle w:val="null3"/>
              <w:jc w:val="both"/>
            </w:pPr>
            <w:r>
              <w:rPr>
                <w:rFonts w:ascii="仿宋_GB2312" w:hAnsi="仿宋_GB2312" w:cs="仿宋_GB2312" w:eastAsia="仿宋_GB2312"/>
                <w:sz w:val="21"/>
              </w:rPr>
              <w:t>3.应用层：是系统核心业务逻辑的实现载体，为核心建设内容，各模块独立运行且数据互联互通。页面功能模块完成首页、专区专栏（城乡基层岗位、高校毕业生就业创业等）、各类服务栏目的优化迭代，新增云招聘会场模块；视频云平台模块实现视频面试间、直播带岗、直播就业指导等功能，支持直播前筹备、直播中管控、直播后回放归档全流程；岗位信息资源库模块完成多平台数据共享接口开发，实现与</w:t>
            </w:r>
            <w:r>
              <w:rPr>
                <w:rFonts w:ascii="仿宋_GB2312" w:hAnsi="仿宋_GB2312" w:cs="仿宋_GB2312" w:eastAsia="仿宋_GB2312"/>
                <w:sz w:val="21"/>
              </w:rPr>
              <w:t>“秦云就业”及社会第三方平台的数据对接，通过AI人岗智能匹配，为高校毕业生和重点群体推送精准岗位；后台管理模块实现单位、个人信息全流程管理，包含敏感词过滤、业务数据统计报表生成等功能；移动端适配模块完成小程序、H5页面的功能迁移，确保移动终端可正常使用所有核心服务。</w:t>
            </w:r>
          </w:p>
          <w:p>
            <w:pPr>
              <w:pStyle w:val="null3"/>
              <w:jc w:val="both"/>
            </w:pPr>
            <w:r>
              <w:rPr>
                <w:rFonts w:ascii="仿宋_GB2312" w:hAnsi="仿宋_GB2312" w:cs="仿宋_GB2312" w:eastAsia="仿宋_GB2312"/>
                <w:sz w:val="21"/>
              </w:rPr>
              <w:t>4.数据层：承担系统所有数据的存储、管理与调度职责，聚焦</w:t>
            </w:r>
            <w:r>
              <w:rPr>
                <w:rFonts w:ascii="仿宋_GB2312" w:hAnsi="仿宋_GB2312" w:cs="仿宋_GB2312" w:eastAsia="仿宋_GB2312"/>
                <w:sz w:val="21"/>
              </w:rPr>
              <w:t>“省级岗位信息资源库”建设核心需求。省级岗位信息资源库归集整合企业基本信息、岗位招聘信息、个人求职信息、线上线下招聘会信息等，实现省市（区）县全方位覆盖；业务数据库存储用户账号信息、系统操作日志、业务办理记录等核心数据，保障业务可追溯；文件存储专门用于存放个人简历、面试视频、企业宣传素材、附件资料等，满足大容量文件存储需求；缓存数据库对高频访问数据（如热门岗位、首页推荐内容）进行缓存，大幅提升系统访问速度，优化用户体验。</w:t>
            </w:r>
          </w:p>
          <w:p>
            <w:pPr>
              <w:pStyle w:val="null3"/>
              <w:jc w:val="both"/>
            </w:pPr>
            <w:r>
              <w:rPr>
                <w:rFonts w:ascii="仿宋_GB2312" w:hAnsi="仿宋_GB2312" w:cs="仿宋_GB2312" w:eastAsia="仿宋_GB2312"/>
                <w:sz w:val="21"/>
              </w:rPr>
              <w:t>5.技术支撑层：为应用层提供全方位技术能力支撑，提升可扩展性。基础技术框架建议采用前后端分离、微服务架构，支持容器化部署，可灵活扩容，适配后续功能迭代升级，同时兼容主流浏览器及各类终端，支持</w:t>
            </w:r>
            <w:r>
              <w:rPr>
                <w:rFonts w:ascii="仿宋_GB2312" w:hAnsi="仿宋_GB2312" w:cs="仿宋_GB2312" w:eastAsia="仿宋_GB2312"/>
                <w:sz w:val="21"/>
              </w:rPr>
              <w:t>IPv6，降低运维成本；AI智能引擎依托人工智能技术，分析用户求职意向与岗位需求，实现岗位智能推荐；视频处理引擎支撑直播推流、视频面试、回放剪辑等功能，保障跨终端视频流畅运行；数据交互引擎实现系统与外部平台（秦云就业、第三方招聘平台）的数据共享对接，确保数据实时同步、互通共用。</w:t>
            </w:r>
          </w:p>
          <w:p>
            <w:pPr>
              <w:pStyle w:val="null3"/>
              <w:jc w:val="both"/>
            </w:pPr>
            <w:r>
              <w:rPr>
                <w:rFonts w:ascii="仿宋_GB2312" w:hAnsi="仿宋_GB2312" w:cs="仿宋_GB2312" w:eastAsia="仿宋_GB2312"/>
                <w:sz w:val="21"/>
              </w:rPr>
              <w:t>6.基础设施层：作为系统运行的基础保障，云主机采用符合国家标准的产品，满足系统运行的硬件资源需求；网络设备符合安全合规规范，支撑系统稳定运行与数据高速传输；安全设施包含防病毒软件、容灾备份系统，配合安全服务商完成网络安全等级保护三级测评及整改工作，确保系统与数据安全；运维系统实现系统日常巡检、性能监控、故障告警、日志分析等功能，可及时发现并处理系统运行中的问题，同时支撑系统日常运维管理，满足方案运行维护相关要求。</w:t>
            </w:r>
          </w:p>
          <w:p>
            <w:pPr>
              <w:pStyle w:val="null3"/>
              <w:spacing w:before="105" w:after="105"/>
              <w:jc w:val="both"/>
            </w:pPr>
            <w:r>
              <w:rPr>
                <w:rFonts w:ascii="仿宋_GB2312" w:hAnsi="仿宋_GB2312" w:cs="仿宋_GB2312" w:eastAsia="仿宋_GB2312"/>
                <w:sz w:val="21"/>
                <w:b/>
              </w:rPr>
              <w:t>（四）售后服务要求</w:t>
            </w:r>
          </w:p>
          <w:p>
            <w:pPr>
              <w:pStyle w:val="null3"/>
              <w:ind w:firstLine="360"/>
              <w:jc w:val="both"/>
            </w:pPr>
            <w:r>
              <w:rPr>
                <w:rFonts w:ascii="仿宋_GB2312" w:hAnsi="仿宋_GB2312" w:cs="仿宋_GB2312" w:eastAsia="仿宋_GB2312"/>
                <w:sz w:val="21"/>
                <w:shd w:fill="FFFFFF" w:val="clear"/>
              </w:rPr>
              <w:t>建立健全售后服务管理体系。以技术支持平台、电话、传真等多种方式受理服务请求，建立完整的服务记录台账。根据服务请求的性质与紧急程度，合理分配和调配人力资源，并对服务请求的解决全过程进行跟踪管理，确保闭环处理。保障网站网络与数据安全。针对潜在隐患问题及时提出预防性建议，主动防范问题的发生，确保系统持续稳定运行。服务范围包括但不限于：系统平台突发性故障的诊断与解决、技术咨询、运行情况定期监控等。</w:t>
            </w:r>
          </w:p>
          <w:p>
            <w:pPr>
              <w:pStyle w:val="null3"/>
              <w:jc w:val="both"/>
            </w:pPr>
            <w:r>
              <w:rPr>
                <w:rFonts w:ascii="仿宋_GB2312" w:hAnsi="仿宋_GB2312" w:cs="仿宋_GB2312" w:eastAsia="仿宋_GB2312"/>
                <w:sz w:val="21"/>
              </w:rPr>
              <w:t>1.值班服务</w:t>
            </w:r>
          </w:p>
          <w:p>
            <w:pPr>
              <w:pStyle w:val="null3"/>
              <w:ind w:firstLine="180"/>
              <w:jc w:val="both"/>
            </w:pPr>
            <w:r>
              <w:rPr>
                <w:rFonts w:ascii="仿宋_GB2312" w:hAnsi="仿宋_GB2312" w:cs="仿宋_GB2312" w:eastAsia="仿宋_GB2312"/>
                <w:sz w:val="21"/>
              </w:rPr>
              <w:t>为了保证及时快速地响应服务请求，研发机构需在法定节假日和非工作时间提供</w:t>
            </w:r>
            <w:r>
              <w:rPr>
                <w:rFonts w:ascii="仿宋_GB2312" w:hAnsi="仿宋_GB2312" w:cs="仿宋_GB2312" w:eastAsia="仿宋_GB2312"/>
                <w:sz w:val="21"/>
              </w:rPr>
              <w:t>7×24小时全时间段的值班服务，指定值班人员并保持通讯畅通，指定值班人员在接到服务请求后一小时内到达指定工作岗位，开展相关工作。</w:t>
            </w:r>
          </w:p>
          <w:p>
            <w:pPr>
              <w:pStyle w:val="null3"/>
              <w:jc w:val="both"/>
            </w:pPr>
            <w:r>
              <w:rPr>
                <w:rFonts w:ascii="仿宋_GB2312" w:hAnsi="仿宋_GB2312" w:cs="仿宋_GB2312" w:eastAsia="仿宋_GB2312"/>
                <w:sz w:val="21"/>
              </w:rPr>
              <w:t>2.协助服务</w:t>
            </w:r>
          </w:p>
          <w:p>
            <w:pPr>
              <w:pStyle w:val="null3"/>
              <w:ind w:firstLine="180"/>
              <w:jc w:val="both"/>
            </w:pPr>
            <w:r>
              <w:rPr>
                <w:rFonts w:ascii="仿宋_GB2312" w:hAnsi="仿宋_GB2312" w:cs="仿宋_GB2312" w:eastAsia="仿宋_GB2312"/>
                <w:sz w:val="21"/>
              </w:rPr>
              <w:t>针对软件运行而进行的使用咨询、疑难问题解决和系统升级方案设计等，协助做好如业务培训、参数设置、数据整合转移、突发事件处理等工作。</w:t>
            </w:r>
          </w:p>
          <w:p>
            <w:pPr>
              <w:pStyle w:val="null3"/>
              <w:jc w:val="both"/>
            </w:pPr>
            <w:r>
              <w:rPr>
                <w:rFonts w:ascii="仿宋_GB2312" w:hAnsi="仿宋_GB2312" w:cs="仿宋_GB2312" w:eastAsia="仿宋_GB2312"/>
                <w:sz w:val="21"/>
              </w:rPr>
              <w:t>3.文档服务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根据工作内容的实际情况，编写提供相关技术文档，包括各阶段文档、报告等。</w:t>
            </w:r>
          </w:p>
          <w:p>
            <w:pPr>
              <w:pStyle w:val="null3"/>
              <w:jc w:val="both"/>
            </w:pPr>
            <w:r>
              <w:rPr>
                <w:rFonts w:ascii="仿宋_GB2312" w:hAnsi="仿宋_GB2312" w:cs="仿宋_GB2312" w:eastAsia="仿宋_GB2312"/>
                <w:sz w:val="21"/>
              </w:rPr>
              <w:t>4.云服务支持</w:t>
            </w:r>
          </w:p>
          <w:p>
            <w:pPr>
              <w:pStyle w:val="null3"/>
              <w:ind w:firstLine="180"/>
              <w:jc w:val="both"/>
            </w:pPr>
            <w:r>
              <w:rPr>
                <w:rFonts w:ascii="仿宋_GB2312" w:hAnsi="仿宋_GB2312" w:cs="仿宋_GB2312" w:eastAsia="仿宋_GB2312"/>
                <w:sz w:val="21"/>
              </w:rPr>
              <w:t>云服务支持内容包括：云资源配置、运行监控、性能优化、安全防护、故障排除等技术保障服务。</w:t>
            </w:r>
          </w:p>
          <w:p>
            <w:pPr>
              <w:pStyle w:val="null3"/>
              <w:spacing w:before="105" w:after="105"/>
              <w:jc w:val="both"/>
            </w:pPr>
            <w:r>
              <w:rPr>
                <w:rFonts w:ascii="仿宋_GB2312" w:hAnsi="仿宋_GB2312" w:cs="仿宋_GB2312" w:eastAsia="仿宋_GB2312"/>
                <w:sz w:val="21"/>
                <w:b/>
              </w:rPr>
              <w:t>三</w:t>
            </w:r>
            <w:r>
              <w:rPr>
                <w:rFonts w:ascii="仿宋_GB2312" w:hAnsi="仿宋_GB2312" w:cs="仿宋_GB2312" w:eastAsia="仿宋_GB2312"/>
                <w:sz w:val="21"/>
                <w:b/>
              </w:rPr>
              <w:t>、商务条款要求：</w:t>
            </w:r>
          </w:p>
          <w:p>
            <w:pPr>
              <w:pStyle w:val="null3"/>
              <w:jc w:val="both"/>
            </w:pPr>
            <w:r>
              <w:rPr>
                <w:rFonts w:ascii="仿宋_GB2312" w:hAnsi="仿宋_GB2312" w:cs="仿宋_GB2312" w:eastAsia="仿宋_GB2312"/>
                <w:sz w:val="21"/>
              </w:rPr>
              <w:t>1.服务期：建设期6个月（启动至上线5个月，试运行至验收1个月）；自项目最终验收合格之日起，免费提供1年的运维服务（运维期内提供包括按照采购人需求完成系统的新创适配迁改工作和每年提供不少于4次功能性优化服务等内容）；自系统正式上线运行之日起，提供1年的云服务支持。</w:t>
            </w:r>
          </w:p>
          <w:p>
            <w:pPr>
              <w:pStyle w:val="null3"/>
              <w:jc w:val="both"/>
              <w:outlineLvl w:val="0"/>
            </w:pPr>
            <w:r>
              <w:rPr>
                <w:rFonts w:ascii="仿宋_GB2312" w:hAnsi="仿宋_GB2312" w:cs="仿宋_GB2312" w:eastAsia="仿宋_GB2312"/>
                <w:sz w:val="21"/>
                <w:b/>
              </w:rPr>
              <w:t>2.付款方式：合同签订生效后1个月内，采购人向成交供应商支付合同总金额的60%；项目最终验收通过后，采购人向成交供应商支付合同总金额的40%。成交供应商每次申请付款前，须向采购人提供等额有效的税务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供应商应根据本项目采购需求，自行配置驻场人员和非驻场人员，确保项目顺利实施。配置方案须在磋商响应文件文件中提交，包括人员名单、岗位职责、专业分工及人员投入时间安排。</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根据采购需求，供应商自行配置。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期6个月（启动至上线5个月，试运行至验收1个月）；自项目最终验收合格之日起，免费提供1年的运维服务（运维期内提供包括按照采购人需求完成系统的新创适配迁改工作和每年提供不少于4次功能性优化服务等内容）；自系统正式上线运行之日起，提供1年的云服务支持。</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按照合同约定的质量标准、服务内容及技术要求执行。验收由招标代理机构组织，依据采购文件、响应文件、合同及相关补充协议进行逐项核验。验收结论分为“通过”与“不通过”。验收不通过的，成交供应商应在采购人限定期限内完成整改并重新提交验收，整改期间不计入合同工期。逾期未完成整改或整改后仍不通过的，视为未达到服务要求，采购人有权按照合同约定扣除相应款项，并追究成交供应商违约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具体内容同详见本项目合同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承担⺠事责任能⼒的法⼈、其他组织或⾃然⼈，并出具合法有效的营业执照或事业单位法⼈证书等国家规定的相关证明，⾃然⼈参与的提供其⾝份证明。2.供应商提供2025年11⽉1⽇⾄今已缴纳的⾄少⼀个⽉的纳税证明或完税证明（除印花税以外的任意税种），纳税证明或完税证明上应有代收机构或税务机关的公章或业务专⽤章，依法免税的单位应提供相关证明材料。3.供应商提供2025年11⽉1⽇⾄今已缴存的⾄少⼀个⽉的社会保障资⾦缴存单据或社保机构开具的社会保险参保缴费情况证明，单据或证明上应有社保机构或代收机构的公章或业务专⽤章，依法不需要缴纳社会保障 资⾦的单位应提供相关证明材料。4.供应商提供具有履⾏合同所必需的设备和专业技术能⼒的承诺声明。5.供应商提供参加政府采购活动前3年内，在经营活动中没有重⼤违法记录的书⾯声明。供应商需在项⽬电⼦化交易系统中按要求上传相应证明⽂件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具有财务审计资质单位出具的完整的2024年度或2025年度赋码的财务审计报告（供应商成⽴时间⾄响应⽂件递交截⽌时间不⾜⼀年的可提供成⽴后任意时段的资产负债表）或响应⽂件递交截⽌时间前六个⽉内其开⼾银⾏出具的资信证明（附开⼾许可证或基本存款账⼾信息） 。供应商需在项⽬电⼦化交易系统中按要求上传相应证明⽂件并进⾏电⼦签章。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供应商需在项⽬电⼦化交易系统中按要求上传相应证明⽂件并进⾏电⼦签章。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信⽤记录</w:t>
            </w:r>
          </w:p>
        </w:tc>
        <w:tc>
          <w:tcPr>
            <w:tcW w:type="dxa" w:w="3322"/>
          </w:tcPr>
          <w:p>
            <w:pPr>
              <w:pStyle w:val="null3"/>
            </w:pPr>
            <w:r>
              <w:rPr>
                <w:rFonts w:ascii="仿宋_GB2312" w:hAnsi="仿宋_GB2312" w:cs="仿宋_GB2312" w:eastAsia="仿宋_GB2312"/>
              </w:rPr>
              <w:t>供应商不得为“信⽤中国”⽹站(www.creditchina.gov.cn)中列⼊失信被执⾏⼈和重⼤税收违法失信主体，不得为中国政府采购⽹(www.ccgp.gov.cn)政府采购严重违法失信⾏为记录名单中被财政部⻔禁⽌参加政府采购活动的。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法定代表⼈⾝份证明书或其授权委托书</w:t>
            </w:r>
          </w:p>
        </w:tc>
        <w:tc>
          <w:tcPr>
            <w:tcW w:type="dxa" w:w="3322"/>
          </w:tcPr>
          <w:p>
            <w:pPr>
              <w:pStyle w:val="null3"/>
            </w:pPr>
            <w:r>
              <w:rPr>
                <w:rFonts w:ascii="仿宋_GB2312" w:hAnsi="仿宋_GB2312" w:cs="仿宋_GB2312" w:eastAsia="仿宋_GB2312"/>
              </w:rPr>
              <w:t>法定代表⼈直接参加磋商的，须出具法定代表⼈⾝份证明书；法定代表⼈授权代表参加磋商的，须出具法定代表⼈授权委托书。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竞争性磋商响应文件按照磋商文件规定要求签署、盖章。</w:t>
            </w:r>
          </w:p>
        </w:tc>
        <w:tc>
          <w:tcPr>
            <w:tcW w:type="dxa" w:w="1661"/>
          </w:tcPr>
          <w:p>
            <w:pPr>
              <w:pStyle w:val="null3"/>
            </w:pPr>
            <w:r>
              <w:rPr>
                <w:rFonts w:ascii="仿宋_GB2312" w:hAnsi="仿宋_GB2312" w:cs="仿宋_GB2312" w:eastAsia="仿宋_GB2312"/>
              </w:rPr>
              <w:t>响应文件封面 陕西省政府采购投标人拒绝政府采购领域商业贿赂承诺书.docx 中小企业声明函 残疾人福利性单位声明函 标的清单 报价表 采购需求偏离表.docx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1.响应文件中项目名称、项目编号与本项目一致。 2.响应文件内容须包括但不限于：响应函、报价表、资格证明文件、 采购需求偏离表、服务方案说明等。</w:t>
            </w:r>
          </w:p>
        </w:tc>
        <w:tc>
          <w:tcPr>
            <w:tcW w:type="dxa" w:w="1661"/>
          </w:tcPr>
          <w:p>
            <w:pPr>
              <w:pStyle w:val="null3"/>
            </w:pPr>
            <w:r>
              <w:rPr>
                <w:rFonts w:ascii="仿宋_GB2312" w:hAnsi="仿宋_GB2312" w:cs="仿宋_GB2312" w:eastAsia="仿宋_GB2312"/>
              </w:rPr>
              <w:t>陕西省政府采购投标人拒绝政府采购领域商业贿赂承诺书.docx 中小企业声明函 残疾人福利性单位声明函 采购需求偏离表.docx 服务方案说明.docx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应符合采购文件的要求。不得提交有选择性的报价，且不得超过采购文件规定的最高限价。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完全响应采购文件的服务要求及商务条款，无负偏离。</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符合采购文件的要求（响应文件须附保证金交纳凭证）。</w:t>
            </w:r>
          </w:p>
        </w:tc>
        <w:tc>
          <w:tcPr>
            <w:tcW w:type="dxa" w:w="1661"/>
          </w:tcPr>
          <w:p>
            <w:pPr>
              <w:pStyle w:val="null3"/>
            </w:pPr>
            <w:r>
              <w:rPr>
                <w:rFonts w:ascii="仿宋_GB2312" w:hAnsi="仿宋_GB2312" w:cs="仿宋_GB2312" w:eastAsia="仿宋_GB2312"/>
              </w:rPr>
              <w:t>其他应说明的事项.docx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没有出现法律法规或磋商文件规定的其他无效情形。</w:t>
            </w:r>
          </w:p>
        </w:tc>
        <w:tc>
          <w:tcPr>
            <w:tcW w:type="dxa" w:w="1661"/>
          </w:tcPr>
          <w:p>
            <w:pPr>
              <w:pStyle w:val="null3"/>
            </w:pPr>
            <w:r>
              <w:rPr>
                <w:rFonts w:ascii="仿宋_GB2312" w:hAnsi="仿宋_GB2312" w:cs="仿宋_GB2312" w:eastAsia="仿宋_GB2312"/>
              </w:rPr>
              <w:t>陕西省政府采购投标人拒绝政府采购领域商业贿赂承诺书.docx 其他应说明的事项.docx 采购需求偏离表.docx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供应商提供2022年1月(以合同签订日期为准)至今类似项目业绩合同（需提供合同首页、金额、盖章页，合同金额），每提供一份得2分，满分8分。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系统分析现有网站在功能、性能、安全、体验、管理等方面问题，得2分；把握升级改造需求，对建设内容、关键节点理解到位，得2分。每项有一处有不足或缺陷的扣0.5分，扣完为止。注：①不足具体是指：对应单项中的内容缺失（不完整）、与对应单项的要求缺少重要节点（如仅有框架或标题、单项内容仅有复制采购内容的要求、涉及内容无重点）；②缺陷具体是指：单项方案中出现套用其他项目方案或内容、内容中出现前后描述不一致现象或语言描述出现有错误、内容涉的规范及标准（方法）出现错误、实施地点区域错误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功能开发设计方案</w:t>
            </w:r>
          </w:p>
        </w:tc>
        <w:tc>
          <w:tcPr>
            <w:tcW w:type="dxa" w:w="2492"/>
          </w:tcPr>
          <w:p>
            <w:pPr>
              <w:pStyle w:val="null3"/>
            </w:pPr>
            <w:r>
              <w:rPr>
                <w:rFonts w:ascii="仿宋_GB2312" w:hAnsi="仿宋_GB2312" w:cs="仿宋_GB2312" w:eastAsia="仿宋_GB2312"/>
              </w:rPr>
              <w:t>根据对项目需求的理解，供应商有具体、完整、可实现的功能开发设计方案：根据采购需求，提供升级的6个功能设计方案、核心页面原型图或逻辑流程图、创新交互设计或功能扩展方案。每个功能的开发设计方案内容完整，符合项目实际需求及项目情况的得3分，每个功能的开发设计方案有一处有不足或缺陷的扣0.5分。本小项满分18分，扣完为止。 注：（1） 内容完全满足项目需求是指：①内容与项目需求吻合，有具体详细的阐述；②阐述从实际出发，切合项目背景、项目需求并提出专业技术建议或者解决方案；③内容符合国家、地方、行业标准、行业惯例以及项目特点； ④内容清楚明了、表述规范、含义准确。 （2）①不足具体是指：对应单项中的内容缺失（不完整）、与对应单项的要求缺少重要节点（如仅有框架或标题、单项内容仅有复制采购内容的要求、涉及内容无重点）；②缺陷具体是指：单项方案中出现套用其他项目方案或内容、内容中出现前后描述不一致现象或语言描述出现有错误、内容涉的规范及标准（方法）出现错误、实施地点区域错误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性能与安全方案</w:t>
            </w:r>
          </w:p>
        </w:tc>
        <w:tc>
          <w:tcPr>
            <w:tcW w:type="dxa" w:w="2492"/>
          </w:tcPr>
          <w:p>
            <w:pPr>
              <w:pStyle w:val="null3"/>
            </w:pPr>
            <w:r>
              <w:rPr>
                <w:rFonts w:ascii="仿宋_GB2312" w:hAnsi="仿宋_GB2312" w:cs="仿宋_GB2312" w:eastAsia="仿宋_GB2312"/>
              </w:rPr>
              <w:t>根据对项目需求的理解，供应商有具体、完整、可实现的性能与安全方案：给出性能指标（并发数、响应时间、可用性）、承诺配合采购人完成安全优化、提供性能压测方案和安全测试方案并给出具体数值指标。方案内容完整，符合项目实际需求及项目情况的得4分，每有一处有不足或缺陷的扣0.5分，扣完为止。 注：（1） 内容完全满足项目需求是指：①内容与项目需求吻合，有具体详细的阐述；②阐述从实际出发，切合项目背景、项目需求并提出专业技术建议或者解决方案；③内容符合国家、地方、行业标准、行业惯例以及项目特点； ④内容清楚明了、表述规范、含义准确。 （2）①不足具体是指：内容缺失（不完整）、缺少重要节点（如仅有框架或标题、内容仅有复制采购内容的要求、涉及内容无重点）；②缺陷具体是指：方案中出现套用其他项目方案或内容、内容中出现前后描述不一致现象或语言描述出现有错误、内容涉的规范及标准（方法）出现错误、实施地点区域错误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技术架构方案</w:t>
            </w:r>
          </w:p>
        </w:tc>
        <w:tc>
          <w:tcPr>
            <w:tcW w:type="dxa" w:w="2492"/>
          </w:tcPr>
          <w:p>
            <w:pPr>
              <w:pStyle w:val="null3"/>
            </w:pPr>
            <w:r>
              <w:rPr>
                <w:rFonts w:ascii="仿宋_GB2312" w:hAnsi="仿宋_GB2312" w:cs="仿宋_GB2312" w:eastAsia="仿宋_GB2312"/>
              </w:rPr>
              <w:t>根据对项目需求的理解，供应商有具体、完整、可实现的技术架构与先进性方案：采用前后端分离、微服务架构，支持容器化部署，契合行业先进技术趋势。方案内容详实且理解准确，符合项目需求及项目情况的得4分，每有一处有不足或缺陷的扣0.5分，扣完为止。 注：（1） 内容完全满足项目需求是指：①内容与项目需求吻合，有具体详细的阐述；②阐述从实际出发，切合项目背景、项目需求并提出专业技术建议或者解决方案；③内容符合国家、地方、行业标准、行业惯例以及项目特点； ④内容清楚明了、表述规范、含义准确。 （2）①不足具体是指：内容缺失（不完整）、缺少重要节点（如仅有框架或标题、内容仅有复制采购内容的要求、涉及内容无重点）；②缺陷具体是指：方案中出现套用其他项目方案或内容、内容中出现前后描述不一致现象或语言描述出现有错误、内容涉的规范及标准（方法）出现错误、实施地点区域错误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实施与部署方案及进度计划</w:t>
            </w:r>
          </w:p>
        </w:tc>
        <w:tc>
          <w:tcPr>
            <w:tcW w:type="dxa" w:w="2492"/>
          </w:tcPr>
          <w:p>
            <w:pPr>
              <w:pStyle w:val="null3"/>
            </w:pPr>
            <w:r>
              <w:rPr>
                <w:rFonts w:ascii="仿宋_GB2312" w:hAnsi="仿宋_GB2312" w:cs="仿宋_GB2312" w:eastAsia="仿宋_GB2312"/>
              </w:rPr>
              <w:t>根据对项目需求的理解，供应商有具体、完整、可实现的实施与部署方案及进度计划安排：含环境准备、部署安装、配置调试、数据迁移、测试验证、上线切换等环节。严格遵循标准流程与安全规范，保障部署高效、稳定、可追溯，确保按期交付、平稳上线。方案内容详实且理解准确，符合项目实际需求及项目情况的得4分，每有一处有不足或缺陷的扣0.5分，扣完为止。 注：（1） 内容完全满足项目需求是指：①内容与项目需求吻合，有具体详细的阐述；②阐述从实际出发，切合项目背景、项目需求并提出专业技术建议或者解决方案；③内容符合国家、地方、行业标准、行业惯例以及项目特点； ④内容清楚明了、表述规范、含义准确。 （2）①不足具体是指：内容缺失（不完整）、缺少重要节点（如仅有框架或标题、内容仅有复制采购内容的要求、涉及内容无重点）；②缺陷具体是指：方案中出现套用其他项目方案或内容、内容中出现前后描述不一致现象或语言描述出现有错误、内容涉的规范及标准（方法）出现错误、实施地点区域错误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实施难点分析</w:t>
            </w:r>
          </w:p>
        </w:tc>
        <w:tc>
          <w:tcPr>
            <w:tcW w:type="dxa" w:w="2492"/>
          </w:tcPr>
          <w:p>
            <w:pPr>
              <w:pStyle w:val="null3"/>
            </w:pPr>
            <w:r>
              <w:rPr>
                <w:rFonts w:ascii="仿宋_GB2312" w:hAnsi="仿宋_GB2312" w:cs="仿宋_GB2312" w:eastAsia="仿宋_GB2312"/>
              </w:rPr>
              <w:t>根据对项目需求的理解，供应商有具体、完整、可实现的实施难点分析方案：精准识别环境适配、数据迁移、接口对接、并发压力、兼容改造、上线切换等关键难点，针对性制定预案与保障措施，有效降低风险，确保项目顺利落地。方案内容详实且理解准确，符合项目实际需求及项目情况的得2分，每有一处有不足或缺陷的扣0.5分，扣完为止。 注：（1） 内容完全满足项目需求是指：①内容与项目需求吻合，有具体详细的阐述；②阐述从实际出发，切合项目背景、项目需求并提出专业技术建议或者解决方案；③内容符合国家、地方、行业标准、行业惯例以及项目特点； ④内容清楚明了、表述规范、含义准确。 （2）①不足具体是指：内容缺失（不完整）、缺少重要节点（如仅有框架或标题、内容仅有复制采购内容的要求、涉及内容无重点）；②缺陷具体是指：方案中出现套用其他项目方案或内容、内容中出现前后描述不一致现象或语言描述出现有错误、内容涉的规范及标准（方法）出现错误、实施地点区域错误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安全措施方案</w:t>
            </w:r>
          </w:p>
        </w:tc>
        <w:tc>
          <w:tcPr>
            <w:tcW w:type="dxa" w:w="2492"/>
          </w:tcPr>
          <w:p>
            <w:pPr>
              <w:pStyle w:val="null3"/>
            </w:pPr>
            <w:r>
              <w:rPr>
                <w:rFonts w:ascii="仿宋_GB2312" w:hAnsi="仿宋_GB2312" w:cs="仿宋_GB2312" w:eastAsia="仿宋_GB2312"/>
              </w:rPr>
              <w:t>供应商须在现有安全体制下，提出确保网站系统日常运行安全可靠的策略、措施和步骤方案。方案内容详实且理解准确，符合项目实际需求及项目情况的得4分，每有一处有不足或缺陷的扣0.5分，扣完为止。注：（1） 内容完全满足项目需求是指：①内容与项目需求吻合，有具体详细的阐述；②阐述从实际出发，切合项目背景、项目需求并提出专业技术建议或者解决方案；③内容符合国家、地方、行业标准、行业惯例以及项目特点； ④内容清楚明了、表述规范、含义准确。 （2）①不足具体是指：内容缺失（不完整）、缺少重要节点（如仅有框架或标题、仅有复制采购内容的要求、涉及内容无重点）；②缺陷具体是指：方案中出现套用其他项目方案或内容、内容中出现前后描述不一致现象或语言描述出现有错误、内容涉的规范及标准（方法）出现错误、实施地点区域错误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针对本项目采购需求，结合自身实际情况编制项目运维服务方案，方案内容包含：1.运维服务内容；2.系统维护与运行保障方案；3.技术支持与故障处理方案；4.运维资料管理方案；5.人员配置方案（须包括人员名单、岗位职责、专业分工及人员投入时间安排）。每提供一项得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供应商针对本项目安排日常运维团队。 1.项目经理（2分）：具有软考高级或相关专业高级职称得2分；具有软考中级或相关专业中级职称得1分。 注：项目经理须为本单位人员，提供近3个月内缴纳的任意一个月社保证明。 2.项目团队人员（4分）：每提供1人具有软考高级或相关专业高级职称得1.5分；具有软考中级或相关专业中级职称得1分；最高得4分。 注：项目团队人员须提供近3个月内缴纳的任意一个月社保证明或在职承诺或聘用证明；项目团队人员不含项目经理；同一人员按最高分计，不重复计算。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提供7×24小时服务且电话响应≤30分钟得0.5分，在此基础上承诺现场响应≤1小时再加0.5分，提供现场服务人员名单及社保再加0.5分，提供现场服务人员工作场所证明（租赁合同或合作协议）再加0.5分，以上各项得分累计最高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应急及培训方案</w:t>
            </w:r>
          </w:p>
        </w:tc>
        <w:tc>
          <w:tcPr>
            <w:tcW w:type="dxa" w:w="2492"/>
          </w:tcPr>
          <w:p>
            <w:pPr>
              <w:pStyle w:val="null3"/>
            </w:pPr>
            <w:r>
              <w:rPr>
                <w:rFonts w:ascii="仿宋_GB2312" w:hAnsi="仿宋_GB2312" w:cs="仿宋_GB2312" w:eastAsia="仿宋_GB2312"/>
              </w:rPr>
              <w:t>一、供应商须提供《应急措施及解决方案》，内容须包含以下5项要素： 故障分级及对应响应时限； 定期巡查频率及巡查内容； 至少3类常见故障的应对措施； 服务监督管理机制； 服务质量承诺。 以上要素全部提供得3分，每缺少1项扣0.6分，扣完为止。 二、培训方案及培训计划（3分） 供应商须提供《培训方案及培训计划》，内容须包含以下4项要素： 培训具体内容； 培训方式； 培训时间及场次安排； 参训人员应达到的操作能力标准。 以上要素全部提供得3分，每缺少1项扣0.75分，扣完为止。 三、合理化建议（3分） 供应商须提供《合理化建议方案》，内容须包含以下3项要素： 不少于3条与本项目相关的合理化建议内容； 每条建议的实施步骤及方式、技术路线； 协助采购人完成建议实施的承诺。 以上要素全部提供得3分，每缺少1项扣1分，扣完为止。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价格分统一采用低价优先法计算，即满足采购文件要求且投标价格最低的投标报价为评标基准价，其价格分为满分。其他供应商的价格分统一按照下列公式计算，其中投标报价价格权值为20%：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详见附件：服务方案说明.docx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