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版本号：KFZB202605270120260604001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代王街办门家-岩王-北李产业路建设项目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KFZB2026052701</w:t>
      </w:r>
      <w:r>
        <w:br/>
      </w:r>
      <w:r>
        <w:br/>
      </w:r>
      <w:r>
        <w:br/>
      </w:r>
    </w:p>
    <w:p>
      <w:pPr>
        <w:pStyle w:val="null3"/>
        <w:jc w:val="center"/>
        <w:outlineLvl w:val="2"/>
      </w:pPr>
      <w:r>
        <w:rPr>
          <w:rFonts w:ascii="仿宋_GB2312" w:hAnsi="仿宋_GB2312" w:cs="仿宋_GB2312" w:eastAsia="仿宋_GB2312"/>
          <w:sz w:val="28"/>
          <w:b/>
        </w:rPr>
        <w:t>西安市临潼区代王街道办事处</w:t>
      </w:r>
    </w:p>
    <w:p>
      <w:pPr>
        <w:pStyle w:val="null3"/>
        <w:jc w:val="center"/>
        <w:outlineLvl w:val="2"/>
      </w:pPr>
      <w:r>
        <w:rPr>
          <w:rFonts w:ascii="仿宋_GB2312" w:hAnsi="仿宋_GB2312" w:cs="仿宋_GB2312" w:eastAsia="仿宋_GB2312"/>
          <w:sz w:val="28"/>
          <w:b/>
        </w:rPr>
        <w:t>陕西康丰建设项目管理有限公司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陕西康丰建设项目管理有限公司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西安市临潼区代王街道办事处</w:t>
      </w:r>
      <w:r>
        <w:rPr>
          <w:rFonts w:ascii="仿宋_GB2312" w:hAnsi="仿宋_GB2312" w:cs="仿宋_GB2312" w:eastAsia="仿宋_GB2312"/>
        </w:rPr>
        <w:t>委托，拟对</w:t>
      </w:r>
      <w:r>
        <w:rPr>
          <w:rFonts w:ascii="仿宋_GB2312" w:hAnsi="仿宋_GB2312" w:cs="仿宋_GB2312" w:eastAsia="仿宋_GB2312"/>
        </w:rPr>
        <w:t>代王街办门家-岩王-北李产业路建设项目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KFZB2026052701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代王街办门家-岩王-北李产业路建设项目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代王街办门家-岩王-北李产业路建设项目，拆除外运并新修混凝土路面6580平方米等，总投资约138.132万元，详见工程量清单。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采购包1（代王街办门家-岩王-北李产业路建设项目）：属于专门面向中小企业采购。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1、营业执照：企业法人具有有效的营业执照（具备统一社会信用代码）；事业法人应具有有效的事业单位法人证；其他组织应具有合法证明文件；自然人应提供有效的自然人身份证明；</w:t>
      </w:r>
    </w:p>
    <w:p>
      <w:pPr>
        <w:pStyle w:val="null3"/>
      </w:pPr>
      <w:r>
        <w:rPr>
          <w:rFonts w:ascii="仿宋_GB2312" w:hAnsi="仿宋_GB2312" w:cs="仿宋_GB2312" w:eastAsia="仿宋_GB2312"/>
        </w:rPr>
        <w:t>2、法定代表人授权委托书：供应商代表应提供法定代表人授权委托书（附法定代表人及被授权人身份证复印件或扫描件），法定代表人直接参加投标须提供法定代表人身份证明书及身份证复印件或扫描件；</w:t>
      </w:r>
    </w:p>
    <w:p>
      <w:pPr>
        <w:pStyle w:val="null3"/>
      </w:pPr>
      <w:r>
        <w:rPr>
          <w:rFonts w:ascii="仿宋_GB2312" w:hAnsi="仿宋_GB2312" w:cs="仿宋_GB2312" w:eastAsia="仿宋_GB2312"/>
        </w:rPr>
        <w:t>3、供应商资质：供应商须具备建设行政主管部门颁发的建筑工程或市政公用工程施工总承包三级(含三级)以上资质，并具有有效的安全生产许可证；</w:t>
      </w:r>
    </w:p>
    <w:p>
      <w:pPr>
        <w:pStyle w:val="null3"/>
      </w:pPr>
      <w:r>
        <w:rPr>
          <w:rFonts w:ascii="仿宋_GB2312" w:hAnsi="仿宋_GB2312" w:cs="仿宋_GB2312" w:eastAsia="仿宋_GB2312"/>
        </w:rPr>
        <w:t>4、项目经理：拟派项目经理须具备建筑工程或市政公用工程专业二级(含二级)及以上注册建造师证书，具有有效的安全生产考核合格证书（安B），且在本单位注册，无在建工程；（提供无在建工程承诺书）</w:t>
      </w:r>
    </w:p>
    <w:p>
      <w:pPr>
        <w:pStyle w:val="null3"/>
      </w:pPr>
      <w:r>
        <w:rPr>
          <w:rFonts w:ascii="仿宋_GB2312" w:hAnsi="仿宋_GB2312" w:cs="仿宋_GB2312" w:eastAsia="仿宋_GB2312"/>
        </w:rPr>
        <w:t>5、财务状况报告：提供2024年度经审计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w:t>
      </w:r>
    </w:p>
    <w:p>
      <w:pPr>
        <w:pStyle w:val="null3"/>
      </w:pPr>
      <w:r>
        <w:rPr>
          <w:rFonts w:ascii="仿宋_GB2312" w:hAnsi="仿宋_GB2312" w:cs="仿宋_GB2312" w:eastAsia="仿宋_GB2312"/>
        </w:rPr>
        <w:t>6、税收缴纳证明：提供投标截止时间前6个月内任意一个月的纳税证明或完税证明，依法免税的单位应提供相关证明材料；</w:t>
      </w:r>
    </w:p>
    <w:p>
      <w:pPr>
        <w:pStyle w:val="null3"/>
      </w:pPr>
      <w:r>
        <w:rPr>
          <w:rFonts w:ascii="仿宋_GB2312" w:hAnsi="仿宋_GB2312" w:cs="仿宋_GB2312" w:eastAsia="仿宋_GB2312"/>
        </w:rPr>
        <w:t>7、社会保障资金缴纳证明：提供投标截止时间前6个月内任意一个月的社会保障资金缴存单据或社保机构开具的社会保险参保缴费情况证明，依法不需要缴纳社会保障资金的单位应提供相关证明材料；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8、参加政府采购活动前三年内，在经营活动中没有重大违法记录的书面声明：参加政府采购活动前三年内，在经营活动中没有重大违法记录的书面声明；</w:t>
      </w:r>
    </w:p>
    <w:p>
      <w:pPr>
        <w:pStyle w:val="null3"/>
      </w:pPr>
      <w:r>
        <w:rPr>
          <w:rFonts w:ascii="仿宋_GB2312" w:hAnsi="仿宋_GB2312" w:cs="仿宋_GB2312" w:eastAsia="仿宋_GB2312"/>
        </w:rPr>
        <w:t>9、履行合同所必需的设备和专业技术能力的书面声明：履行合同所必需的设备和专业技术能力的书面声明；</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和重大税收违法失信主体的供应商，不得为中国政府采购网（www.ccgp.gov.cn）政府采购严重违法失信行为信息记录名单中被财政部门禁止参加政府采购活动的供应商（提供报名截止时间后的网页查询结果截图）；</w:t>
      </w:r>
    </w:p>
    <w:p>
      <w:pPr>
        <w:pStyle w:val="null3"/>
      </w:pPr>
      <w:r>
        <w:rPr>
          <w:rFonts w:ascii="仿宋_GB2312" w:hAnsi="仿宋_GB2312" w:cs="仿宋_GB2312" w:eastAsia="仿宋_GB2312"/>
        </w:rPr>
        <w:t>11、本项目不接受联合体投标：本项目不接受联合体投标。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西安市临潼区代王街道办事处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陕西省西安市临潼区代王街道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张富平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13891863748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陕西康丰建设项目管理有限公司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陕西省西安市临潼区陕西省西安市临潼区西关正街铁一处小区6号楼1单元北侧一楼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田元香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17791292671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采购包1：1,381,268.62元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发改委“计价格[2002]1980号文”“发改办价格(2003)857号文”和“发改价格[2011]534号《国家发展和改革委员会关于降低部分建设项目收费标准规范收费行为等有关问题的通知》”差额定率累进法计算收取代理报酬。代理报酬不足5000元的按5000元计取。 2、工程造价咨询费以中标价为基数参照“陕价行发(2014)88号文《关于我省工程造价咨询服务收费管理有关问题的通知》”差额定率累进法计算收取代理报酬。工程造价咨询服务收费额低于2000元时，按2000元收费。 3、招标代理服务费、工程造价咨询费等由中标人支付，在《中标通知书》发出前，由中标人采用现金、转账或汇款方式一次性支付给采购代理机构。 招标代理服务费、工程造价咨询费等指定银行账户 户 名：陕西康丰建设项目管理有限公司 开户行：中国工商银行股份有限公司西安临潼区支行 账 号：3700029209200068450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西安市临潼区代王街道办事处</w:t>
      </w:r>
      <w:r>
        <w:rPr>
          <w:rFonts w:ascii="仿宋_GB2312" w:hAnsi="仿宋_GB2312" w:cs="仿宋_GB2312" w:eastAsia="仿宋_GB2312"/>
        </w:rPr>
        <w:t>和</w:t>
      </w:r>
      <w:r>
        <w:rPr>
          <w:rFonts w:ascii="仿宋_GB2312" w:hAnsi="仿宋_GB2312" w:cs="仿宋_GB2312" w:eastAsia="仿宋_GB2312"/>
        </w:rPr>
        <w:t>陕西康丰建设项目管理有限公司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西安市临潼区代王街道办事处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陕西康丰建设项目管理有限公司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西安市临潼区代王街道办事处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陕西康丰建设项目管理有限公司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符合国家、省、市、行业标准及采购人要求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联系人：田元香</w:t>
      </w:r>
    </w:p>
    <w:p>
      <w:pPr>
        <w:pStyle w:val="null3"/>
      </w:pPr>
      <w:r>
        <w:rPr>
          <w:rFonts w:ascii="仿宋_GB2312" w:hAnsi="仿宋_GB2312" w:cs="仿宋_GB2312" w:eastAsia="仿宋_GB2312"/>
        </w:rPr>
        <w:t>联系电话：17791292671</w:t>
      </w:r>
    </w:p>
    <w:p>
      <w:pPr>
        <w:pStyle w:val="null3"/>
      </w:pPr>
      <w:r>
        <w:rPr>
          <w:rFonts w:ascii="仿宋_GB2312" w:hAnsi="仿宋_GB2312" w:cs="仿宋_GB2312" w:eastAsia="仿宋_GB2312"/>
        </w:rPr>
        <w:t>地址：陕西省西安市临潼区西关正街铁一处小区6号楼1单元北侧一楼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1,381,268.62</w:t>
      </w:r>
    </w:p>
    <w:p>
      <w:pPr>
        <w:pStyle w:val="null3"/>
      </w:pPr>
      <w:r>
        <w:rPr>
          <w:rFonts w:ascii="仿宋_GB2312" w:hAnsi="仿宋_GB2312" w:cs="仿宋_GB2312" w:eastAsia="仿宋_GB2312"/>
        </w:rPr>
        <w:t>采购包最高限价（元）: 1,381,268.62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代王街办门家-岩王-北李产业路建设项目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1,381,268.62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标的名称：代王街办门家-岩王-北李产业路建设项目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项目名称：代王街办门家</w:t>
            </w:r>
            <w:r>
              <w:rPr>
                <w:rFonts w:ascii="仿宋_GB2312" w:hAnsi="仿宋_GB2312" w:cs="仿宋_GB2312" w:eastAsia="仿宋_GB2312"/>
                <w:sz w:val="24"/>
              </w:rPr>
              <w:t>-岩王-北李产业路建设项目</w:t>
            </w:r>
          </w:p>
          <w:p>
            <w:pPr>
              <w:pStyle w:val="null3"/>
              <w:ind w:firstLine="480"/>
              <w:jc w:val="left"/>
            </w:pPr>
            <w:r>
              <w:rPr>
                <w:rFonts w:ascii="仿宋_GB2312" w:hAnsi="仿宋_GB2312" w:cs="仿宋_GB2312" w:eastAsia="仿宋_GB2312"/>
                <w:sz w:val="24"/>
              </w:rPr>
              <w:t>工程内容：代王街办门家</w:t>
            </w:r>
            <w:r>
              <w:rPr>
                <w:rFonts w:ascii="仿宋_GB2312" w:hAnsi="仿宋_GB2312" w:cs="仿宋_GB2312" w:eastAsia="仿宋_GB2312"/>
                <w:sz w:val="24"/>
              </w:rPr>
              <w:t>-岩王-北李产业路建设项目，拆除外运并新修混凝土路面6580平方米等，总投资约138.132万元，详见</w:t>
            </w:r>
            <w:r>
              <w:rPr>
                <w:rFonts w:ascii="仿宋_GB2312" w:hAnsi="仿宋_GB2312" w:cs="仿宋_GB2312" w:eastAsia="仿宋_GB2312"/>
                <w:sz w:val="24"/>
              </w:rPr>
              <w:t>磋</w:t>
            </w:r>
            <w:r>
              <w:rPr>
                <w:rFonts w:ascii="仿宋_GB2312" w:hAnsi="仿宋_GB2312" w:cs="仿宋_GB2312" w:eastAsia="仿宋_GB2312"/>
                <w:sz w:val="24"/>
              </w:rPr>
              <w:t>商文件及</w:t>
            </w:r>
            <w:r>
              <w:rPr>
                <w:rFonts w:ascii="仿宋_GB2312" w:hAnsi="仿宋_GB2312" w:cs="仿宋_GB2312" w:eastAsia="仿宋_GB2312"/>
                <w:sz w:val="24"/>
              </w:rPr>
              <w:t>工程量清单。</w:t>
            </w:r>
          </w:p>
          <w:p>
            <w:pPr>
              <w:pStyle w:val="null3"/>
              <w:jc w:val="both"/>
            </w:pPr>
            <w:r>
              <w:rPr>
                <w:rFonts w:ascii="仿宋_GB2312" w:hAnsi="仿宋_GB2312" w:cs="仿宋_GB2312" w:eastAsia="仿宋_GB2312"/>
                <w:sz w:val="24"/>
                <w:b/>
              </w:rPr>
              <w:t>二、主要建设内容和施工地点、计划工期、质量标准</w:t>
            </w:r>
          </w:p>
          <w:p>
            <w:pPr>
              <w:pStyle w:val="null3"/>
              <w:ind w:firstLine="482"/>
              <w:jc w:val="both"/>
            </w:pPr>
            <w:r>
              <w:rPr>
                <w:rFonts w:ascii="仿宋_GB2312" w:hAnsi="仿宋_GB2312" w:cs="仿宋_GB2312" w:eastAsia="仿宋_GB2312"/>
                <w:sz w:val="24"/>
                <w:b/>
              </w:rPr>
              <w:t>（一）主要建设</w:t>
            </w:r>
            <w:r>
              <w:rPr>
                <w:rFonts w:ascii="仿宋_GB2312" w:hAnsi="仿宋_GB2312" w:cs="仿宋_GB2312" w:eastAsia="仿宋_GB2312"/>
                <w:sz w:val="24"/>
                <w:b/>
              </w:rPr>
              <w:t>内容</w:t>
            </w:r>
            <w:r>
              <w:rPr>
                <w:rFonts w:ascii="仿宋_GB2312" w:hAnsi="仿宋_GB2312" w:cs="仿宋_GB2312" w:eastAsia="仿宋_GB2312"/>
                <w:sz w:val="24"/>
                <w:b/>
              </w:rPr>
              <w:t>：</w:t>
            </w:r>
            <w:r>
              <w:rPr>
                <w:rFonts w:ascii="仿宋_GB2312" w:hAnsi="仿宋_GB2312" w:cs="仿宋_GB2312" w:eastAsia="仿宋_GB2312"/>
                <w:sz w:val="24"/>
              </w:rPr>
              <w:t>代王街办门家</w:t>
            </w:r>
            <w:r>
              <w:rPr>
                <w:rFonts w:ascii="仿宋_GB2312" w:hAnsi="仿宋_GB2312" w:cs="仿宋_GB2312" w:eastAsia="仿宋_GB2312"/>
                <w:sz w:val="24"/>
              </w:rPr>
              <w:t>-岩王-北李产业路建设项目，拆除外运并新修混凝土路面6580平方米等，总投资约138.132万元，详见磋</w:t>
            </w:r>
            <w:r>
              <w:rPr>
                <w:rFonts w:ascii="仿宋_GB2312" w:hAnsi="仿宋_GB2312" w:cs="仿宋_GB2312" w:eastAsia="仿宋_GB2312"/>
                <w:sz w:val="24"/>
              </w:rPr>
              <w:t>商文件及工程量清单。</w:t>
            </w:r>
          </w:p>
          <w:p>
            <w:pPr>
              <w:pStyle w:val="null3"/>
              <w:ind w:firstLine="482"/>
              <w:jc w:val="both"/>
            </w:pPr>
            <w:r>
              <w:rPr>
                <w:rFonts w:ascii="仿宋_GB2312" w:hAnsi="仿宋_GB2312" w:cs="仿宋_GB2312" w:eastAsia="仿宋_GB2312"/>
                <w:sz w:val="24"/>
                <w:b/>
              </w:rPr>
              <w:t>（二）施工地点：</w:t>
            </w:r>
            <w:r>
              <w:rPr>
                <w:rFonts w:ascii="仿宋_GB2312" w:hAnsi="仿宋_GB2312" w:cs="仿宋_GB2312" w:eastAsia="仿宋_GB2312"/>
                <w:sz w:val="24"/>
              </w:rPr>
              <w:t>该</w:t>
            </w:r>
            <w:r>
              <w:rPr>
                <w:rFonts w:ascii="仿宋_GB2312" w:hAnsi="仿宋_GB2312" w:cs="仿宋_GB2312" w:eastAsia="仿宋_GB2312"/>
                <w:sz w:val="24"/>
              </w:rPr>
              <w:t>项目</w:t>
            </w:r>
            <w:r>
              <w:rPr>
                <w:rFonts w:ascii="仿宋_GB2312" w:hAnsi="仿宋_GB2312" w:cs="仿宋_GB2312" w:eastAsia="仿宋_GB2312"/>
                <w:sz w:val="24"/>
              </w:rPr>
              <w:t>位于</w:t>
            </w:r>
            <w:r>
              <w:rPr>
                <w:rFonts w:ascii="仿宋_GB2312" w:hAnsi="仿宋_GB2312" w:cs="仿宋_GB2312" w:eastAsia="仿宋_GB2312"/>
                <w:sz w:val="24"/>
              </w:rPr>
              <w:t>西安市临潼区</w:t>
            </w:r>
            <w:r>
              <w:rPr>
                <w:rFonts w:ascii="仿宋_GB2312" w:hAnsi="仿宋_GB2312" w:cs="仿宋_GB2312" w:eastAsia="仿宋_GB2312"/>
                <w:sz w:val="24"/>
              </w:rPr>
              <w:t>代王街办</w:t>
            </w:r>
            <w:r>
              <w:rPr>
                <w:rFonts w:ascii="仿宋_GB2312" w:hAnsi="仿宋_GB2312" w:cs="仿宋_GB2312" w:eastAsia="仿宋_GB2312"/>
                <w:sz w:val="24"/>
              </w:rPr>
              <w:t>门家、岩王、北李村</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（三）计划工</w:t>
            </w:r>
            <w:r>
              <w:rPr>
                <w:rFonts w:ascii="仿宋_GB2312" w:hAnsi="仿宋_GB2312" w:cs="仿宋_GB2312" w:eastAsia="仿宋_GB2312"/>
                <w:sz w:val="24"/>
                <w:b/>
              </w:rPr>
              <w:t>期：</w:t>
            </w:r>
            <w:r>
              <w:rPr>
                <w:rFonts w:ascii="仿宋_GB2312" w:hAnsi="仿宋_GB2312" w:cs="仿宋_GB2312" w:eastAsia="仿宋_GB2312"/>
                <w:sz w:val="24"/>
              </w:rPr>
              <w:t>45日历天。</w:t>
            </w:r>
          </w:p>
          <w:p>
            <w:pPr>
              <w:pStyle w:val="null3"/>
              <w:ind w:firstLine="482"/>
              <w:jc w:val="both"/>
            </w:pPr>
            <w:r>
              <w:rPr>
                <w:rFonts w:ascii="仿宋_GB2312" w:hAnsi="仿宋_GB2312" w:cs="仿宋_GB2312" w:eastAsia="仿宋_GB2312"/>
                <w:sz w:val="24"/>
                <w:b/>
              </w:rPr>
              <w:t>（四）质量标准：</w:t>
            </w:r>
            <w:r>
              <w:rPr>
                <w:rFonts w:ascii="仿宋_GB2312" w:hAnsi="仿宋_GB2312" w:cs="仿宋_GB2312" w:eastAsia="仿宋_GB2312"/>
                <w:sz w:val="24"/>
              </w:rPr>
              <w:t>达到国家现行施工质量验收规范</w:t>
            </w:r>
            <w:r>
              <w:rPr>
                <w:rFonts w:ascii="仿宋_GB2312" w:hAnsi="仿宋_GB2312" w:cs="仿宋_GB2312" w:eastAsia="仿宋_GB2312"/>
                <w:sz w:val="24"/>
              </w:rPr>
              <w:t>“合格”标准。</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工程量清单</w:t>
            </w:r>
          </w:p>
          <w:p>
            <w:pPr>
              <w:pStyle w:val="null3"/>
              <w:ind w:firstLine="960"/>
              <w:jc w:val="both"/>
            </w:pPr>
            <w:r>
              <w:rPr>
                <w:rFonts w:ascii="仿宋_GB2312" w:hAnsi="仿宋_GB2312" w:cs="仿宋_GB2312" w:eastAsia="仿宋_GB2312"/>
                <w:sz w:val="24"/>
              </w:rPr>
              <w:t>详见工程量清单。</w:t>
            </w:r>
          </w:p>
          <w:p>
            <w:pPr>
              <w:pStyle w:val="null3"/>
              <w:jc w:val="both"/>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1、工期：</w:t>
            </w:r>
            <w:r>
              <w:rPr>
                <w:rFonts w:ascii="仿宋_GB2312" w:hAnsi="仿宋_GB2312" w:cs="仿宋_GB2312" w:eastAsia="仿宋_GB2312"/>
                <w:sz w:val="24"/>
              </w:rPr>
              <w:t>45日历天</w:t>
            </w:r>
          </w:p>
          <w:p>
            <w:pPr>
              <w:pStyle w:val="null3"/>
              <w:ind w:firstLine="480"/>
              <w:jc w:val="both"/>
            </w:pPr>
            <w:r>
              <w:rPr>
                <w:rFonts w:ascii="仿宋_GB2312" w:hAnsi="仿宋_GB2312" w:cs="仿宋_GB2312" w:eastAsia="仿宋_GB2312"/>
                <w:sz w:val="24"/>
              </w:rPr>
              <w:t>2、合同款项的结算：合同签订后，采购人7日内向成交供应商支付合同价的30%作为工程预付款，竣工验收合格后15日内支付至合同价的80%，决算审计后15日内支付至竣工结算审定价的97%，质量保修期结束后15日内，支付剩余合同价款。</w:t>
            </w:r>
          </w:p>
          <w:p>
            <w:pPr>
              <w:pStyle w:val="null3"/>
            </w:pPr>
            <w:r>
              <w:rPr>
                <w:rFonts w:ascii="仿宋_GB2312" w:hAnsi="仿宋_GB2312" w:cs="仿宋_GB2312" w:eastAsia="仿宋_GB2312"/>
                <w:sz w:val="24"/>
              </w:rPr>
              <w:t xml:space="preserve">  3、质量保修期：2年。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符合国家、省、市、行业现行标准及采购人要求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3.4.1 投标单位需要在线提交所有通过电子化交易平台实施的政府采购项目的投标文件， 同时，线下递交投标文件（线上提交导出的电子版打印并加盖鲜章），正本壹份、副本贰份，电子文件(U 盘)壹份，电子文件随正本密封，电子文件工程量清单为广联达版和PDF版。若线上电子投标文件与纸质投标文件不一致以电子投标文件为准，若正本和副本不符，以正本为准。线下递交时间同线上投标文件递交截止时间;线下递交文件地点：陕西康丰建设项目管理有限公司(临潼区西关正街铁一处小区6号楼1单元北侧一楼)。 3.4.2 报价为完成本项目招标文件中所提出的工作范围及要求的全部内容，并达到国家及采购人验收标准而产生的所有费用，包括但不限于人工费、管理费、交通费、住宿费、办 公费、招标代理服务费、利润、税金、风险、验收等完成本项目所需的全部费用。任何错报、漏报由投标单位自行负责。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经审计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供应商代表应提供法定代表人授权委托书（附法定代表人及被授权人身份证复印件或扫描件），法定代表人直接参加投标须提供法定代表人身份证明书及身份证复印件或扫描件；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供应商须具备建设行政主管部门颁发的建筑工程或市政公用工程施工总承包三级(含三级)以上资质，并具有有效的安全生产许可证；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拟派项目经理须具备建筑工程或市政公用工程专业二级(含二级)及以上注册建造师证书，具有有效的安全生产考核合格证书（安B），且在本单位注册，无在建工程；（提供无在建工程承诺书）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履行合同所必需的设备和专业技术能力的书面声明</w:t>
            </w:r>
          </w:p>
        </w:tc>
        <w:tc>
          <w:tcPr>
            <w:tcW w:type="dxa" w:w="3322"/>
          </w:tcPr>
          <w:p>
            <w:pPr>
              <w:pStyle w:val="null3"/>
            </w:pPr>
            <w:r>
              <w:rPr>
                <w:rFonts w:ascii="仿宋_GB2312" w:hAnsi="仿宋_GB2312" w:cs="仿宋_GB2312" w:eastAsia="仿宋_GB2312"/>
              </w:rPr>
              <w:t>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信息记录名单中被财政部门禁止参加政府采购活动的供应商（提供报名截止时间后的网页查询结果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即低于最高限价的80%），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（1）响应文件的签署盖章：均按磋商文件要求签字、盖章。 （2）响应文件格式：符合“响应文件格式”的规定。 （3）报价唯一：只能有一个有效报价，不得提交选择性报价，且报价不超过磋商文件规定的采购预算金额或最高限价。</w:t>
            </w:r>
          </w:p>
        </w:tc>
        <w:tc>
          <w:tcPr>
            <w:tcW w:type="dxa" w:w="1661"/>
          </w:tcPr>
          <w:p>
            <w:pPr>
              <w:pStyle w:val="null3"/>
            </w:pPr>
            <w:r>
              <w:rPr>
                <w:rFonts w:ascii="仿宋_GB2312" w:hAnsi="仿宋_GB2312" w:cs="仿宋_GB2312" w:eastAsia="仿宋_GB2312"/>
              </w:rPr>
              <w:t>已标价工程量清单 中小企业声明函 资格证明文件.docx 施工组织设计.docx 供应商承诺书.docx 响应文件封面 项目管理机构组成表 主要人员简历表.docx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工期、质量、响应有效期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 响应函 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包括但不限于施工组织总体部署完整性；重难点分析及应对措施的针对性；主要分部分项施工工艺及方法的先进性、合理性等，方案总体思路清晰、合理、可操作性强、可执行程度强，且能很好推动项目实施得7～10分（含）；方案总体思路基本明确、可行性、合理性较高得4～7分（不含7分，含4分）；方案思路模糊、可行性、合理性一般得0～4分（不含4分，不含0分），本项满分10分，缺项或只有标题无内容或内容有严重错误者，该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包括但不限于质量管理体系的完整性、质量保证及质量目标的明确性、保证工程质量具体措施的针对性及可实施性等，措施内容科学可行、有针对性且内容详细计6～8分（含），措施内容较为可行、针对性较强、内容较详细计3～6分（不含6分，含3分），措施内容一般、针对性不强、内容简单计0～3分（不含3分，不含0分），本项满分8分，缺项或只有标题无内容或内容有严重错误者，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包括但不限于安全生产计划、环节控制措施等，措施内容科学可行、有针对性且内容详细计6～8分（含），措施内容较为可行、针对性较强、内容较详细计3～6分（不含6分，含3分），措施内容一般、针对性不强、内容简单计0～3分（不含3分，不含0分），本项满分8分，缺项或只有标题无内容或内容有严重错误者，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包括但不限于扬尘治理、降噪、排污、绿色施工、文明工地措施等，措施内容科学可行、有针对性且内容详细计6～8分（含），措施内容较为可行、针对性较强、内容较详细计3～6分（不含6分，含3分），措施内容一般、针对性不强、内容简单计0～3分（不含3分，不含0分），本项满分8分，缺项或只有标题无内容或内容有严重错误者，该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人员配备在数量上和专业上满足施工要求，完善，横向比较在1～6分之间打分。 项目经理附有建造师注册证书、安全生产考核合格证书等证书扫描件或复印件，每附一个证得0.5分；项目经理有管理过项目业绩，每附一份合同协议书扫描件或复印件，得1分，最高得2分； 技术负责人、施工员、质量员、安全员、材料员、资料员等附有职称证或上岗证书等扫描件或复印件，每附一个人员证书得0.5分。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包括但不限于关键节点工期计划、保证项目顺利完工的工期节点考核措施、工期承诺等；措施内容科学可行、有针对性且内容详细计5～6分（含），措施内容较为可行、针对性较强、内容较详细计3～5分（不含5分，含3分），措施内容一般、针对性不强、内容简单计0～3分（不含3分，不含0分），本项满分6分，缺项或只有标题无内容或内容有严重错误者，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施工机械设备和材料投入、劳动力安排计划</w:t>
            </w:r>
          </w:p>
        </w:tc>
        <w:tc>
          <w:tcPr>
            <w:tcW w:type="dxa" w:w="2492"/>
          </w:tcPr>
          <w:p>
            <w:pPr>
              <w:pStyle w:val="null3"/>
            </w:pPr>
            <w:r>
              <w:rPr>
                <w:rFonts w:ascii="仿宋_GB2312" w:hAnsi="仿宋_GB2312" w:cs="仿宋_GB2312" w:eastAsia="仿宋_GB2312"/>
              </w:rPr>
              <w:t>施工机械设备和材料投入、劳动力安排计划合理、齐全计5～6分（含），较合理、较齐全计3～5分（不含5分，含3分），合理性一般、不够齐全计0～3分（不含3分，不含0分），本项满分6分,缺项或只有标题无内容或内容有严重错误者，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网络图或施工进度表，网络图或进度表内容详尽、安排合理且实施性强，计3-4分（含），内容较详尽、安排较合理且实施性较强，计2-3分（不含3分，含2分），内容详尽程度一般、合理性不高且实施性不强，计0-2分（不含2分，不含0分），本项满分4分,缺项或只有标题无内容或内容有严重错误者，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提供相关维修服务及保修承诺，可行性和可信程度高计5～6分（含），可行性和可信程度较高计3～5分（不含5分，含3分），可行性和可信程度一般计0～3分（不含3分，不含0分），本项满分6分，缺项或只有标题无内容或内容有严重错误者，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业绩的有关证明材料</w:t>
            </w:r>
          </w:p>
        </w:tc>
        <w:tc>
          <w:tcPr>
            <w:tcW w:type="dxa" w:w="2492"/>
          </w:tcPr>
          <w:p>
            <w:pPr>
              <w:pStyle w:val="null3"/>
            </w:pPr>
            <w:r>
              <w:rPr>
                <w:rFonts w:ascii="仿宋_GB2312" w:hAnsi="仿宋_GB2312" w:cs="仿宋_GB2312" w:eastAsia="仿宋_GB2312"/>
              </w:rPr>
              <w:t>提供2023年1月1日至今的类似项目业绩（以施工合同签订时间或中标通知书发出时间为准）每个计2分，最高得8分。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报价为评标基准价，其价格分为满分。其他供应商的价格分统一按照下列公式计算：报价得分=(评标基准价／投标报价)×30×100%，计算分数时四舍五入取小数点后两位。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