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版本号：TDZB-2026-2008.1.2B120260507001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2026年米面油采购(二次)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TDZB-2026-2008.1.2B1</w:t>
      </w:r>
      <w:r>
        <w:br/>
      </w:r>
      <w:r>
        <w:br/>
      </w:r>
      <w:r>
        <w:br/>
      </w:r>
    </w:p>
    <w:p>
      <w:pPr>
        <w:pStyle w:val="null3"/>
        <w:jc w:val="center"/>
        <w:outlineLvl w:val="2"/>
      </w:pPr>
      <w:r>
        <w:rPr>
          <w:rFonts w:ascii="仿宋_GB2312" w:hAnsi="仿宋_GB2312" w:cs="仿宋_GB2312" w:eastAsia="仿宋_GB2312"/>
          <w:sz w:val="28"/>
          <w:b/>
        </w:rPr>
        <w:t>陕西省渭南监狱</w:t>
      </w:r>
    </w:p>
    <w:p>
      <w:pPr>
        <w:pStyle w:val="null3"/>
        <w:jc w:val="center"/>
        <w:outlineLvl w:val="2"/>
      </w:pPr>
      <w:r>
        <w:rPr>
          <w:rFonts w:ascii="仿宋_GB2312" w:hAnsi="仿宋_GB2312" w:cs="仿宋_GB2312" w:eastAsia="仿宋_GB2312"/>
          <w:sz w:val="28"/>
          <w:b/>
        </w:rPr>
        <w:t>腾德工程咨询有限公司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陕西省渭南监狱</w:t>
      </w:r>
      <w:r>
        <w:rPr>
          <w:rFonts w:ascii="仿宋_GB2312" w:hAnsi="仿宋_GB2312" w:cs="仿宋_GB2312" w:eastAsia="仿宋_GB2312"/>
        </w:rPr>
        <w:t>委托，拟对</w:t>
      </w:r>
      <w:r>
        <w:rPr>
          <w:rFonts w:ascii="仿宋_GB2312" w:hAnsi="仿宋_GB2312" w:cs="仿宋_GB2312" w:eastAsia="仿宋_GB2312"/>
        </w:rPr>
        <w:t>2026年米面油采购(二次)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TDZB-2026-2008.1.2B1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2026年米面油采购(二次)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渭南监狱对2026年罪犯生活物资采购组织公开招标，成交供应商应按照国家相关标准以及采购人要求按时将所需面、米、油配送至监狱。本项目分为两个采购包，具体划分如下：采购包1：面粉，预算金额：637000.00元；采购包2：大米及食用油，预算金额：491220.00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采购包1（面粉）：属于专门面向中小企业采购。</w:t>
      </w:r>
    </w:p>
    <w:p>
      <w:pPr>
        <w:pStyle w:val="null3"/>
      </w:pPr>
      <w:r>
        <w:rPr>
          <w:rFonts w:ascii="仿宋_GB2312" w:hAnsi="仿宋_GB2312" w:cs="仿宋_GB2312" w:eastAsia="仿宋_GB2312"/>
        </w:rPr>
        <w:t>采购包2（大米及食用油）：属于专门面向中小企业采购。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社保缴纳证明：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p>
      <w:pPr>
        <w:pStyle w:val="null3"/>
      </w:pPr>
      <w:r>
        <w:rPr>
          <w:rFonts w:ascii="仿宋_GB2312" w:hAnsi="仿宋_GB2312" w:cs="仿宋_GB2312" w:eastAsia="仿宋_GB2312"/>
        </w:rPr>
        <w:t>4、税收缴纳证明：投标文件递交截止时间前一年内至少一个月的纳税证明或完税证明，纳税证明或完税证明上应有代收机构或税务机关的公章或业务专用章。依法免税的供应商应提供相关文件证明。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法定代表人授权委托书：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8、单位负责人为同一人或者存在直接控股、管理关系的不同供应商，不得同时参加同一项目投标：单位负责人为同一人或者存在直接控股、管理关系的不同供应商，不得同时参加同一项目投标。供应商需在项目电子化交易系统中按要求填写《投标函》完成承诺并进行电子签章。</w:t>
      </w:r>
    </w:p>
    <w:p>
      <w:pPr>
        <w:pStyle w:val="null3"/>
      </w:pPr>
      <w:r>
        <w:rPr>
          <w:rFonts w:ascii="仿宋_GB2312" w:hAnsi="仿宋_GB2312" w:cs="仿宋_GB2312" w:eastAsia="仿宋_GB2312"/>
        </w:rPr>
        <w:t>9、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rFonts w:ascii="仿宋_GB2312" w:hAnsi="仿宋_GB2312" w:cs="仿宋_GB2312" w:eastAsia="仿宋_GB2312"/>
        </w:rPr>
        <w:t>10、供应商资质要求：投标人为生产厂家的须提供食品生产许可证；投标人为代理商的须提供食品经营许可证或预包装食品经营者备案表及所投产品生产厂家的食品生产许可证。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陕西省渭南监狱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09132065463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陕西省西安市未央区陕西省西安市经济技术开发区明光路177号中建财智广场5号楼501室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郑源、朱小克、宁超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17629246867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采购包1：637,000.00元</w:t>
            </w:r>
          </w:p>
          <w:p>
            <w:pPr>
              <w:pStyle w:val="null3"/>
            </w:pPr>
            <w:r>
              <w:rPr>
                <w:rFonts w:ascii="仿宋_GB2312" w:hAnsi="仿宋_GB2312" w:cs="仿宋_GB2312" w:eastAsia="仿宋_GB2312"/>
              </w:rPr>
              <w:t>采购包2：491,220.00元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代理服务费收费标准：按照原国家发展计划委员会《计价格[2002]1980号》和国家发展和改革委员会办公厅《发改办价格[2003]857号》文件的通知标准支付。 备注：在招标代理服务费或者投标保证金转账时需备注项目名称+采购包名称+招标代理服务费。 采购代理服务费缴纳账户信息： 代理机构开户名称：腾德工程咨询有限公司 开户行：中国光大银行股份有限公司西安凤城九路支行 账 号：79260188000034793。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陕西省渭南监狱</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陕西省渭南监狱</w:t>
      </w:r>
      <w:r>
        <w:rPr>
          <w:rFonts w:ascii="仿宋_GB2312" w:hAnsi="仿宋_GB2312" w:cs="仿宋_GB2312" w:eastAsia="仿宋_GB2312"/>
        </w:rPr>
        <w:t>负责解释。除上述招标文件内容，其他内容由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陕西省渭南监狱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联系人：朱经理</w:t>
      </w:r>
    </w:p>
    <w:p>
      <w:pPr>
        <w:pStyle w:val="null3"/>
      </w:pPr>
      <w:r>
        <w:rPr>
          <w:rFonts w:ascii="仿宋_GB2312" w:hAnsi="仿宋_GB2312" w:cs="仿宋_GB2312" w:eastAsia="仿宋_GB2312"/>
        </w:rPr>
        <w:t>联系电话：15029055783</w:t>
      </w:r>
    </w:p>
    <w:p>
      <w:pPr>
        <w:pStyle w:val="null3"/>
      </w:pPr>
      <w:r>
        <w:rPr>
          <w:rFonts w:ascii="仿宋_GB2312" w:hAnsi="仿宋_GB2312" w:cs="仿宋_GB2312" w:eastAsia="仿宋_GB2312"/>
        </w:rPr>
        <w:t>地址：陕西省西安市经济技术开发区明光路177号中建财智广场5号楼501室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渭南监狱对2026年罪犯生活物资采购组织公开招标，成交供应商应按照国家相关标准以及采购人要求按时将所需面、米、油配送至监狱。本项目分为两个采购包，具体划分如下：采购包1：面粉，预算金额：637000.00元；采购包2：大米及食用油，预算金额：491220.00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637,000.00</w:t>
      </w:r>
    </w:p>
    <w:p>
      <w:pPr>
        <w:pStyle w:val="null3"/>
      </w:pPr>
      <w:r>
        <w:rPr>
          <w:rFonts w:ascii="仿宋_GB2312" w:hAnsi="仿宋_GB2312" w:cs="仿宋_GB2312" w:eastAsia="仿宋_GB2312"/>
        </w:rPr>
        <w:t>采购包最高限价（元）: 637,000.00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面粉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637,000.00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491,220.00</w:t>
      </w:r>
    </w:p>
    <w:p>
      <w:pPr>
        <w:pStyle w:val="null3"/>
      </w:pPr>
      <w:r>
        <w:rPr>
          <w:rFonts w:ascii="仿宋_GB2312" w:hAnsi="仿宋_GB2312" w:cs="仿宋_GB2312" w:eastAsia="仿宋_GB2312"/>
        </w:rPr>
        <w:t>采购包最高限价（元）: 491,220.00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大米及食用油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491,220.00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FF"/>
              </w:rPr>
              <w:t>知名生产企业生产，非转基因小麦粉，不含任何添加剂。包装要求每袋</w:t>
            </w:r>
            <w:r>
              <w:rPr>
                <w:rFonts w:ascii="仿宋_GB2312" w:hAnsi="仿宋_GB2312" w:cs="仿宋_GB2312" w:eastAsia="仿宋_GB2312"/>
                <w:sz w:val="21"/>
                <w:color w:val="0000FF"/>
              </w:rPr>
              <w:t xml:space="preserve">25 </w:t>
            </w:r>
            <w:r>
              <w:rPr>
                <w:rFonts w:ascii="仿宋_GB2312" w:hAnsi="仿宋_GB2312" w:cs="仿宋_GB2312" w:eastAsia="仿宋_GB2312"/>
                <w:sz w:val="21"/>
                <w:color w:val="0000FF"/>
              </w:rPr>
              <w:t xml:space="preserve">公斤，质量符合国家标准 </w:t>
            </w:r>
            <w:r>
              <w:rPr>
                <w:rFonts w:ascii="仿宋_GB2312" w:hAnsi="仿宋_GB2312" w:cs="仿宋_GB2312" w:eastAsia="仿宋_GB2312"/>
                <w:sz w:val="21"/>
                <w:color w:val="0000FF"/>
              </w:rPr>
              <w:t xml:space="preserve">GB/T 1355-2021 </w:t>
            </w:r>
            <w:r>
              <w:rPr>
                <w:rFonts w:ascii="仿宋_GB2312" w:hAnsi="仿宋_GB2312" w:cs="仿宋_GB2312" w:eastAsia="仿宋_GB2312"/>
                <w:sz w:val="21"/>
                <w:color w:val="0000FF"/>
              </w:rPr>
              <w:t>精制粉标准要求（须提供由国家指定质量检测机构出具的检验报告）。原料为</w:t>
            </w:r>
            <w:r>
              <w:rPr>
                <w:rFonts w:ascii="仿宋_GB2312" w:hAnsi="仿宋_GB2312" w:cs="仿宋_GB2312" w:eastAsia="仿宋_GB2312"/>
                <w:sz w:val="21"/>
                <w:color w:val="0000FF"/>
              </w:rPr>
              <w:t>100%</w:t>
            </w:r>
            <w:r>
              <w:rPr>
                <w:rFonts w:ascii="仿宋_GB2312" w:hAnsi="仿宋_GB2312" w:cs="仿宋_GB2312" w:eastAsia="仿宋_GB2312"/>
                <w:sz w:val="21"/>
                <w:color w:val="0000FF"/>
              </w:rPr>
              <w:t>非转基因小麦，便于运输，储存，外包装上必须标明生产日期、保质期、执行标准、储存条件、生产厂家、产地等，标识要求：有“</w:t>
            </w:r>
            <w:r>
              <w:rPr>
                <w:rFonts w:ascii="仿宋_GB2312" w:hAnsi="仿宋_GB2312" w:cs="仿宋_GB2312" w:eastAsia="仿宋_GB2312"/>
                <w:sz w:val="21"/>
                <w:color w:val="0000FF"/>
              </w:rPr>
              <w:t>SC</w:t>
            </w:r>
            <w:r>
              <w:rPr>
                <w:rFonts w:ascii="仿宋_GB2312" w:hAnsi="仿宋_GB2312" w:cs="仿宋_GB2312" w:eastAsia="仿宋_GB2312"/>
                <w:sz w:val="21"/>
                <w:color w:val="0000FF"/>
              </w:rPr>
              <w:t>”标志及生产许可证号，执行标准；标明产品名称、净含量、质量等级、生产企业名称、电话、地址、生产日期、保质期及营养成分表，供货时剩余保存期不少于标注保质期的二分之一。</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标的名称：大米及食用油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FF"/>
              </w:rPr>
              <w:t>大米：</w:t>
            </w:r>
            <w:r>
              <w:rPr>
                <w:rFonts w:ascii="仿宋_GB2312" w:hAnsi="仿宋_GB2312" w:cs="仿宋_GB2312" w:eastAsia="仿宋_GB2312"/>
                <w:sz w:val="21"/>
                <w:color w:val="0000FF"/>
              </w:rPr>
              <w:t>知名生产企业，非转基因大米。包装要求：独立包装，每袋</w:t>
            </w:r>
            <w:r>
              <w:rPr>
                <w:rFonts w:ascii="仿宋_GB2312" w:hAnsi="仿宋_GB2312" w:cs="仿宋_GB2312" w:eastAsia="仿宋_GB2312"/>
                <w:sz w:val="21"/>
                <w:color w:val="0000FF"/>
              </w:rPr>
              <w:t xml:space="preserve">25 </w:t>
            </w:r>
            <w:r>
              <w:rPr>
                <w:rFonts w:ascii="仿宋_GB2312" w:hAnsi="仿宋_GB2312" w:cs="仿宋_GB2312" w:eastAsia="仿宋_GB2312"/>
                <w:sz w:val="21"/>
                <w:color w:val="0000FF"/>
              </w:rPr>
              <w:t>公斤，质量符合国家标准</w:t>
            </w:r>
            <w:r>
              <w:rPr>
                <w:rFonts w:ascii="仿宋_GB2312" w:hAnsi="仿宋_GB2312" w:cs="仿宋_GB2312" w:eastAsia="仿宋_GB2312"/>
                <w:sz w:val="21"/>
                <w:color w:val="0000FF"/>
              </w:rPr>
              <w:t>GB/T1354-2018</w:t>
            </w:r>
            <w:r>
              <w:rPr>
                <w:rFonts w:ascii="仿宋_GB2312" w:hAnsi="仿宋_GB2312" w:cs="仿宋_GB2312" w:eastAsia="仿宋_GB2312"/>
                <w:sz w:val="21"/>
                <w:color w:val="0000FF"/>
              </w:rPr>
              <w:t>一级粳米标准要求（须提供由国家指定质量检测机构出具的检验报告）。原料为</w:t>
            </w:r>
            <w:r>
              <w:rPr>
                <w:rFonts w:ascii="仿宋_GB2312" w:hAnsi="仿宋_GB2312" w:cs="仿宋_GB2312" w:eastAsia="仿宋_GB2312"/>
                <w:sz w:val="21"/>
                <w:color w:val="0000FF"/>
              </w:rPr>
              <w:t>100%</w:t>
            </w:r>
            <w:r>
              <w:rPr>
                <w:rFonts w:ascii="仿宋_GB2312" w:hAnsi="仿宋_GB2312" w:cs="仿宋_GB2312" w:eastAsia="仿宋_GB2312"/>
                <w:sz w:val="21"/>
                <w:color w:val="0000FF"/>
              </w:rPr>
              <w:t>非转基因水稻，便于运输，储存，外包装上必须标明生产日期、保质期、执行标准、储存条件、生产厂家、产地等，标识要求：有“</w:t>
            </w:r>
            <w:r>
              <w:rPr>
                <w:rFonts w:ascii="仿宋_GB2312" w:hAnsi="仿宋_GB2312" w:cs="仿宋_GB2312" w:eastAsia="仿宋_GB2312"/>
                <w:sz w:val="21"/>
                <w:color w:val="0000FF"/>
              </w:rPr>
              <w:t>SC</w:t>
            </w:r>
            <w:r>
              <w:rPr>
                <w:rFonts w:ascii="仿宋_GB2312" w:hAnsi="仿宋_GB2312" w:cs="仿宋_GB2312" w:eastAsia="仿宋_GB2312"/>
                <w:sz w:val="21"/>
                <w:color w:val="0000FF"/>
              </w:rPr>
              <w:t>”标志及生产许可证号，执行标准；标明产品名称、净含量、质量等级、生产企业名称、电话、地址、生产日期、保质期及营养成分表，供货时剩余保存期不少于标注保质期的二分之一。</w:t>
            </w:r>
          </w:p>
          <w:p>
            <w:pPr>
              <w:pStyle w:val="null3"/>
              <w:jc w:val="both"/>
            </w:pPr>
            <w:r>
              <w:rPr>
                <w:rFonts w:ascii="仿宋_GB2312" w:hAnsi="仿宋_GB2312" w:cs="仿宋_GB2312" w:eastAsia="仿宋_GB2312"/>
                <w:sz w:val="21"/>
                <w:color w:val="0000FF"/>
              </w:rPr>
              <w:t>食用油：知名生产企业生产，规格16.4L/桶,品种要求菜籽油（非转基因原料生产），质量标准具有正常植物油的色泽、透明度、气味和滋味，无焦臭、酸败及其它异味。标识要求：有“SC”标志及生产许可证号，执行标准；标明产品名称、净含量、生产企业名称、电话、地址、生产日期、保质期及营养成分表。供货时剩余保存期不少于标注保质期的二分之一。</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本项目服务期限自合同签订之日起1年(具体服务起止日期可随合同签订时间相应顺延)，在接到供货通知后3日内送至指定地点。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本项目服务期限自合同签订之日起1年(具体服务起止日期可随合同签订时间相应顺延)，在接到供货通知后3日内送至指定地点。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陕西省渭南市临渭区乐天大街118号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陕西省渭南市临渭区乐天大街118号</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按月据实结算，次月付上月货款；结算单价以中标人响应单价为准，结算数量以实际发放数量为准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按月据实结算，次月付上月货款；结算单价以中标人响应单价为准，结算数量以实际发放数量为准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（1）成交供应商提供的产品必须满足招标文件及合同的技术参数要求。 （2）成交供应商应随产品提供检验报告等相关材料。 （3）供应产品未达到招标文件技术参数要求的，招标人有权拒收产品或拒绝验收，成交供应商可进行限期整改；整改后仍达不到要求的，招标人有权解除合同，保留依法索赔的权利。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（2）乙方未按合同要求提供产品或质量不能满足国家标准和采购人要求的，甲方有权终止合同，甚至对乙方违约行为进行追究。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 二、供应商的投标报价是供应商响应本项目要求的全部工作内容的价格体现，包括供应商完成本项目所需的直接费、间接费、利润、税金及其它相关的一切费用。在提供服务的过程中的任何遗漏，均由中标供应商免费提供，采购人将不再支付任何费用。三、根据《陕西省财政厅关于进一步优化政府采购营商环境有关事项的通知》（陕财办采〔2023〕4号）要求，中标供应商应当在中标通知书发出之日起25日内与采购人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或提交投标文件截止时间三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投标文件递交截止时间前一年内至少一个月的社会保障资金缴存单据或社保机构开具的社会保险参保缴费情况证明，单据或证明上应有社保机构或代收机构的公章或业务专用章。成立时间至提交响应文件截止时间不足一个月或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投标文件递交截止时间前一年内至少一个月的纳税证明或完税证明，纳税证明或完税证明上应有代收机构或税务机关的公章或业务专用章。依法免税的供应商应提供相关文件证明。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有效的劳动合同或投标截止前六个月内任意一个月养老保险缴纳证明。（法人参加只需提供法定代表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单位负责人为同一人或者存在直接控股、管理关系的不同供应商，不得同时参加同一项目投标</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单位负责人为同一人或者存在直接控股、管理关系的不同供应商，不得同时参加同一项目投标。供应商需在项目电子化交易系统中按要求填写《投标函》完成承诺并进行电子签章。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投标人为生产厂家的须提供食品生产许可证；投标人为代理商的须提供食品经营许可证或预包装食品经营者备案表及所投产品生产厂家的食品生产许可证。</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包2米和油分项报价.docx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招标文件内要求的其他实质性要求</w:t>
            </w:r>
          </w:p>
        </w:tc>
        <w:tc>
          <w:tcPr>
            <w:tcW w:type="dxa" w:w="1661"/>
          </w:tcPr>
          <w:p>
            <w:pPr>
              <w:pStyle w:val="null3"/>
            </w:pPr>
            <w:r>
              <w:rPr>
                <w:rFonts w:ascii="仿宋_GB2312" w:hAnsi="仿宋_GB2312" w:cs="仿宋_GB2312" w:eastAsia="仿宋_GB2312"/>
              </w:rPr>
              <w:t>产品技术参数表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针对本项目实施方案、进度计划、供货能力、供货时间、验收方案等方面。 1.方案合理、可行性强：8分； 2.方案基本合理、可行性一般：6分； 3.方案合理性和可行性较差：3分；缺项得0分。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配送管理制度及管理办法</w:t>
            </w:r>
          </w:p>
        </w:tc>
        <w:tc>
          <w:tcPr>
            <w:tcW w:type="dxa" w:w="2492"/>
          </w:tcPr>
          <w:p>
            <w:pPr>
              <w:pStyle w:val="null3"/>
            </w:pPr>
            <w:r>
              <w:rPr>
                <w:rFonts w:ascii="仿宋_GB2312" w:hAnsi="仿宋_GB2312" w:cs="仿宋_GB2312" w:eastAsia="仿宋_GB2312"/>
              </w:rPr>
              <w:t>制定合理、可行的配送管理制度及管理办法。 1.相关制度内容完整，描述清晰，且能针对性满足项目需求：7分； 2.相关制度内容较为完整，描述较为清晰，且能较好满足项目需求：5分； 3.相关制度内容欠缺，描述不清晰，可行性一般：3分；缺项得0分。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针对各种突发情况（市场供求变化、天气、车辆故障等）的应急预案，承诺能够在规定时间内物资按期、保质交货，并按照招标人要求将物资运送至指定地点。 1.方案合理、可行性强：7分； 2.方案基本合理、可行性一般：5分； 3.方案合理性和可行性较差：3分；缺项得0分。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产品要求</w:t>
            </w:r>
          </w:p>
        </w:tc>
        <w:tc>
          <w:tcPr>
            <w:tcW w:type="dxa" w:w="2492"/>
          </w:tcPr>
          <w:p>
            <w:pPr>
              <w:pStyle w:val="null3"/>
            </w:pPr>
            <w:r>
              <w:rPr>
                <w:rFonts w:ascii="仿宋_GB2312" w:hAnsi="仿宋_GB2312" w:cs="仿宋_GB2312" w:eastAsia="仿宋_GB2312"/>
              </w:rPr>
              <w:t>产品规格符合要求，数量准确，且能提供所投产品（包含但不限于品种、等级、加工工艺、水分、气味等等）对应的质量指标、营养成分，并提供相应指标的证明材料。 1.提供材料完整，且能针对性满足项目需求：8分； 2.提供材料较为完整，且能较好满足项目需求：6分； 3.提供材料内容欠缺，描述不清晰：3分；缺项得0分。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配送服务</w:t>
            </w:r>
          </w:p>
        </w:tc>
        <w:tc>
          <w:tcPr>
            <w:tcW w:type="dxa" w:w="2492"/>
          </w:tcPr>
          <w:p>
            <w:pPr>
              <w:pStyle w:val="null3"/>
            </w:pPr>
            <w:r>
              <w:rPr>
                <w:rFonts w:ascii="仿宋_GB2312" w:hAnsi="仿宋_GB2312" w:cs="仿宋_GB2312" w:eastAsia="仿宋_GB2312"/>
              </w:rPr>
              <w:t>投标人针对本项目有具体的供货组织安排，详细的人员、财力调配、运输车辆配送方案、派送措施等。 1.方案及措施合理、可行性强：8分； 2.方案及措施基本合理、可行性一般：6分； 3.方案及措施合理性和可行性较差：3分；缺项得0分。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质量保证方案及措施</w:t>
            </w:r>
          </w:p>
        </w:tc>
        <w:tc>
          <w:tcPr>
            <w:tcW w:type="dxa" w:w="2492"/>
          </w:tcPr>
          <w:p>
            <w:pPr>
              <w:pStyle w:val="null3"/>
            </w:pPr>
            <w:r>
              <w:rPr>
                <w:rFonts w:ascii="仿宋_GB2312" w:hAnsi="仿宋_GB2312" w:cs="仿宋_GB2312" w:eastAsia="仿宋_GB2312"/>
              </w:rPr>
              <w:t>所投产品货源渠道正规，质量符合国家质量标准和食品卫生安全要求,检验手续合法有效。 1.方案及措施合理、可行性强：7分； 2.方案及措施基本合理、可行性一般：5分； 3.方案及措施合理性和可行性较差：3分；缺项得0分。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设有专业的技术服务队伍、有效保障本项目的技术服务措施，对可能出现的各种售后突发情况有明确合理的对应方案。 1.方案合理、详细、可行性强：10分； 2.方案基本合理、可行性一般：7分； 3.方案合理性和可行性较差：4分；缺项得0分。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企业内部管理制度</w:t>
            </w:r>
          </w:p>
        </w:tc>
        <w:tc>
          <w:tcPr>
            <w:tcW w:type="dxa" w:w="2492"/>
          </w:tcPr>
          <w:p>
            <w:pPr>
              <w:pStyle w:val="null3"/>
            </w:pPr>
            <w:r>
              <w:rPr>
                <w:rFonts w:ascii="仿宋_GB2312" w:hAnsi="仿宋_GB2312" w:cs="仿宋_GB2312" w:eastAsia="仿宋_GB2312"/>
              </w:rPr>
              <w:t>1.制度内容完整，可行性强，得3分； 2.制度内容较为完整，可行性一般，得2分。3.缺项得0分。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1.在以往的服务项目中信誉良好，提供相关业主出具的证明材料，得1分； 2.提供企业社会信誉良好承诺书，得1分； 3.未提供相关证明材料或承诺书，得0分。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针对本项目实施方案、进度计划、供货能力、供货时间、验收方案等方面。 1.方案合理、可行性强：8分； 2.方案基本合理、可行性一般：6分； 3.方案合理性和可行性较差：3分；缺项得0分。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配送管理制度及管理办法</w:t>
            </w:r>
          </w:p>
        </w:tc>
        <w:tc>
          <w:tcPr>
            <w:tcW w:type="dxa" w:w="2492"/>
          </w:tcPr>
          <w:p>
            <w:pPr>
              <w:pStyle w:val="null3"/>
            </w:pPr>
            <w:r>
              <w:rPr>
                <w:rFonts w:ascii="仿宋_GB2312" w:hAnsi="仿宋_GB2312" w:cs="仿宋_GB2312" w:eastAsia="仿宋_GB2312"/>
              </w:rPr>
              <w:t>制定合理、可行的配送管理制度及管理办法。 1.相关制度内容完整，描述清晰，且能针对性满足项目需求：7分； 2.相关制度内容较为完整，描述较为清晰，且能较好满足项目需求：5分； 3.相关制度内容欠缺，描述不清晰，可行性一般：3分；缺项得0分。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针对各种突发情况（市场供求变化、天气、车辆故障等）的应急预案，承诺能够在规定时间内物资按期、保质交货，并按照招标人要求将物资运送至指定地点。 1.方案合理、可行性强：7分； 2.方案基本合理、可行性一般：5分； 3.方案合理性和可行性较差：3分；缺项得0分。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产品要求</w:t>
            </w:r>
          </w:p>
        </w:tc>
        <w:tc>
          <w:tcPr>
            <w:tcW w:type="dxa" w:w="2492"/>
          </w:tcPr>
          <w:p>
            <w:pPr>
              <w:pStyle w:val="null3"/>
            </w:pPr>
            <w:r>
              <w:rPr>
                <w:rFonts w:ascii="仿宋_GB2312" w:hAnsi="仿宋_GB2312" w:cs="仿宋_GB2312" w:eastAsia="仿宋_GB2312"/>
              </w:rPr>
              <w:t>产品规格符合要求，数量准确，且能提供所投产品（包含但不限于品种、等级、加工工艺、水分、气味等等）对应的质量指标、营养成分，并提供相应指标的证明材料。 1.提供材料完整，且能针对性满足项目需求：8分； 2.提供材料较为完整，且能较好满足项目需求：6分； 3.提供材料内容欠缺，描述不清晰：3分；缺项得0分。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配送服务</w:t>
            </w:r>
          </w:p>
        </w:tc>
        <w:tc>
          <w:tcPr>
            <w:tcW w:type="dxa" w:w="2492"/>
          </w:tcPr>
          <w:p>
            <w:pPr>
              <w:pStyle w:val="null3"/>
            </w:pPr>
            <w:r>
              <w:rPr>
                <w:rFonts w:ascii="仿宋_GB2312" w:hAnsi="仿宋_GB2312" w:cs="仿宋_GB2312" w:eastAsia="仿宋_GB2312"/>
              </w:rPr>
              <w:t>投标人针对本项目有具体的供货组织安排，详细的人员、财力调配、运输车辆配送方案、派送措施等。 1.方案及措施合理、可行性强：8分； 2.方案及措施基本合理、可行性一般：6分； 3.方案及措施合理性和可行性较差：3分；缺项得0分。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质量保证方案及措施</w:t>
            </w:r>
          </w:p>
        </w:tc>
        <w:tc>
          <w:tcPr>
            <w:tcW w:type="dxa" w:w="2492"/>
          </w:tcPr>
          <w:p>
            <w:pPr>
              <w:pStyle w:val="null3"/>
            </w:pPr>
            <w:r>
              <w:rPr>
                <w:rFonts w:ascii="仿宋_GB2312" w:hAnsi="仿宋_GB2312" w:cs="仿宋_GB2312" w:eastAsia="仿宋_GB2312"/>
              </w:rPr>
              <w:t>所投产品货源渠道正规，质量符合国家质量标准和食品卫生安全要求,检验手续合法有效。 1.方案及措施合理、可行性强：7分； 2.方案及措施基本合理、可行性一般：5分； 3.方案及措施合理性和可行性较差：3分；缺项得0分。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设有专业的技术服务队伍、有效保障本项目的技术服务措施，对可能出现的各种售后突发情况有明确合理的对应方案。 1.方案合理、详细、可行性强：10分； 2.方案基本合理、可行性一般：7分； 3.方案合理性和可行性较差：4分；缺项得0分。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企业内部管理制度</w:t>
            </w:r>
          </w:p>
        </w:tc>
        <w:tc>
          <w:tcPr>
            <w:tcW w:type="dxa" w:w="2492"/>
          </w:tcPr>
          <w:p>
            <w:pPr>
              <w:pStyle w:val="null3"/>
            </w:pPr>
            <w:r>
              <w:rPr>
                <w:rFonts w:ascii="仿宋_GB2312" w:hAnsi="仿宋_GB2312" w:cs="仿宋_GB2312" w:eastAsia="仿宋_GB2312"/>
              </w:rPr>
              <w:t>1.制度内容完整，可行性强，得3分； 2.制度内容较为完整，可行性一般，得2分。3.缺项得0分。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企业具有良好的社会信誉</w:t>
            </w:r>
          </w:p>
        </w:tc>
        <w:tc>
          <w:tcPr>
            <w:tcW w:type="dxa" w:w="2492"/>
          </w:tcPr>
          <w:p>
            <w:pPr>
              <w:pStyle w:val="null3"/>
            </w:pPr>
            <w:r>
              <w:rPr>
                <w:rFonts w:ascii="仿宋_GB2312" w:hAnsi="仿宋_GB2312" w:cs="仿宋_GB2312" w:eastAsia="仿宋_GB2312"/>
              </w:rPr>
              <w:t>1.在以往的服务项目中信誉良好，提供相关业主出具的证明材料，得1分； 2.提供企业社会信誉良好承诺书，得1分； 3.未提供相关证明材料或承诺书，得0分。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提供所投物品2023年1月1日（以合同签订日期为准）至今同类产品的类似业绩，以合同扫描件为准，提供1份得2分，最高得10分。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满足招标文件要求,以本次最低有效投标报价为基准价，其价格分为满分。报价得分=（评审基准价／投标报价）×30%×100。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详见附件：包1分项报价表.docx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详见附件：包2米和油分项报价.docx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详见附件：采购项目合同(1).docx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