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版本号：KY2026-3-12520260602001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变压器改造项目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KY2026-3-125</w:t>
      </w:r>
      <w:r>
        <w:br/>
      </w:r>
      <w:r>
        <w:br/>
      </w:r>
      <w:r>
        <w:br/>
      </w:r>
    </w:p>
    <w:p>
      <w:pPr>
        <w:pStyle w:val="null3"/>
        <w:jc w:val="center"/>
        <w:outlineLvl w:val="2"/>
      </w:pPr>
      <w:r>
        <w:rPr>
          <w:rFonts w:ascii="仿宋_GB2312" w:hAnsi="仿宋_GB2312" w:cs="仿宋_GB2312" w:eastAsia="仿宋_GB2312"/>
          <w:sz w:val="28"/>
          <w:b/>
        </w:rPr>
        <w:t>西安市新城区后宰门小学教育集团咸宁小学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西安市新城区后宰门小学教育集团咸宁小学</w:t>
      </w:r>
      <w:r>
        <w:rPr>
          <w:rFonts w:ascii="仿宋_GB2312" w:hAnsi="仿宋_GB2312" w:cs="仿宋_GB2312" w:eastAsia="仿宋_GB2312"/>
        </w:rPr>
        <w:t>委托，拟对</w:t>
      </w:r>
      <w:r>
        <w:rPr>
          <w:rFonts w:ascii="仿宋_GB2312" w:hAnsi="仿宋_GB2312" w:cs="仿宋_GB2312" w:eastAsia="仿宋_GB2312"/>
        </w:rPr>
        <w:t>变压器改造项目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变压器改造项目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西安市新城区后宰门小学教育集团咸宁小学变压器改造项目，具体内容详见磋商文件第3章。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采购包1（变压器改造项目）：属于专门面向中小企业采购。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资质：供应商具备建设行政主管部门颁发的电力工程施工总承包三级及以上资质或输变电工程专业承包三级及以上资质，同时具备国家电力监管部门颁发的承装（修、试）电力设施许可证三级及以上资质，并具有有效的安全生产许可证。</w:t>
      </w:r>
    </w:p>
    <w:p>
      <w:pPr>
        <w:pStyle w:val="null3"/>
      </w:pPr>
      <w:r>
        <w:rPr>
          <w:rFonts w:ascii="仿宋_GB2312" w:hAnsi="仿宋_GB2312" w:cs="仿宋_GB2312" w:eastAsia="仿宋_GB2312"/>
        </w:rPr>
        <w:t>9、项目负责人：拟派项目负责人须具有机电工程专业二级及以上建造师资格和有效的安全生产考核合格证书，在本单位注册且无在建项目。</w:t>
      </w:r>
    </w:p>
    <w:p>
      <w:pPr>
        <w:pStyle w:val="null3"/>
      </w:pPr>
      <w:r>
        <w:rPr>
          <w:rFonts w:ascii="仿宋_GB2312" w:hAnsi="仿宋_GB2312" w:cs="仿宋_GB2312" w:eastAsia="仿宋_GB2312"/>
        </w:rPr>
        <w:t>10、不良记录：供应商及项目经理须在“陕西省住房和城乡建设厅”可查询且无不良记录。</w:t>
      </w:r>
    </w:p>
    <w:p>
      <w:pPr>
        <w:pStyle w:val="null3"/>
      </w:pPr>
      <w:r>
        <w:rPr>
          <w:rFonts w:ascii="仿宋_GB2312" w:hAnsi="仿宋_GB2312" w:cs="仿宋_GB2312" w:eastAsia="仿宋_GB2312"/>
        </w:rPr>
        <w:t>11、中小企业声明函：提供中小企业声明函（本项目为专门面向中、小、微型企业采购项目）。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西安市新城区后宰门小学教育集团咸宁小学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西安市新城区咸宁东路485号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029-83220499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采购包1：566,488.25元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 2、成交供应商应依据成交金额向采购代理机构交纳成交服务费，交费金额参照国家计委颁布的《招标代理服务收费管理暂行办法》（计价格[2002]1980号）及发改办价格[2003]857号文件的规定标准收取，不足5000元按定额5000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西安市新城区后宰门小学教育集团咸宁小学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西安市新城区后宰门小学教育集团咸宁小学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西安市新城区后宰门小学教育集团咸宁小学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联系人：张娜、黄梦迪、戈迪</w:t>
      </w:r>
    </w:p>
    <w:p>
      <w:pPr>
        <w:pStyle w:val="null3"/>
      </w:pPr>
      <w:r>
        <w:rPr>
          <w:rFonts w:ascii="仿宋_GB2312" w:hAnsi="仿宋_GB2312" w:cs="仿宋_GB2312" w:eastAsia="仿宋_GB2312"/>
        </w:rPr>
        <w:t>联系电话：029-81206622-835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566,488.25</w:t>
      </w:r>
    </w:p>
    <w:p>
      <w:pPr>
        <w:pStyle w:val="null3"/>
      </w:pPr>
      <w:r>
        <w:rPr>
          <w:rFonts w:ascii="仿宋_GB2312" w:hAnsi="仿宋_GB2312" w:cs="仿宋_GB2312" w:eastAsia="仿宋_GB2312"/>
        </w:rPr>
        <w:t>采购包最高限价（元）: 566,488.25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变压器改造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566,488.25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标的名称：变压器改造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工程量清单编制依据：</w:t>
            </w:r>
          </w:p>
          <w:p>
            <w:pPr>
              <w:pStyle w:val="null3"/>
            </w:pPr>
            <w:r>
              <w:rPr>
                <w:rFonts w:ascii="仿宋_GB2312" w:hAnsi="仿宋_GB2312" w:cs="仿宋_GB2312" w:eastAsia="仿宋_GB2312"/>
              </w:rPr>
              <w:t>1.依据《关于印发2025陕西省建设工程费用规则等计价依据的通知》（陕建管发〔2025〕10号）、《建设工程工程量清单计价标准》（2025）；</w:t>
            </w:r>
          </w:p>
          <w:p>
            <w:pPr>
              <w:pStyle w:val="null3"/>
            </w:pPr>
            <w:r>
              <w:rPr>
                <w:rFonts w:ascii="仿宋_GB2312" w:hAnsi="仿宋_GB2312" w:cs="仿宋_GB2312" w:eastAsia="仿宋_GB2312"/>
              </w:rPr>
              <w:t>2.《房屋建筑与装饰工程工程量计算标准》（2025）、《通用安装工程工程量计算标准》（2025）、《市政工程工程量计算标准》（2025）、《园林绿化工程工程量计算标准》（2025）；</w:t>
            </w:r>
          </w:p>
          <w:p>
            <w:pPr>
              <w:pStyle w:val="null3"/>
            </w:pPr>
            <w:r>
              <w:rPr>
                <w:rFonts w:ascii="仿宋_GB2312" w:hAnsi="仿宋_GB2312" w:cs="仿宋_GB2312" w:eastAsia="仿宋_GB2312"/>
              </w:rPr>
              <w:t>3.《陕西省建设工程费用规则》（2025）；</w:t>
            </w:r>
          </w:p>
          <w:p>
            <w:pPr>
              <w:pStyle w:val="null3"/>
            </w:pPr>
            <w:r>
              <w:rPr>
                <w:rFonts w:ascii="仿宋_GB2312" w:hAnsi="仿宋_GB2312" w:cs="仿宋_GB2312" w:eastAsia="仿宋_GB2312"/>
              </w:rPr>
              <w:t>4.《陕西省房屋建筑与装饰工程消耗量定额（2025）》、《陕西省通用安装工程消耗量定额（2025）》、《陕西省市政工程消耗量定额（2025）》、《陕西省园林绿化工程消耗量定额（2025）》及其配套的基价表（2025）、其他有关的计价依据和办法；</w:t>
            </w:r>
          </w:p>
          <w:p>
            <w:pPr>
              <w:pStyle w:val="null3"/>
            </w:pPr>
            <w:r>
              <w:rPr>
                <w:rFonts w:ascii="仿宋_GB2312" w:hAnsi="仿宋_GB2312" w:cs="仿宋_GB2312" w:eastAsia="仿宋_GB2312"/>
              </w:rPr>
              <w:t>5.与招标工程相关的技术标准规范；</w:t>
            </w:r>
          </w:p>
          <w:p>
            <w:pPr>
              <w:pStyle w:val="null3"/>
            </w:pPr>
            <w:r>
              <w:rPr>
                <w:rFonts w:ascii="仿宋_GB2312" w:hAnsi="仿宋_GB2312" w:cs="仿宋_GB2312" w:eastAsia="仿宋_GB2312"/>
              </w:rPr>
              <w:t>6.《新城区后宰门小学教育集团咸宁小学变压器改造项目》的设计图纸；</w:t>
            </w:r>
          </w:p>
          <w:p>
            <w:pPr>
              <w:pStyle w:val="null3"/>
            </w:pPr>
            <w:r>
              <w:rPr>
                <w:rFonts w:ascii="仿宋_GB2312" w:hAnsi="仿宋_GB2312" w:cs="仿宋_GB2312" w:eastAsia="仿宋_GB2312"/>
              </w:rPr>
              <w:t>7.计价软件采用广联达云计价平台GCCP 7.0 版本：7.5000.23.3</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其他要求：</w:t>
            </w:r>
            <w:r>
              <w:br/>
            </w:r>
            <w:r>
              <w:rPr>
                <w:rFonts w:ascii="仿宋_GB2312" w:hAnsi="仿宋_GB2312" w:cs="仿宋_GB2312" w:eastAsia="仿宋_GB2312"/>
              </w:rPr>
              <w:t xml:space="preserve"> 1、交货和提供服务的时间、地点等</w:t>
            </w:r>
            <w:r>
              <w:br/>
            </w:r>
            <w:r>
              <w:rPr>
                <w:rFonts w:ascii="仿宋_GB2312" w:hAnsi="仿宋_GB2312" w:cs="仿宋_GB2312" w:eastAsia="仿宋_GB2312"/>
              </w:rPr>
              <w:t xml:space="preserve"> （1）完工期：合同签订后至2026年7月10日前完成全部项目内容； </w:t>
            </w:r>
            <w:r>
              <w:br/>
            </w:r>
            <w:r>
              <w:rPr>
                <w:rFonts w:ascii="仿宋_GB2312" w:hAnsi="仿宋_GB2312" w:cs="仿宋_GB2312" w:eastAsia="仿宋_GB2312"/>
              </w:rPr>
              <w:t xml:space="preserve"> （2）交付地点：西安市新城区后宰门小学教育集团咸宁小学指定地点；</w:t>
            </w:r>
            <w:r>
              <w:br/>
            </w:r>
            <w:r>
              <w:rPr>
                <w:rFonts w:ascii="仿宋_GB2312" w:hAnsi="仿宋_GB2312" w:cs="仿宋_GB2312" w:eastAsia="仿宋_GB2312"/>
              </w:rPr>
              <w:t xml:space="preserve"> （3）质保期：验收合格后不少于2年，自项目竣工验收合格之日起计算。质保期内，因设备质量原因或施工安装原因引起的任何故障或损坏，成交供应商应无条件免费维修或更换，并承担由此产生的一切费用。</w:t>
            </w:r>
            <w:r>
              <w:br/>
            </w:r>
            <w:r>
              <w:rPr>
                <w:rFonts w:ascii="仿宋_GB2312" w:hAnsi="仿宋_GB2312" w:cs="仿宋_GB2312" w:eastAsia="仿宋_GB2312"/>
              </w:rPr>
              <w:t xml:space="preserve"> （4）工程质量标准：符合国家及行业现行技术规范标准，符合国家及行业验收合格标准；</w:t>
            </w:r>
            <w:r>
              <w:br/>
            </w:r>
            <w:r>
              <w:rPr>
                <w:rFonts w:ascii="仿宋_GB2312" w:hAnsi="仿宋_GB2312" w:cs="仿宋_GB2312" w:eastAsia="仿宋_GB2312"/>
              </w:rPr>
              <w:t xml:space="preserve"> 2、结算方式</w:t>
            </w:r>
            <w:r>
              <w:br/>
            </w:r>
            <w:r>
              <w:rPr>
                <w:rFonts w:ascii="仿宋_GB2312" w:hAnsi="仿宋_GB2312" w:cs="仿宋_GB2312" w:eastAsia="仿宋_GB2312"/>
              </w:rPr>
              <w:t xml:space="preserve"> （1）结算单位：由采购人负责结算，在付款前，必须开具等额发票给采购人；材料价格以甲方的认质认价计入。</w:t>
            </w:r>
            <w:r>
              <w:br/>
            </w:r>
            <w:r>
              <w:rPr>
                <w:rFonts w:ascii="仿宋_GB2312" w:hAnsi="仿宋_GB2312" w:cs="仿宋_GB2312" w:eastAsia="仿宋_GB2312"/>
              </w:rPr>
              <w:t xml:space="preserve"> （2）付款方式：</w:t>
            </w:r>
            <w:r>
              <w:br/>
            </w:r>
            <w:r>
              <w:rPr>
                <w:rFonts w:ascii="仿宋_GB2312" w:hAnsi="仿宋_GB2312" w:cs="仿宋_GB2312" w:eastAsia="仿宋_GB2312"/>
              </w:rPr>
              <w:t xml:space="preserve"> ①合同签订后30日内，支付合同金额的40%；</w:t>
            </w:r>
            <w:r>
              <w:br/>
            </w:r>
            <w:r>
              <w:rPr>
                <w:rFonts w:ascii="仿宋_GB2312" w:hAnsi="仿宋_GB2312" w:cs="仿宋_GB2312" w:eastAsia="仿宋_GB2312"/>
              </w:rPr>
              <w:t xml:space="preserve"> ②箱式变压器及发电机进场后30日内，支付合同金额的40%；</w:t>
            </w:r>
            <w:r>
              <w:br/>
            </w:r>
            <w:r>
              <w:rPr>
                <w:rFonts w:ascii="仿宋_GB2312" w:hAnsi="仿宋_GB2312" w:cs="仿宋_GB2312" w:eastAsia="仿宋_GB2312"/>
              </w:rPr>
              <w:t xml:space="preserve"> ③工程完工并经审计完成、供电局验收合格且正式送电后30日内，支付审定金额的剩余款项。</w:t>
            </w:r>
            <w:r>
              <w:br/>
            </w:r>
            <w:r>
              <w:rPr>
                <w:rFonts w:ascii="仿宋_GB2312" w:hAnsi="仿宋_GB2312" w:cs="仿宋_GB2312" w:eastAsia="仿宋_GB2312"/>
              </w:rPr>
              <w:t xml:space="preserve"> 注：发包人按照财政审批进度及资金下达情况支付工程款。发包人因财政审批、拨款流程导致支付延迟的，不构成违约，无需承担逾期付款的利息及违约责任。承包人不得以此为由停工或延误工期。财政资金到位后，发包人优先支付本项目款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工程质量标准：符合国家及行业现行技术规范标准，符合国家及行业验收合格标准。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1、供应商最终报价以一次报价的分项明细为基础，对所有分项单价/金额执行同比例下浮计算；2、本项目落实的政府采购政策：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 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⑨《关于推动解决政府采购异常低价问题的通知》财库〔2026〕2号；⑩《国务院办公厅关于在政府采购中实施本国产品标准及相关政策的通知》国办发〔2025〕34号； ⑪若享受以上政策优惠的企业，提供相应声明函或品目范围内产品有效认证证书。如有最新颁布的政府采购政策，按最新的文件执行。3、为顺利推进政府采购电子化交易平台应用工作，供应商需要在线提交所有通过电子化交易平台实施的政府采购项目的响应文件，同时，线下提交纸质响应文件正本壹份、副本贰份。纸质响应文件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张娜，联系电话：029-81206622/81206633-835）。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其他说明.docx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具备建设行政主管部门颁发的电力工程施工总承包三级及以上资质或输变电工程专业承包三级及以上资质，同时具备国家电力监管部门颁发的承装（修、试）电力设施许可证三级及以上资质，并具有有效的安全生产许可证。</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拟派项目负责人须具有机电工程专业二级及以上建造师资格和有效的安全生产考核合格证书，在本单位注册且无在建项目。</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不良记录</w:t>
            </w:r>
          </w:p>
        </w:tc>
        <w:tc>
          <w:tcPr>
            <w:tcW w:type="dxa" w:w="3322"/>
          </w:tcPr>
          <w:p>
            <w:pPr>
              <w:pStyle w:val="null3"/>
            </w:pPr>
            <w:r>
              <w:rPr>
                <w:rFonts w:ascii="仿宋_GB2312" w:hAnsi="仿宋_GB2312" w:cs="仿宋_GB2312" w:eastAsia="仿宋_GB2312"/>
              </w:rPr>
              <w:t>供应商及项目经理须在“陕西省住房和城乡建设厅”可查询且无不良记录。</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残疾人福利性单位声明函 中小企业声明函 监狱企业的证明文件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在评标过程中，磋商小组认为供应商报价明显低于其他实质性响应的供应商报价，有可能影响产品质量或者不能诚信履约的，供应商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磋商小组要求的时间内通过项目电子化交易系统进行提交，否则提交的相关证明材料无效。供应商不能证明其磋商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技术服务合同条款及其他商务要求应答表 响应函 其他说明.docx 监狱企业的证明文件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响应文件按招标文件要求的数量、计量单位、报价货币及签字盖章</w:t>
            </w:r>
          </w:p>
        </w:tc>
        <w:tc>
          <w:tcPr>
            <w:tcW w:type="dxa" w:w="1661"/>
          </w:tcPr>
          <w:p>
            <w:pPr>
              <w:pStyle w:val="null3"/>
            </w:pPr>
            <w:r>
              <w:rPr>
                <w:rFonts w:ascii="仿宋_GB2312" w:hAnsi="仿宋_GB2312" w:cs="仿宋_GB2312" w:eastAsia="仿宋_GB2312"/>
              </w:rPr>
              <w:t>响应文件封面 已标价工程量清单 技术服务合同条款及其他商务要求应答表 响应函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响应文件的有效期达到招标文件要求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实质性响应条款</w:t>
            </w:r>
          </w:p>
        </w:tc>
        <w:tc>
          <w:tcPr>
            <w:tcW w:type="dxa" w:w="3322"/>
          </w:tcPr>
          <w:p>
            <w:pPr>
              <w:pStyle w:val="null3"/>
            </w:pPr>
            <w:r>
              <w:rPr>
                <w:rFonts w:ascii="仿宋_GB2312" w:hAnsi="仿宋_GB2312" w:cs="仿宋_GB2312" w:eastAsia="仿宋_GB2312"/>
              </w:rPr>
              <w:t>“★”项为实质性响应条款，未响应或虽响应但不符合磋商文件要求的按无效文件处理</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响应文件封面 已标价工程量清单 残疾人福利性单位声明函 中小企业声明函 技术服务合同条款及其他商务要求应答表 响应函 其他说明.docx 监狱企业的证明文件 供应商资格条件证明文件.docx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供应商针对本项目提供项目理解，包括：①项目特点的理解；②施工总体思路；③重点难点分析。以上方案每缺一项扣2分，每有1处描述有缺陷扣1分，扣完为止。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1详细评审---项目理解.docx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供应商针对本项目的施工方案，包括：①电气设备安装工程；②箱变基础及护栏工程。以上方案每缺一项扣6分，每有1处描述有缺陷扣3分，扣完为止。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2详细评审---施工方案.docx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供应商针对本项目的实施方案，包括：①施工进度计划及保障；②工程质量保障方案；③安全生产管理制度；④安全生产技术组织措施；⑤文明施工及环境保护组织措施；⑥验收方案；以上方案每缺一项扣2分，每有1处描述有缺陷扣1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3详细评审---保障措施.docx</w:t>
            </w:r>
          </w:p>
        </w:tc>
      </w:tr>
      <w:tr>
        <w:tc>
          <w:tcPr>
            <w:tcW w:type="dxa" w:w="831"/>
            <w:vMerge/>
          </w:tcPr>
          <w:p/>
        </w:tc>
        <w:tc>
          <w:tcPr>
            <w:tcW w:type="dxa" w:w="1661"/>
          </w:tcPr>
          <w:p>
            <w:pPr>
              <w:pStyle w:val="null3"/>
            </w:pPr>
            <w:r>
              <w:rPr>
                <w:rFonts w:ascii="仿宋_GB2312" w:hAnsi="仿宋_GB2312" w:cs="仿宋_GB2312" w:eastAsia="仿宋_GB2312"/>
              </w:rPr>
              <w:t>施工配置和人员配备</w:t>
            </w:r>
          </w:p>
        </w:tc>
        <w:tc>
          <w:tcPr>
            <w:tcW w:type="dxa" w:w="2492"/>
          </w:tcPr>
          <w:p>
            <w:pPr>
              <w:pStyle w:val="null3"/>
            </w:pPr>
            <w:r>
              <w:rPr>
                <w:rFonts w:ascii="仿宋_GB2312" w:hAnsi="仿宋_GB2312" w:cs="仿宋_GB2312" w:eastAsia="仿宋_GB2312"/>
              </w:rPr>
              <w:t>供应商针对本项目提供详细的施工配置和人员配备，包括：①施工机械配置；②材料投入计划；③项目组人员配备。以上方案每缺一项扣3分，每有1处描述有缺陷扣1.5分，扣完为止。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4详细评审---施工配置和人员配备.docx</w:t>
            </w:r>
          </w:p>
        </w:tc>
      </w:tr>
      <w:tr>
        <w:tc>
          <w:tcPr>
            <w:tcW w:type="dxa" w:w="831"/>
            <w:vMerge/>
          </w:tcPr>
          <w:p/>
        </w:tc>
        <w:tc>
          <w:tcPr>
            <w:tcW w:type="dxa" w:w="1661"/>
          </w:tcPr>
          <w:p>
            <w:pPr>
              <w:pStyle w:val="null3"/>
            </w:pPr>
            <w:r>
              <w:rPr>
                <w:rFonts w:ascii="仿宋_GB2312" w:hAnsi="仿宋_GB2312" w:cs="仿宋_GB2312" w:eastAsia="仿宋_GB2312"/>
              </w:rPr>
              <w:t>现场统筹方案</w:t>
            </w:r>
          </w:p>
        </w:tc>
        <w:tc>
          <w:tcPr>
            <w:tcW w:type="dxa" w:w="2492"/>
          </w:tcPr>
          <w:p>
            <w:pPr>
              <w:pStyle w:val="null3"/>
            </w:pPr>
            <w:r>
              <w:rPr>
                <w:rFonts w:ascii="仿宋_GB2312" w:hAnsi="仿宋_GB2312" w:cs="仿宋_GB2312" w:eastAsia="仿宋_GB2312"/>
              </w:rPr>
              <w:t>供应商针对本项目提供详细的现场统筹方案，包括：①与校方协调配合方案（考虑学校正常教学秩序，需说明施工时段安排、安全隔离措施等）；②应急预案（停电施工期间的临时供电保障、突发事件应对等）；③绿色施工措施（降尘、降噪、废弃物处理等）。以上方案每缺一项扣3分，每有1处描述有缺陷扣1.5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5详细评审---现场统筹.docx</w:t>
            </w:r>
          </w:p>
        </w:tc>
      </w:tr>
      <w:tr>
        <w:tc>
          <w:tcPr>
            <w:tcW w:type="dxa" w:w="831"/>
            <w:vMerge/>
          </w:tcPr>
          <w:p/>
        </w:tc>
        <w:tc>
          <w:tcPr>
            <w:tcW w:type="dxa" w:w="1661"/>
          </w:tcPr>
          <w:p>
            <w:pPr>
              <w:pStyle w:val="null3"/>
            </w:pPr>
            <w:r>
              <w:rPr>
                <w:rFonts w:ascii="仿宋_GB2312" w:hAnsi="仿宋_GB2312" w:cs="仿宋_GB2312" w:eastAsia="仿宋_GB2312"/>
              </w:rPr>
              <w:t>响应材料</w:t>
            </w:r>
          </w:p>
        </w:tc>
        <w:tc>
          <w:tcPr>
            <w:tcW w:type="dxa" w:w="2492"/>
          </w:tcPr>
          <w:p>
            <w:pPr>
              <w:pStyle w:val="null3"/>
            </w:pPr>
            <w:r>
              <w:rPr>
                <w:rFonts w:ascii="仿宋_GB2312" w:hAnsi="仿宋_GB2312" w:cs="仿宋_GB2312" w:eastAsia="仿宋_GB2312"/>
              </w:rPr>
              <w:t>①供应商针对本项目的材料清单（清单内容包括但不限于材料名称、品牌、规格、材质等），提供清单内容完整丰富，使用材料能保障工程质量的计3分；清单内容基本完整，使用材料基本能保障工程质量的计2分；清单内容有欠缺，使用材料不能完全保障工程质量的计1分； ②根据响应产品为主流产品，质量好、工艺优良、安全性高，货源渠道正规计5分；响应产品质量一般，货源渠道正规的计3分；响应产品质量一般，货源渠道不清晰的计1分； ③如响应材料为节能环保或环境标志产品，提供相关证明材料，每提供1份计0.5分，满分1分。（注：节能环保、环境标志产品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6详细评审---响应材料.docx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提供供应商的2023年1月1日至今（以签订日期为准）同类项目业绩完整合同，每份计1分，满分5分。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7详细评审---业绩.docx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供应商质量保修承诺完整，包括：①售后保障工作服务方案及工作计划；②保修团队人员配备并具备相关资格证书；③有巡查或复查计划及售后质量保障措施；④对工程维修服务响应时限有明确的承诺；以上方案每缺一项扣2分，每有1处描述有缺陷扣1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8详细评审---保修承诺.docx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详见附件：1详细评审---项目理解.docx</w:t>
      </w:r>
    </w:p>
    <w:p>
      <w:pPr>
        <w:pStyle w:val="null3"/>
        <w:ind w:firstLine="960"/>
      </w:pPr>
      <w:r>
        <w:rPr>
          <w:rFonts w:ascii="仿宋_GB2312" w:hAnsi="仿宋_GB2312" w:cs="仿宋_GB2312" w:eastAsia="仿宋_GB2312"/>
        </w:rPr>
        <w:t>详见附件：2详细评审---施工方案.docx</w:t>
      </w:r>
    </w:p>
    <w:p>
      <w:pPr>
        <w:pStyle w:val="null3"/>
        <w:ind w:firstLine="960"/>
      </w:pPr>
      <w:r>
        <w:rPr>
          <w:rFonts w:ascii="仿宋_GB2312" w:hAnsi="仿宋_GB2312" w:cs="仿宋_GB2312" w:eastAsia="仿宋_GB2312"/>
        </w:rPr>
        <w:t>详见附件：3详细评审---保障措施.docx</w:t>
      </w:r>
    </w:p>
    <w:p>
      <w:pPr>
        <w:pStyle w:val="null3"/>
        <w:ind w:firstLine="960"/>
      </w:pPr>
      <w:r>
        <w:rPr>
          <w:rFonts w:ascii="仿宋_GB2312" w:hAnsi="仿宋_GB2312" w:cs="仿宋_GB2312" w:eastAsia="仿宋_GB2312"/>
        </w:rPr>
        <w:t>详见附件：4详细评审---施工配置和人员配备.docx</w:t>
      </w:r>
    </w:p>
    <w:p>
      <w:pPr>
        <w:pStyle w:val="null3"/>
        <w:ind w:firstLine="960"/>
      </w:pPr>
      <w:r>
        <w:rPr>
          <w:rFonts w:ascii="仿宋_GB2312" w:hAnsi="仿宋_GB2312" w:cs="仿宋_GB2312" w:eastAsia="仿宋_GB2312"/>
        </w:rPr>
        <w:t>详见附件：5详细评审---现场统筹.docx</w:t>
      </w:r>
    </w:p>
    <w:p>
      <w:pPr>
        <w:pStyle w:val="null3"/>
        <w:ind w:firstLine="960"/>
      </w:pPr>
      <w:r>
        <w:rPr>
          <w:rFonts w:ascii="仿宋_GB2312" w:hAnsi="仿宋_GB2312" w:cs="仿宋_GB2312" w:eastAsia="仿宋_GB2312"/>
        </w:rPr>
        <w:t>详见附件：6详细评审---响应材料.docx</w:t>
      </w:r>
    </w:p>
    <w:p>
      <w:pPr>
        <w:pStyle w:val="null3"/>
        <w:ind w:firstLine="960"/>
      </w:pPr>
      <w:r>
        <w:rPr>
          <w:rFonts w:ascii="仿宋_GB2312" w:hAnsi="仿宋_GB2312" w:cs="仿宋_GB2312" w:eastAsia="仿宋_GB2312"/>
        </w:rPr>
        <w:t>详见附件：7详细评审---业绩.docx</w:t>
      </w:r>
    </w:p>
    <w:p>
      <w:pPr>
        <w:pStyle w:val="null3"/>
        <w:ind w:firstLine="960"/>
      </w:pPr>
      <w:r>
        <w:rPr>
          <w:rFonts w:ascii="仿宋_GB2312" w:hAnsi="仿宋_GB2312" w:cs="仿宋_GB2312" w:eastAsia="仿宋_GB2312"/>
        </w:rPr>
        <w:t>详见附件：8详细评审---保修承诺.docx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