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579EB">
      <w:pPr>
        <w:spacing w:line="440" w:lineRule="exact"/>
        <w:jc w:val="center"/>
        <w:outlineLvl w:val="0"/>
        <w:rPr>
          <w:b/>
          <w:sz w:val="44"/>
          <w:szCs w:val="44"/>
          <w:highlight w:val="magenta"/>
        </w:rPr>
      </w:pPr>
      <w:r>
        <w:rPr>
          <w:rFonts w:hint="eastAsia"/>
          <w:b/>
          <w:sz w:val="44"/>
          <w:szCs w:val="44"/>
        </w:rPr>
        <w:t>磋商内容及采购需求</w:t>
      </w:r>
    </w:p>
    <w:p w14:paraId="4D8CFAE0">
      <w:pPr>
        <w:spacing w:line="440" w:lineRule="exact"/>
        <w:rPr>
          <w:rFonts w:hint="eastAsia"/>
          <w:b/>
          <w:sz w:val="44"/>
          <w:szCs w:val="44"/>
        </w:rPr>
      </w:pPr>
      <w:bookmarkStart w:id="0" w:name="_GoBack"/>
      <w:bookmarkEnd w:id="0"/>
    </w:p>
    <w:p w14:paraId="61D3732C">
      <w:pPr>
        <w:numPr>
          <w:ilvl w:val="0"/>
          <w:numId w:val="1"/>
        </w:numPr>
        <w:snapToGrid w:val="0"/>
        <w:spacing w:line="360" w:lineRule="auto"/>
        <w:ind w:firstLine="241" w:firstLineChars="100"/>
        <w:rPr>
          <w:rFonts w:hint="eastAsia" w:ascii="宋体" w:hAnsi="宋体" w:cs="宋体"/>
          <w:b/>
          <w:sz w:val="24"/>
          <w:szCs w:val="24"/>
        </w:rPr>
      </w:pPr>
      <w:r>
        <w:rPr>
          <w:rFonts w:hint="eastAsia" w:ascii="宋体" w:hAnsi="宋体" w:cs="宋体"/>
          <w:b/>
          <w:sz w:val="24"/>
          <w:szCs w:val="24"/>
        </w:rPr>
        <w:t>磋商内容</w:t>
      </w:r>
      <w:r>
        <w:rPr>
          <w:rFonts w:hint="eastAsia" w:ascii="宋体" w:hAnsi="宋体" w:cs="宋体"/>
          <w:b/>
          <w:sz w:val="24"/>
          <w:szCs w:val="24"/>
          <w:lang w:val="en-US" w:eastAsia="zh-CN"/>
        </w:rPr>
        <w:t>一览表</w:t>
      </w:r>
      <w:r>
        <w:rPr>
          <w:rFonts w:hint="eastAsia" w:ascii="宋体" w:hAnsi="宋体" w:cs="宋体"/>
          <w:b/>
          <w:sz w:val="24"/>
          <w:szCs w:val="24"/>
        </w:rPr>
        <w:t>：</w:t>
      </w:r>
    </w:p>
    <w:tbl>
      <w:tblPr>
        <w:tblStyle w:val="3"/>
        <w:tblW w:w="4528"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81"/>
        <w:gridCol w:w="1005"/>
        <w:gridCol w:w="2189"/>
        <w:gridCol w:w="3765"/>
      </w:tblGrid>
      <w:tr w14:paraId="5C26EE8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blHeader/>
          <w:jc w:val="center"/>
        </w:trPr>
        <w:tc>
          <w:tcPr>
            <w:tcW w:w="7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590576">
            <w:pPr>
              <w:spacing w:line="360" w:lineRule="auto"/>
              <w:rPr>
                <w:rFonts w:hint="eastAsia" w:ascii="宋体" w:hAnsi="宋体" w:cs="宋体"/>
                <w:kern w:val="0"/>
                <w:sz w:val="24"/>
                <w:szCs w:val="24"/>
              </w:rPr>
            </w:pPr>
            <w:r>
              <w:rPr>
                <w:rFonts w:hint="eastAsia" w:ascii="宋体" w:hAnsi="宋体" w:cs="宋体"/>
                <w:kern w:val="0"/>
                <w:sz w:val="24"/>
                <w:szCs w:val="24"/>
                <w:lang w:val="en-US" w:eastAsia="zh-CN"/>
              </w:rPr>
              <w:t>包号</w:t>
            </w:r>
          </w:p>
        </w:tc>
        <w:tc>
          <w:tcPr>
            <w:tcW w:w="10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DC6A3B">
            <w:pPr>
              <w:spacing w:line="360" w:lineRule="auto"/>
              <w:rPr>
                <w:rFonts w:hint="eastAsia" w:ascii="宋体" w:hAnsi="宋体" w:eastAsia="宋体" w:cs="宋体"/>
                <w:kern w:val="0"/>
                <w:sz w:val="24"/>
                <w:szCs w:val="24"/>
                <w:lang w:eastAsia="zh-CN"/>
              </w:rPr>
            </w:pPr>
            <w:r>
              <w:rPr>
                <w:rFonts w:hint="eastAsia" w:ascii="宋体" w:hAnsi="宋体" w:cs="宋体"/>
                <w:kern w:val="0"/>
                <w:sz w:val="24"/>
                <w:szCs w:val="24"/>
                <w:lang w:val="en-US" w:eastAsia="zh-CN"/>
              </w:rPr>
              <w:t>品目号</w:t>
            </w:r>
          </w:p>
        </w:tc>
        <w:tc>
          <w:tcPr>
            <w:tcW w:w="21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DCE94F">
            <w:pPr>
              <w:spacing w:line="360" w:lineRule="auto"/>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服务名称</w:t>
            </w:r>
          </w:p>
        </w:tc>
        <w:tc>
          <w:tcPr>
            <w:tcW w:w="37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FB20CB0">
            <w:pPr>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服务期限</w:t>
            </w:r>
          </w:p>
        </w:tc>
      </w:tr>
      <w:tr w14:paraId="6EF235E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20" w:hRule="atLeast"/>
          <w:jc w:val="center"/>
        </w:trPr>
        <w:tc>
          <w:tcPr>
            <w:tcW w:w="7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EC4EDB">
            <w:pPr>
              <w:spacing w:line="360" w:lineRule="auto"/>
              <w:ind w:firstLine="240" w:firstLineChars="100"/>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w:t>
            </w:r>
          </w:p>
        </w:tc>
        <w:tc>
          <w:tcPr>
            <w:tcW w:w="10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108E9A">
            <w:pPr>
              <w:spacing w:line="360" w:lineRule="auto"/>
              <w:rPr>
                <w:rFonts w:hint="eastAsia" w:ascii="宋体" w:hAnsi="宋体" w:cs="宋体"/>
                <w:kern w:val="0"/>
                <w:sz w:val="24"/>
                <w:szCs w:val="24"/>
              </w:rPr>
            </w:pPr>
            <w:r>
              <w:rPr>
                <w:rFonts w:hint="eastAsia" w:ascii="宋体" w:hAnsi="宋体" w:cs="宋体"/>
                <w:kern w:val="0"/>
                <w:sz w:val="24"/>
                <w:szCs w:val="24"/>
              </w:rPr>
              <w:t>1-1</w:t>
            </w:r>
          </w:p>
        </w:tc>
        <w:tc>
          <w:tcPr>
            <w:tcW w:w="21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00A1CE">
            <w:pPr>
              <w:spacing w:line="360" w:lineRule="auto"/>
              <w:rPr>
                <w:rFonts w:hint="eastAsia" w:ascii="宋体" w:hAnsi="宋体" w:eastAsia="宋体" w:cs="宋体"/>
                <w:kern w:val="0"/>
                <w:sz w:val="24"/>
                <w:szCs w:val="24"/>
                <w:lang w:eastAsia="zh-CN"/>
              </w:rPr>
            </w:pPr>
            <w:r>
              <w:rPr>
                <w:rFonts w:hint="eastAsia" w:ascii="宋体" w:hAnsi="宋体" w:cs="宋体"/>
                <w:kern w:val="0"/>
                <w:sz w:val="24"/>
                <w:szCs w:val="24"/>
                <w:lang w:eastAsia="zh-CN"/>
              </w:rPr>
              <w:t>高新区“十五五”规划</w:t>
            </w:r>
          </w:p>
        </w:tc>
        <w:tc>
          <w:tcPr>
            <w:tcW w:w="37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4D4610">
            <w:pPr>
              <w:spacing w:line="360" w:lineRule="auto"/>
              <w:rPr>
                <w:rFonts w:hint="eastAsia" w:ascii="宋体" w:hAnsi="宋体" w:cs="宋体"/>
                <w:kern w:val="0"/>
                <w:sz w:val="24"/>
                <w:szCs w:val="24"/>
              </w:rPr>
            </w:pPr>
            <w:r>
              <w:rPr>
                <w:rFonts w:hint="eastAsia" w:ascii="宋体" w:hAnsi="宋体" w:cs="宋体"/>
                <w:kern w:val="0"/>
                <w:sz w:val="24"/>
                <w:szCs w:val="24"/>
                <w:lang w:eastAsia="zh-CN"/>
              </w:rPr>
              <w:t>自签订合同之日起90个日历日</w:t>
            </w:r>
            <w:r>
              <w:rPr>
                <w:rFonts w:hint="eastAsia" w:ascii="宋体" w:hAnsi="宋体" w:cs="宋体"/>
                <w:kern w:val="0"/>
                <w:sz w:val="24"/>
                <w:szCs w:val="24"/>
              </w:rPr>
              <w:t>。</w:t>
            </w:r>
          </w:p>
        </w:tc>
      </w:tr>
    </w:tbl>
    <w:p w14:paraId="4F979827">
      <w:pPr>
        <w:spacing w:line="360" w:lineRule="auto"/>
        <w:ind w:firstLine="241" w:firstLineChars="100"/>
        <w:rPr>
          <w:rFonts w:hint="eastAsia" w:ascii="宋体" w:hAnsi="宋体" w:eastAsia="宋体" w:cs="宋体"/>
          <w:b/>
          <w:sz w:val="24"/>
          <w:szCs w:val="24"/>
        </w:rPr>
      </w:pPr>
      <w:r>
        <w:rPr>
          <w:rFonts w:hint="eastAsia" w:ascii="宋体" w:hAnsi="宋体" w:eastAsia="宋体" w:cs="宋体"/>
          <w:b/>
          <w:sz w:val="24"/>
          <w:szCs w:val="24"/>
        </w:rPr>
        <w:t>二、服务要求：</w:t>
      </w:r>
    </w:p>
    <w:p w14:paraId="30ED9D57">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*2.1必须满足的服务要求： </w:t>
      </w:r>
    </w:p>
    <w:p w14:paraId="24D99CF9">
      <w:pPr>
        <w:spacing w:line="360" w:lineRule="auto"/>
        <w:ind w:firstLine="240" w:firstLineChars="1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2.1.1回顾“十四五”期间主要成效及问题短板，明确“十五五”期间总体发展定位目标，构建现代化产业体系及发展格局，确定创新发展、区域协调、安全环保、集约绿色、基设提效、服务保障等重点领域与主要任务，谋划重点项目库，并提出规划实施的保障措施，最终形成高新区“十五五”规划成果。</w:t>
      </w:r>
    </w:p>
    <w:p w14:paraId="5283789B">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2.1.2</w:t>
      </w:r>
      <w:r>
        <w:rPr>
          <w:rFonts w:hint="eastAsia" w:ascii="宋体" w:hAnsi="宋体" w:eastAsia="宋体" w:cs="宋体"/>
          <w:sz w:val="24"/>
          <w:szCs w:val="24"/>
          <w:highlight w:val="none"/>
        </w:rPr>
        <w:t>编制依据</w:t>
      </w:r>
    </w:p>
    <w:p w14:paraId="0C1E9E8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1.《中华人民共和国城乡规划法》（2019年修正）；</w:t>
      </w:r>
    </w:p>
    <w:p w14:paraId="3E2E1C9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2.《中华人民共和国土地管理法》（2019年修正）；</w:t>
      </w:r>
    </w:p>
    <w:p w14:paraId="58A8351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3.《中华人民共和国环境保护法》（2014年修订）；</w:t>
      </w:r>
    </w:p>
    <w:p w14:paraId="738C3A7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4.《中华人民共和国环境影响评价法》（2018年修正）；</w:t>
      </w:r>
    </w:p>
    <w:p w14:paraId="664547F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5.《中华人民共和国矿产资源法》（2024年修订）；</w:t>
      </w:r>
    </w:p>
    <w:p w14:paraId="659E9F9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6.《中华人民共和国土地管理法实施条例》（2021年）；</w:t>
      </w:r>
    </w:p>
    <w:p w14:paraId="693BC1E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7.《中华人民共和国基本农田保护条例》（2021年修订）；</w:t>
      </w:r>
    </w:p>
    <w:p w14:paraId="45A00F0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8.《陕西省高新技术产业发展条例》（2010年）。</w:t>
      </w:r>
    </w:p>
    <w:p w14:paraId="7A3FEC7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9.《国务院办公厅关于促进开发区改革和创新发展的若干意见》（国办发〔2017〕7 号）；</w:t>
      </w:r>
    </w:p>
    <w:p w14:paraId="64F0477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10.《国务院关于促进国家高新技术产业开发区高质量发展的若干意见》（国发〔2020〕7 号）；</w:t>
      </w:r>
    </w:p>
    <w:p w14:paraId="22A98E4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11.《陕西省人民政府办公厅关于促进全省开发区改革和创新发展的实施意见》（陕政办发〔2017〕110号）；</w:t>
      </w:r>
    </w:p>
    <w:p w14:paraId="0F6EA6D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12.《陕西省人民政府办公厅关于印发省级高新技术产业开发区认定管理办法的通知》（陕政办发〔2019〕40号）。</w:t>
      </w:r>
    </w:p>
    <w:p w14:paraId="713A9E1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13.《榆林市国民经济和社会发展第十五个五年规划纲要》；</w:t>
      </w:r>
    </w:p>
    <w:p w14:paraId="1048687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14.《神木市国民经济和社会发展第十五个五年规划纲要》；</w:t>
      </w:r>
    </w:p>
    <w:p w14:paraId="1E45511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15.《榆林市国土空间规划（2021-2035年）》；</w:t>
      </w:r>
    </w:p>
    <w:p w14:paraId="3DE9318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16.《神木市国土空间规划（2021-2035年）》；</w:t>
      </w:r>
    </w:p>
    <w:p w14:paraId="1FD9770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17.《陕西神木经济技术开发区总体发展规划（2024-2035年）》。</w:t>
      </w:r>
    </w:p>
    <w:p w14:paraId="3BEC0A3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2.1.3编制内容</w:t>
      </w:r>
    </w:p>
    <w:p w14:paraId="112ACC1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全面梳理总结高新区“十四五”时期在实体经济经济产业提质升级、科技创新体系建设、营商环境优化、精细化管理服务等核心层面取得的阶段性发展成效，立足园区发展实际，深度剖析产业能级不足、创新能力薄弱、服务配套不完善等对应领域现存的发展痛点与短板弱项。结合国家、省市宏观发展战略导向，明确高新区“十五五”时期总体发展思路、发展定位与目标，聚力构建高端引领、协同融合、安全可控的现代化产业体系。结合园区土地资源、产业布局与区位优势，落地科学合理、联动高效的空间发展格局。围绕创新赋能发展、区域协同联动、产业安全与生态环保、土地资源集约绿色利用、基础设施提质增效、政务民生服务保障六大重点方向，细化细分领域建设内容与专项工作任务。同步谋划贴合发展需求、可落地可考核的重点建设项目库，最后从组织领导、政策资金、考核督导、人才支撑等方面制定全方位规划实施保障措施，系统编制形成完整、科学、可落地的高新区“十五五”总体规划成果。</w:t>
      </w:r>
    </w:p>
    <w:p w14:paraId="31CA61C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2.1.4成果要求</w:t>
      </w:r>
    </w:p>
    <w:p w14:paraId="0FE293F8">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规划成果所有内容和设计深度应满足国家、省、市相关规范、规定。规划成果包括但不限于：规划文本、附表及其他材料。提交纸质成果 10套、电子版2套，具体提交成果规格以国家及地方出台的相关标准、指南为准。</w:t>
      </w:r>
    </w:p>
    <w:p w14:paraId="5BFA253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51B416"/>
    <w:multiLevelType w:val="singleLevel"/>
    <w:tmpl w:val="6951B41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87E77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2026-06-18T04:04:37Z</dcterms:created>
  <dc:creator>Administrator</dc:creator>
  <cp:lastModifiedBy>心静如水</cp:lastModifiedBy>
  <dcterms:modified xsi:type="dcterms:W3CDTF">2026-06-18T04:04:43Z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eyJoZGlkIjoiNzRmOGQ5MTVkMzc5MzJlNGZjYjRiY2QyZDk2ZTI1NDgiLCJ1c2VySWQiOiIyMzkzNjg4MzcifQ==</vt:lpwstr>
  </property>
  <property fmtid="{D5CDD505-2E9C-101B-9397-08002B2CF9AE}" pid="4" name="ICV">
    <vt:lpwstr>C66048E85336421BAE7F979E9C6113F9_12</vt:lpwstr>
  </property>
</Properties>
</file>