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版本号：DX2026-152.1B120260629001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全院墙面地面维修改造工程(二次)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DX2026-152.1B1</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全院墙面地面维修改造工程(二次)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DX2026-152.1B1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全院墙面地面维修改造工程(二次)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西安市第五医院全院墙面地面维修改造工程。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采购包1（全院墙面地面维修改造工程）：属于专门面向小微企业采购。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3、税收缴纳证明：提供已缴纳的2025年6月1日以来至少三个月的纳税证明或完税证明，纳税证明或完税证明上应有代收机构或税务机关的公章或业务专用章。依法免税的供应商应提供相关文件证明。4、社保缴纳证明：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4、利益关系承诺函：本项目不接受由西安市第五医院医院职工及其亲属投资举办的企业参加投标(提供承诺函)。</w:t>
      </w:r>
    </w:p>
    <w:p>
      <w:pPr>
        <w:pStyle w:val="null3"/>
      </w:pPr>
      <w:r>
        <w:rPr>
          <w:rFonts w:ascii="仿宋_GB2312" w:hAnsi="仿宋_GB2312" w:cs="仿宋_GB2312" w:eastAsia="仿宋_GB2312"/>
        </w:rPr>
        <w:t>5、特定资格：1、供应商须具有建设行政主管部门核发的建筑施工总承包三级(含三级)及以上资质或建筑装饰装修工程专业承包二级（含二级）及以上资质，具有有效的安全生产许可证；2、拟派项目经理须具备建筑工程专业二级(含二级)及以上注册建造师资格，具备有效的安全生产考核合格证，在本单位注册，且无在建工程（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聂肖、张亚娜、刘艳娇、王雪艳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招标代理服务收费管理暂行办法》（计价格[2002]1980号）、《国家发展改革委办公厅关于招标代理服务收费有关问题的通知》（发改价格[2003]857号）、《国家发展改革委关于进一步放开建设项目专业服务价格的通知》下浮20%收取；成交金额50万（不含）以下的项目不下浮。</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踏勘时间：2026-07-07 09:00:00</w:t>
            </w:r>
          </w:p>
          <w:p>
            <w:pPr>
              <w:pStyle w:val="null3"/>
              <w:ind w:firstLine="975"/>
            </w:pPr>
            <w:r>
              <w:rPr>
                <w:rFonts w:ascii="仿宋_GB2312" w:hAnsi="仿宋_GB2312" w:cs="仿宋_GB2312" w:eastAsia="仿宋_GB2312"/>
              </w:rPr>
              <w:t>踏勘地点：西安市第五医院行政楼</w:t>
            </w:r>
          </w:p>
          <w:p>
            <w:pPr>
              <w:pStyle w:val="null3"/>
              <w:ind w:firstLine="975"/>
            </w:pPr>
            <w:r>
              <w:rPr>
                <w:rFonts w:ascii="仿宋_GB2312" w:hAnsi="仿宋_GB2312" w:cs="仿宋_GB2312" w:eastAsia="仿宋_GB2312"/>
              </w:rPr>
              <w:t>联系人：赵老师、刘工</w:t>
            </w:r>
          </w:p>
          <w:p>
            <w:pPr>
              <w:pStyle w:val="null3"/>
              <w:ind w:firstLine="975"/>
            </w:pPr>
            <w:r>
              <w:rPr>
                <w:rFonts w:ascii="仿宋_GB2312" w:hAnsi="仿宋_GB2312" w:cs="仿宋_GB2312" w:eastAsia="仿宋_GB2312"/>
              </w:rPr>
              <w:t>联系电话号码：029-88621331、18291412166</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西安市第五医院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联系人：张亚娜、聂肖、刘艳娇</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全院墙面地面维修改造工程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标的名称：全院墙面地面维修改造工程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工程内容：根据工程量清单对医院墙面、地面、顶面、门窗进行维修改造。</w:t>
            </w:r>
          </w:p>
          <w:p>
            <w:pPr>
              <w:pStyle w:val="null3"/>
              <w:jc w:val="both"/>
            </w:pPr>
            <w:r>
              <w:rPr>
                <w:rFonts w:ascii="仿宋_GB2312" w:hAnsi="仿宋_GB2312" w:cs="仿宋_GB2312" w:eastAsia="仿宋_GB2312"/>
                <w:sz w:val="18"/>
                <w:b/>
              </w:rPr>
              <w:t>二、工程内容和施工地点、计划工期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一</w:t>
            </w:r>
            <w:r>
              <w:rPr>
                <w:rFonts w:ascii="仿宋_GB2312" w:hAnsi="仿宋_GB2312" w:cs="仿宋_GB2312" w:eastAsia="仿宋_GB2312"/>
                <w:sz w:val="18"/>
              </w:rPr>
              <w:t>）</w:t>
            </w:r>
            <w:r>
              <w:rPr>
                <w:rFonts w:ascii="仿宋_GB2312" w:hAnsi="仿宋_GB2312" w:cs="仿宋_GB2312" w:eastAsia="仿宋_GB2312"/>
                <w:sz w:val="18"/>
              </w:rPr>
              <w:t>工程内容：</w:t>
            </w:r>
            <w:r>
              <w:rPr>
                <w:rFonts w:ascii="仿宋_GB2312" w:hAnsi="仿宋_GB2312" w:cs="仿宋_GB2312" w:eastAsia="仿宋_GB2312"/>
                <w:sz w:val="18"/>
              </w:rPr>
              <w:t>根据工程量清单对医院墙面、地面、顶面、门窗等进行维修更换。</w:t>
            </w:r>
          </w:p>
          <w:p>
            <w:pPr>
              <w:pStyle w:val="null3"/>
            </w:pPr>
            <w:r>
              <w:rPr>
                <w:rFonts w:ascii="仿宋_GB2312" w:hAnsi="仿宋_GB2312" w:cs="仿宋_GB2312" w:eastAsia="仿宋_GB2312"/>
                <w:sz w:val="18"/>
              </w:rPr>
              <w:t>（</w:t>
            </w:r>
            <w:r>
              <w:rPr>
                <w:rFonts w:ascii="仿宋_GB2312" w:hAnsi="仿宋_GB2312" w:cs="仿宋_GB2312" w:eastAsia="仿宋_GB2312"/>
                <w:sz w:val="18"/>
              </w:rPr>
              <w:t>二</w:t>
            </w:r>
            <w:r>
              <w:rPr>
                <w:rFonts w:ascii="仿宋_GB2312" w:hAnsi="仿宋_GB2312" w:cs="仿宋_GB2312" w:eastAsia="仿宋_GB2312"/>
                <w:sz w:val="18"/>
              </w:rPr>
              <w:t>）</w:t>
            </w:r>
            <w:r>
              <w:rPr>
                <w:rFonts w:ascii="仿宋_GB2312" w:hAnsi="仿宋_GB2312" w:cs="仿宋_GB2312" w:eastAsia="仿宋_GB2312"/>
                <w:sz w:val="18"/>
              </w:rPr>
              <w:t>工程地点：西安市第五医院。</w:t>
            </w:r>
          </w:p>
          <w:p>
            <w:pPr>
              <w:pStyle w:val="null3"/>
            </w:pPr>
            <w:r>
              <w:rPr>
                <w:rFonts w:ascii="仿宋_GB2312" w:hAnsi="仿宋_GB2312" w:cs="仿宋_GB2312" w:eastAsia="仿宋_GB2312"/>
                <w:sz w:val="18"/>
              </w:rPr>
              <w:t>（</w:t>
            </w:r>
            <w:r>
              <w:rPr>
                <w:rFonts w:ascii="仿宋_GB2312" w:hAnsi="仿宋_GB2312" w:cs="仿宋_GB2312" w:eastAsia="仿宋_GB2312"/>
                <w:sz w:val="18"/>
              </w:rPr>
              <w:t>三</w:t>
            </w:r>
            <w:r>
              <w:rPr>
                <w:rFonts w:ascii="仿宋_GB2312" w:hAnsi="仿宋_GB2312" w:cs="仿宋_GB2312" w:eastAsia="仿宋_GB2312"/>
                <w:sz w:val="18"/>
              </w:rPr>
              <w:t>）</w:t>
            </w:r>
            <w:r>
              <w:rPr>
                <w:rFonts w:ascii="仿宋_GB2312" w:hAnsi="仿宋_GB2312" w:cs="仿宋_GB2312" w:eastAsia="仿宋_GB2312"/>
                <w:sz w:val="18"/>
              </w:rPr>
              <w:t>计划工期：</w:t>
            </w:r>
          </w:p>
          <w:tbl>
            <w:tblPr>
              <w:tblBorders>
                <w:top w:val="none" w:color="000000" w:sz="4"/>
                <w:left w:val="none" w:color="000000" w:sz="4"/>
                <w:bottom w:val="none" w:color="000000" w:sz="4"/>
                <w:right w:val="none" w:color="000000" w:sz="4"/>
                <w:insideH w:val="none"/>
                <w:insideV w:val="none"/>
              </w:tblBorders>
            </w:tblPr>
            <w:tblGrid>
              <w:gridCol w:w="341"/>
              <w:gridCol w:w="971"/>
              <w:gridCol w:w="598"/>
              <w:gridCol w:w="644"/>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工作内容</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计划工期（天）</w:t>
                  </w:r>
                </w:p>
              </w:tc>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注意事项</w:t>
                  </w:r>
                  <w:r>
                    <w:rPr>
                      <w:rFonts w:ascii="仿宋_GB2312" w:hAnsi="仿宋_GB2312" w:cs="仿宋_GB2312" w:eastAsia="仿宋_GB2312"/>
                      <w:sz w:val="18"/>
                      <w:b/>
                    </w:rPr>
                    <w:t>（</w:t>
                  </w:r>
                  <w:r>
                    <w:rPr>
                      <w:rFonts w:ascii="仿宋_GB2312" w:hAnsi="仿宋_GB2312" w:cs="仿宋_GB2312" w:eastAsia="仿宋_GB2312"/>
                      <w:sz w:val="18"/>
                      <w:b/>
                    </w:rPr>
                    <w:t>仅对工期约束起作用）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地砖、瓷片、微晶石、过门石</w:t>
                  </w:r>
                  <w:r>
                    <w:rPr>
                      <w:rFonts w:ascii="仿宋_GB2312" w:hAnsi="仿宋_GB2312" w:cs="仿宋_GB2312" w:eastAsia="仿宋_GB2312"/>
                      <w:sz w:val="18"/>
                    </w:rPr>
                    <w:t>、</w:t>
                  </w:r>
                  <w:r>
                    <w:rPr>
                      <w:rFonts w:ascii="仿宋_GB2312" w:hAnsi="仿宋_GB2312" w:cs="仿宋_GB2312" w:eastAsia="仿宋_GB2312"/>
                      <w:sz w:val="18"/>
                    </w:rPr>
                    <w:t>踢脚线、自流平</w:t>
                  </w:r>
                  <w:r>
                    <w:rPr>
                      <w:rFonts w:ascii="仿宋_GB2312" w:hAnsi="仿宋_GB2312" w:cs="仿宋_GB2312" w:eastAsia="仿宋_GB2312"/>
                      <w:sz w:val="18"/>
                    </w:rPr>
                    <w:t>拆</w:t>
                  </w:r>
                  <w:r>
                    <w:rPr>
                      <w:rFonts w:ascii="仿宋_GB2312" w:hAnsi="仿宋_GB2312" w:cs="仿宋_GB2312" w:eastAsia="仿宋_GB2312"/>
                      <w:sz w:val="18"/>
                    </w:rPr>
                    <w:t>除</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墙面、轻质隔墙、铝塑板墙面铲除、基层处理</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门窗拆除</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铝扣板龙骨、石膏板龙骨及饰面拆除</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拆除卫生间台面</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混凝土路面拆除</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原有门窗拆除</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石膏板、</w:t>
                  </w:r>
                  <w:r>
                    <w:rPr>
                      <w:rFonts w:ascii="仿宋_GB2312" w:hAnsi="仿宋_GB2312" w:cs="仿宋_GB2312" w:eastAsia="仿宋_GB2312"/>
                      <w:sz w:val="18"/>
                    </w:rPr>
                    <w:t>铝扣板</w:t>
                  </w:r>
                  <w:r>
                    <w:rPr>
                      <w:rFonts w:ascii="仿宋_GB2312" w:hAnsi="仿宋_GB2312" w:cs="仿宋_GB2312" w:eastAsia="仿宋_GB2312"/>
                      <w:sz w:val="18"/>
                    </w:rPr>
                    <w:t>吊顶</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墙面涂料、瓷砖、轻质隔墙、砖墙、墙面防火板铺贴新做</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玻化砖、防滑地砖、瓷片、微晶石、过门石、踢脚线铺设</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塑胶</w:t>
                  </w:r>
                  <w:r>
                    <w:rPr>
                      <w:rFonts w:ascii="仿宋_GB2312" w:hAnsi="仿宋_GB2312" w:cs="仿宋_GB2312" w:eastAsia="仿宋_GB2312"/>
                      <w:sz w:val="18"/>
                    </w:rPr>
                    <w:t>、</w:t>
                  </w:r>
                  <w:r>
                    <w:rPr>
                      <w:rFonts w:ascii="仿宋_GB2312" w:hAnsi="仿宋_GB2312" w:cs="仿宋_GB2312" w:eastAsia="仿宋_GB2312"/>
                      <w:sz w:val="18"/>
                    </w:rPr>
                    <w:t>竹胶板地板</w:t>
                  </w:r>
                  <w:r>
                    <w:rPr>
                      <w:rFonts w:ascii="仿宋_GB2312" w:hAnsi="仿宋_GB2312" w:cs="仿宋_GB2312" w:eastAsia="仿宋_GB2312"/>
                      <w:sz w:val="18"/>
                    </w:rPr>
                    <w:t>铺设</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门窗框架安装、翻新、固定</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门窗扇及玻璃安装</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新装卫生间台面</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地基开挖</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水泥混凝土道路面层</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新装不锈钢玻璃隔断</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10天</w:t>
                  </w:r>
                </w:p>
              </w:tc>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不大于</w:t>
                  </w:r>
                  <w:r>
                    <w:rPr>
                      <w:rFonts w:ascii="仿宋_GB2312" w:hAnsi="仿宋_GB2312" w:cs="仿宋_GB2312" w:eastAsia="仿宋_GB2312"/>
                      <w:sz w:val="18"/>
                    </w:rPr>
                    <w:t>10平方</w:t>
                  </w:r>
                </w:p>
              </w:tc>
            </w:tr>
          </w:tbl>
          <w:p>
            <w:pPr>
              <w:pStyle w:val="null3"/>
            </w:pPr>
            <w:r>
              <w:rPr>
                <w:rFonts w:ascii="仿宋_GB2312" w:hAnsi="仿宋_GB2312" w:cs="仿宋_GB2312" w:eastAsia="仿宋_GB2312"/>
                <w:sz w:val="18"/>
              </w:rPr>
              <w:t>具体</w:t>
            </w:r>
            <w:r>
              <w:rPr>
                <w:rFonts w:ascii="仿宋_GB2312" w:hAnsi="仿宋_GB2312" w:cs="仿宋_GB2312" w:eastAsia="仿宋_GB2312"/>
                <w:sz w:val="18"/>
              </w:rPr>
              <w:t>以</w:t>
            </w:r>
            <w:r>
              <w:rPr>
                <w:rFonts w:ascii="仿宋_GB2312" w:hAnsi="仿宋_GB2312" w:cs="仿宋_GB2312" w:eastAsia="仿宋_GB2312"/>
                <w:sz w:val="18"/>
              </w:rPr>
              <w:t>甲方</w:t>
            </w:r>
            <w:r>
              <w:rPr>
                <w:rFonts w:ascii="仿宋_GB2312" w:hAnsi="仿宋_GB2312" w:cs="仿宋_GB2312" w:eastAsia="仿宋_GB2312"/>
                <w:sz w:val="18"/>
              </w:rPr>
              <w:t>开工报告为准。</w:t>
            </w:r>
          </w:p>
          <w:p>
            <w:pPr>
              <w:pStyle w:val="null3"/>
              <w:jc w:val="both"/>
            </w:pPr>
            <w:r>
              <w:rPr>
                <w:rFonts w:ascii="仿宋_GB2312" w:hAnsi="仿宋_GB2312" w:cs="仿宋_GB2312" w:eastAsia="仿宋_GB2312"/>
                <w:sz w:val="18"/>
                <w:b/>
              </w:rPr>
              <w:t>三、工程量清单和计价依据</w:t>
            </w:r>
          </w:p>
          <w:p>
            <w:pPr>
              <w:pStyle w:val="null3"/>
              <w:jc w:val="both"/>
            </w:pPr>
            <w:r>
              <w:rPr>
                <w:rFonts w:ascii="仿宋_GB2312" w:hAnsi="仿宋_GB2312" w:cs="仿宋_GB2312" w:eastAsia="仿宋_GB2312"/>
                <w:sz w:val="18"/>
              </w:rPr>
              <w:t>1.见工程量清单</w:t>
            </w:r>
            <w:r>
              <w:rPr>
                <w:rFonts w:ascii="仿宋_GB2312" w:hAnsi="仿宋_GB2312" w:cs="仿宋_GB2312" w:eastAsia="仿宋_GB2312"/>
                <w:sz w:val="18"/>
                <w:b/>
              </w:rPr>
              <w:t>（详见附件）</w:t>
            </w:r>
            <w:r>
              <w:rPr>
                <w:rFonts w:ascii="仿宋_GB2312" w:hAnsi="仿宋_GB2312" w:cs="仿宋_GB2312" w:eastAsia="仿宋_GB2312"/>
                <w:sz w:val="18"/>
                <w:b/>
              </w:rPr>
              <w:t>。</w:t>
            </w:r>
          </w:p>
          <w:p>
            <w:pPr>
              <w:pStyle w:val="null3"/>
              <w:jc w:val="both"/>
            </w:pPr>
            <w:r>
              <w:rPr>
                <w:rFonts w:ascii="仿宋_GB2312" w:hAnsi="仿宋_GB2312" w:cs="仿宋_GB2312" w:eastAsia="仿宋_GB2312"/>
                <w:sz w:val="18"/>
              </w:rPr>
              <w:t>2.最高限价</w:t>
            </w:r>
            <w:r>
              <w:rPr>
                <w:rFonts w:ascii="仿宋_GB2312" w:hAnsi="仿宋_GB2312" w:cs="仿宋_GB2312" w:eastAsia="仿宋_GB2312"/>
                <w:sz w:val="18"/>
              </w:rPr>
              <w:t>400000.00</w:t>
            </w:r>
            <w:r>
              <w:rPr>
                <w:rFonts w:ascii="仿宋_GB2312" w:hAnsi="仿宋_GB2312" w:cs="仿宋_GB2312" w:eastAsia="仿宋_GB2312"/>
                <w:sz w:val="18"/>
              </w:rPr>
              <w:t>元（</w:t>
            </w:r>
            <w:r>
              <w:rPr>
                <w:rFonts w:ascii="仿宋_GB2312" w:hAnsi="仿宋_GB2312" w:cs="仿宋_GB2312" w:eastAsia="仿宋_GB2312"/>
                <w:sz w:val="18"/>
              </w:rPr>
              <w:t>含</w:t>
            </w:r>
            <w:r>
              <w:rPr>
                <w:rFonts w:ascii="仿宋_GB2312" w:hAnsi="仿宋_GB2312" w:cs="仿宋_GB2312" w:eastAsia="仿宋_GB2312"/>
                <w:sz w:val="18"/>
              </w:rPr>
              <w:t>设备及材料供应费、运杂费、安装费、人工费、检测费、调试费、验收、税费</w:t>
            </w:r>
            <w:r>
              <w:rPr>
                <w:rFonts w:ascii="仿宋_GB2312" w:hAnsi="仿宋_GB2312" w:cs="仿宋_GB2312" w:eastAsia="仿宋_GB2312"/>
                <w:sz w:val="18"/>
              </w:rPr>
              <w:t>、</w:t>
            </w:r>
            <w:r>
              <w:rPr>
                <w:rFonts w:ascii="仿宋_GB2312" w:hAnsi="仿宋_GB2312" w:cs="仿宋_GB2312" w:eastAsia="仿宋_GB2312"/>
                <w:sz w:val="18"/>
              </w:rPr>
              <w:t>拆除、垃圾清运、劳保统筹等费用）</w:t>
            </w:r>
          </w:p>
          <w:p>
            <w:pPr>
              <w:pStyle w:val="null3"/>
              <w:jc w:val="both"/>
            </w:pPr>
            <w:r>
              <w:rPr>
                <w:rFonts w:ascii="仿宋_GB2312" w:hAnsi="仿宋_GB2312" w:cs="仿宋_GB2312" w:eastAsia="仿宋_GB2312"/>
                <w:sz w:val="18"/>
              </w:rPr>
              <w:t>3.提供全院墙面地面维修改造工程报价清单。（最高限价见附件）</w:t>
            </w:r>
          </w:p>
          <w:p>
            <w:pPr>
              <w:pStyle w:val="null3"/>
              <w:jc w:val="both"/>
            </w:pPr>
            <w:r>
              <w:rPr>
                <w:rFonts w:ascii="仿宋_GB2312" w:hAnsi="仿宋_GB2312" w:cs="仿宋_GB2312" w:eastAsia="仿宋_GB2312"/>
                <w:sz w:val="18"/>
                <w:b/>
              </w:rPr>
              <w:t>四、施工要求</w:t>
            </w:r>
          </w:p>
          <w:p>
            <w:pPr>
              <w:pStyle w:val="null3"/>
              <w:jc w:val="both"/>
            </w:pPr>
            <w:r>
              <w:rPr>
                <w:rFonts w:ascii="仿宋_GB2312" w:hAnsi="仿宋_GB2312" w:cs="仿宋_GB2312" w:eastAsia="仿宋_GB2312"/>
                <w:sz w:val="18"/>
              </w:rPr>
              <w:t>1、在施工期间，中标供应商必须注意院内人员安全，加强安全防护措施，并对施工人员进行安全教育。施工人员必须持证上岗。因采购人工作的特殊性，要求中标供应商在施工中做到封闭性施工。</w:t>
            </w:r>
          </w:p>
          <w:p>
            <w:pPr>
              <w:pStyle w:val="null3"/>
              <w:jc w:val="both"/>
            </w:pPr>
            <w:r>
              <w:rPr>
                <w:rFonts w:ascii="仿宋_GB2312" w:hAnsi="仿宋_GB2312" w:cs="仿宋_GB2312" w:eastAsia="仿宋_GB2312"/>
                <w:sz w:val="18"/>
              </w:rPr>
              <w:t>2、隐蔽工程在隐蔽前需进行分项验收，验收合格后乙方留存相关照片及资料。</w:t>
            </w:r>
          </w:p>
          <w:p>
            <w:pPr>
              <w:pStyle w:val="null3"/>
              <w:jc w:val="both"/>
            </w:pPr>
            <w:r>
              <w:rPr>
                <w:rFonts w:ascii="仿宋_GB2312" w:hAnsi="仿宋_GB2312" w:cs="仿宋_GB2312" w:eastAsia="仿宋_GB2312"/>
                <w:sz w:val="18"/>
              </w:rPr>
              <w:t>3、在施工期间，中标供应商必须注意院内人员安全，加强安全防护及警示措施，并对施工人员进行安全教育。施工人员必须持证上岗。因采购人工作的特殊性，要求中标供应商在施工中做到封闭性施工。</w:t>
            </w:r>
          </w:p>
          <w:p>
            <w:pPr>
              <w:pStyle w:val="null3"/>
              <w:jc w:val="both"/>
            </w:pPr>
            <w:r>
              <w:rPr>
                <w:rFonts w:ascii="仿宋_GB2312" w:hAnsi="仿宋_GB2312" w:cs="仿宋_GB2312" w:eastAsia="仿宋_GB2312"/>
                <w:sz w:val="18"/>
              </w:rPr>
              <w:t>4.材质要求:供应商投标时需提供市场中上等及以上档次材料附详细分项报价表(表中含名称、规格型号、品牌、产地等)，并经采购人认可方可施工。</w:t>
            </w:r>
          </w:p>
          <w:p>
            <w:pPr>
              <w:pStyle w:val="null3"/>
              <w:jc w:val="both"/>
            </w:pPr>
            <w:r>
              <w:rPr>
                <w:rFonts w:ascii="仿宋_GB2312" w:hAnsi="仿宋_GB2312" w:cs="仿宋_GB2312" w:eastAsia="仿宋_GB2312"/>
                <w:sz w:val="18"/>
              </w:rPr>
              <w:t>(1)工程所有材料质量必须符合国家标准和行业标准，并具有合格证或检验证:(2)所有进场材料须提供符合环保检测标准的相关证明文件，无法提供相关证月资料的可由采购人委托具备检测资质的第三方单位进行环保检测，产品检测不合格的，甲方有权要求供应商进行限期整改并报复检，检测及复检费用由供应商承担。进场材料检测合格后方可投入使用。</w:t>
            </w:r>
          </w:p>
          <w:p>
            <w:pPr>
              <w:pStyle w:val="null3"/>
              <w:jc w:val="both"/>
            </w:pPr>
            <w:r>
              <w:rPr>
                <w:rFonts w:ascii="仿宋_GB2312" w:hAnsi="仿宋_GB2312" w:cs="仿宋_GB2312" w:eastAsia="仿宋_GB2312"/>
                <w:sz w:val="18"/>
                <w:b/>
              </w:rPr>
              <w:t>五、商务要求</w:t>
            </w:r>
          </w:p>
          <w:p>
            <w:pPr>
              <w:pStyle w:val="null3"/>
              <w:jc w:val="both"/>
            </w:pPr>
            <w:r>
              <w:rPr>
                <w:rFonts w:ascii="仿宋_GB2312" w:hAnsi="仿宋_GB2312" w:cs="仿宋_GB2312" w:eastAsia="仿宋_GB2312"/>
                <w:sz w:val="18"/>
              </w:rPr>
              <w:t>1、支付方式：银行转账</w:t>
            </w:r>
          </w:p>
          <w:p>
            <w:pPr>
              <w:pStyle w:val="null3"/>
              <w:jc w:val="both"/>
            </w:pPr>
            <w:r>
              <w:rPr>
                <w:rFonts w:ascii="仿宋_GB2312" w:hAnsi="仿宋_GB2312" w:cs="仿宋_GB2312" w:eastAsia="仿宋_GB2312"/>
                <w:sz w:val="18"/>
              </w:rPr>
              <w:t>付款方式；当维修面积累计达到</w:t>
            </w:r>
            <w:r>
              <w:rPr>
                <w:rFonts w:ascii="仿宋_GB2312" w:hAnsi="仿宋_GB2312" w:cs="仿宋_GB2312" w:eastAsia="仿宋_GB2312"/>
                <w:sz w:val="18"/>
              </w:rPr>
              <w:t>20平方米后，乙方报送竣工资料，配合甲方完成审核，审核完成一个月后且无质量问题，乙方开具发票，甲方收到发票后的10个工作日内，支付至审核总价款。</w:t>
            </w:r>
          </w:p>
          <w:p>
            <w:pPr>
              <w:pStyle w:val="null3"/>
              <w:jc w:val="both"/>
            </w:pPr>
            <w:r>
              <w:rPr>
                <w:rFonts w:ascii="仿宋_GB2312" w:hAnsi="仿宋_GB2312" w:cs="仿宋_GB2312" w:eastAsia="仿宋_GB2312"/>
                <w:sz w:val="18"/>
              </w:rPr>
              <w:t>若合同期满，乙方维修面积累计未达</w:t>
            </w:r>
            <w:r>
              <w:rPr>
                <w:rFonts w:ascii="仿宋_GB2312" w:hAnsi="仿宋_GB2312" w:cs="仿宋_GB2312" w:eastAsia="仿宋_GB2312"/>
                <w:sz w:val="18"/>
              </w:rPr>
              <w:t>20平方米，乙方仍应报送竣工资料，配合甲方完成审核审定，审核审定完成一个月后且无质量问题，乙方开具发票，甲方收到发票后的10个工作日内，支付至审核审定的总价款。</w:t>
            </w:r>
          </w:p>
          <w:p>
            <w:pPr>
              <w:pStyle w:val="null3"/>
              <w:jc w:val="both"/>
            </w:pPr>
            <w:r>
              <w:rPr>
                <w:rFonts w:ascii="仿宋_GB2312" w:hAnsi="仿宋_GB2312" w:cs="仿宋_GB2312" w:eastAsia="仿宋_GB2312"/>
                <w:sz w:val="18"/>
              </w:rPr>
              <w:t>2、质量保证</w:t>
            </w:r>
          </w:p>
          <w:p>
            <w:pPr>
              <w:pStyle w:val="null3"/>
              <w:jc w:val="both"/>
            </w:pPr>
            <w:r>
              <w:rPr>
                <w:rFonts w:ascii="仿宋_GB2312" w:hAnsi="仿宋_GB2312" w:cs="仿宋_GB2312" w:eastAsia="仿宋_GB2312"/>
                <w:sz w:val="18"/>
              </w:rPr>
              <w:t>（一）乙方应保质保量按照甲方要求施工，工程完工后甲方按照国家相关技术规范要求进行验收。乙方若不按甲方要求施工的，甲方有权要求乙方停工，乙方应在甲方规定期限内进行整改，停工期间工期不顺延，由此产生的费用及损失，由乙方自行承担；乙方累计停工超过约定工期一半天数的，视为乙方根本违约，甲方有权单方解除合同，合同自书面解除通知送达乙方之日起解除，乙方除应赔偿由此给甲方造成的全部损失外，还应按照合同预算总价的</w:t>
            </w:r>
            <w:r>
              <w:rPr>
                <w:rFonts w:ascii="仿宋_GB2312" w:hAnsi="仿宋_GB2312" w:cs="仿宋_GB2312" w:eastAsia="仿宋_GB2312"/>
                <w:sz w:val="18"/>
              </w:rPr>
              <w:t>30%承担违约金。</w:t>
            </w:r>
          </w:p>
          <w:p>
            <w:pPr>
              <w:pStyle w:val="null3"/>
              <w:jc w:val="both"/>
            </w:pPr>
            <w:r>
              <w:rPr>
                <w:rFonts w:ascii="仿宋_GB2312" w:hAnsi="仿宋_GB2312" w:cs="仿宋_GB2312" w:eastAsia="仿宋_GB2312"/>
                <w:sz w:val="18"/>
              </w:rPr>
              <w:t>（二）乙方应妥善保护甲方提供的设备及现场放置的陈设、工程成品及甲供主材，如造成损失，乙方照价赔偿。</w:t>
            </w:r>
          </w:p>
          <w:p>
            <w:pPr>
              <w:pStyle w:val="null3"/>
              <w:jc w:val="both"/>
            </w:pPr>
            <w:r>
              <w:rPr>
                <w:rFonts w:ascii="仿宋_GB2312" w:hAnsi="仿宋_GB2312" w:cs="仿宋_GB2312" w:eastAsia="仿宋_GB2312"/>
                <w:sz w:val="18"/>
              </w:rPr>
              <w:t>（三）未经甲方书面同意，乙方擅自拆改原有建筑物的结构或设备管线，由此发生的损失或事故（包括罚款），由乙方负责并承担全部责任。</w:t>
            </w:r>
          </w:p>
          <w:p>
            <w:pPr>
              <w:pStyle w:val="null3"/>
              <w:jc w:val="both"/>
            </w:pPr>
            <w:r>
              <w:rPr>
                <w:rFonts w:ascii="仿宋_GB2312" w:hAnsi="仿宋_GB2312" w:cs="仿宋_GB2312" w:eastAsia="仿宋_GB2312"/>
                <w:sz w:val="18"/>
              </w:rPr>
              <w:t>3、质保期</w:t>
            </w:r>
          </w:p>
          <w:p>
            <w:pPr>
              <w:pStyle w:val="null3"/>
              <w:jc w:val="both"/>
            </w:pPr>
            <w:r>
              <w:rPr>
                <w:rFonts w:ascii="仿宋_GB2312" w:hAnsi="仿宋_GB2312" w:cs="仿宋_GB2312" w:eastAsia="仿宋_GB2312"/>
                <w:sz w:val="18"/>
              </w:rPr>
              <w:t>自验收之日算起，按《建设工程质量管理条例》第三十二条规定：施工单位对施工中出现质量问题的建设工程或者竣工验收不合格的建设工程，应当负责返修且工期不顺延，由此产生的费用及造成的甲方全部损失，由乙方自行承担。</w:t>
            </w:r>
          </w:p>
          <w:p>
            <w:pPr>
              <w:pStyle w:val="null3"/>
              <w:jc w:val="both"/>
            </w:pPr>
            <w:r>
              <w:rPr>
                <w:rFonts w:ascii="仿宋_GB2312" w:hAnsi="仿宋_GB2312" w:cs="仿宋_GB2312" w:eastAsia="仿宋_GB2312"/>
                <w:sz w:val="18"/>
              </w:rPr>
              <w:t>自验收合格之日起两年，根据成交单位响应文件，合同未约定质保事项以《房屋建筑工程质量保修办法》为准。</w:t>
            </w:r>
          </w:p>
          <w:p>
            <w:pPr>
              <w:pStyle w:val="null3"/>
              <w:jc w:val="both"/>
            </w:pPr>
            <w:r>
              <w:rPr>
                <w:rFonts w:ascii="仿宋_GB2312" w:hAnsi="仿宋_GB2312" w:cs="仿宋_GB2312" w:eastAsia="仿宋_GB2312"/>
                <w:sz w:val="18"/>
                <w:b/>
              </w:rPr>
              <w:t>六、其他</w:t>
            </w:r>
          </w:p>
          <w:p>
            <w:pPr>
              <w:pStyle w:val="null3"/>
              <w:jc w:val="both"/>
            </w:pPr>
            <w:r>
              <w:rPr>
                <w:rFonts w:ascii="仿宋_GB2312" w:hAnsi="仿宋_GB2312" w:cs="仿宋_GB2312" w:eastAsia="仿宋_GB2312"/>
                <w:sz w:val="18"/>
              </w:rPr>
              <w:t>1、质量验收标准或规范</w:t>
            </w:r>
          </w:p>
          <w:p>
            <w:pPr>
              <w:pStyle w:val="null3"/>
              <w:jc w:val="both"/>
            </w:pPr>
            <w:r>
              <w:rPr>
                <w:rFonts w:ascii="仿宋_GB2312" w:hAnsi="仿宋_GB2312" w:cs="仿宋_GB2312" w:eastAsia="仿宋_GB2312"/>
                <w:sz w:val="18"/>
              </w:rPr>
              <w:t>现行的国家标准或国家行政部门颁布的法律法规、规章制度等。</w:t>
            </w:r>
          </w:p>
          <w:p>
            <w:pPr>
              <w:pStyle w:val="null3"/>
              <w:jc w:val="both"/>
            </w:pPr>
            <w:r>
              <w:rPr>
                <w:rFonts w:ascii="仿宋_GB2312" w:hAnsi="仿宋_GB2312" w:cs="仿宋_GB2312" w:eastAsia="仿宋_GB2312"/>
                <w:sz w:val="18"/>
              </w:rPr>
              <w:t>2.违约责任：详见合同。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 2.本项目通过电子化交易系统协商，供应商需在电子化交易系统上传响应的文件。成交供应商领取中标（成交）通知书时，向采购代理机构提供一正三副纸质响应文件及电子版1份（签字盖章扫描PDF和word文档格式，U盘存储）。 3.供应商应自响应文件递交截止时间起至磋商结束，保持在线状态。 4.响应文件中凡是需要法定代表人盖章之处，由分支机构参与磋商时，单位负责人均参照执行（法定代表人授权书由单位负责人签授）。 5.本项目付款以合同约定为准。 6.响应文件格式中“已标价工程量清单”亦可仅加盖单位公章。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3、税收缴纳证明：提供已缴纳的2025年6月1日以来至少三个月的纳税证明或完税证明，纳税证明或完税证明上应有代收机构或税务机关的公章或业务专用章。依法免税的供应商应提供相关文件证明。4、社保缴纳证明：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利益关系承诺函</w:t>
            </w:r>
          </w:p>
        </w:tc>
        <w:tc>
          <w:tcPr>
            <w:tcW w:type="dxa" w:w="3322"/>
          </w:tcPr>
          <w:p>
            <w:pPr>
              <w:pStyle w:val="null3"/>
            </w:pPr>
            <w:r>
              <w:rPr>
                <w:rFonts w:ascii="仿宋_GB2312" w:hAnsi="仿宋_GB2312" w:cs="仿宋_GB2312" w:eastAsia="仿宋_GB2312"/>
              </w:rPr>
              <w:t>本项目不接受由西安市第五医院医院职工及其亲属投资举办的企业参加投标(提供承诺函)。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供应商须具有建设行政主管部门核发的建筑施工总承包三级(含三级)及以上资质或建筑装饰装修工程专业承包二级（含二级）及以上资质，具有有效的安全生产许可证；2、拟派项目经理须具备建筑工程专业二级(含二级)及以上注册建造师资格，具备有效的安全生产考核合格证，在本单位注册，且无在建工程（提供承诺书）。</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主要材料表 第一次磋商报价表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 3.计量单位、报价货币均符合磋商文件要求； 4.未超出采购预算或磋商文件规定的最高限价； 5.未超出单项最高限价。</w:t>
            </w:r>
          </w:p>
        </w:tc>
        <w:tc>
          <w:tcPr>
            <w:tcW w:type="dxa" w:w="1661"/>
          </w:tcPr>
          <w:p>
            <w:pPr>
              <w:pStyle w:val="null3"/>
            </w:pPr>
            <w:r>
              <w:rPr>
                <w:rFonts w:ascii="仿宋_GB2312" w:hAnsi="仿宋_GB2312" w:cs="仿宋_GB2312" w:eastAsia="仿宋_GB2312"/>
              </w:rPr>
              <w:t>已标价工程量清单 主要材料表 第一次磋商报价表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3.按要求提供响应《控股关系关联承诺函》； 4.按要求提供响应《施工单位不拖欠农民工工资承诺书》。</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商务条款不允许负偏离。</w:t>
            </w:r>
          </w:p>
        </w:tc>
        <w:tc>
          <w:tcPr>
            <w:tcW w:type="dxa" w:w="1661"/>
          </w:tcPr>
          <w:p>
            <w:pPr>
              <w:pStyle w:val="null3"/>
            </w:pPr>
            <w:r>
              <w:rPr>
                <w:rFonts w:ascii="仿宋_GB2312" w:hAnsi="仿宋_GB2312" w:cs="仿宋_GB2312" w:eastAsia="仿宋_GB2312"/>
              </w:rPr>
              <w:t>（合同）商务条款响应偏差表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（合同）商务条款响应偏差表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提供详细的施工方案；②拟投入的施工设施、设备及配置情况；③施工进度计划安排：④施工工作质量、安全、进度控制保障措施；⑤数据及资料管理方案；⑥组织协调内容及措施；⑦工作重点与难点分析及对应措施。 二、评审标准 1、完善性：方案必须全面，对评审内容中的各项要求有详细阐述；2、可实施性：切合本项目实际情况，提出步骤清晰、合理的方案；3、针对性：方案能够紧扣项目实际情况，内容科学合理。 上述七项评审内容全部满足评审标准得35分，每有一个评审内容缺项扣5分，评审内容每存在一处缺陷扣0.5分，扣完为止。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团队机构设置、组成人员名单（包括但不限于项目经理、技术负责人、施工员、安全员、质量员、资料员），人员岗位职责；②项目经理及团队人员中具有与本项目相关的专业人员证书（包括但不限于学历证、职称证、岗位证书等），提供复印件。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上述两项评审内容全部满足评审标准得8分，每有一个评审内容缺项扣4分，评审内容每存在一处缺陷扣0.5分，扣完为止。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①针对突发事件及紧急情况（包括防火、防盗、防骗、防事故，发生冰雹、暴雨等灾害性天气，地震、火灾及停水、停电等其他突发事件）的应急预案； ②应急处理程序、应急人员及设施设备。 二、评审标准 1、完善性：方案必须全面，对评审内容中的各项要求有详细阐述；2、可实施性：切合本项目实际情况，提出步骤清晰、合理的方案；3、针对性：方案能够紧扣项目实际情况，内容科学合理。 上述两项评审内容全部满足评审标准得8分，每有一个评审内容缺项扣4分，评审内容每存在一处缺陷扣0.5分，扣完为止。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①服务质量承诺； ②服务响应时限、人员到位、安全保障、不能完全履行承诺时愿意接受相关处罚等以及其他服务的承诺； ③有利于本项目实施的合理化建议。 二、评审标准 1、完善性：方案必须全面，对评审内容中的各项要求有详细阐述；2、可实施性：切合本项目实际情况，提出步骤清晰、合理的方案；3、针对性：方案能够紧扣项目实际情况，内容科学合理。 上述三项评审内容全部满足评审标准得9分，每有一个评审内容缺项扣3分，评审内容每存在一处缺陷扣0.5分，扣完为止。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1日至今的类似项目业绩证明文件（以合同签订时间为准，业绩证明材料须附合同复印件，至少包含：合同首页、标的及价款页、甲乙双方签字盖章页），提供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满足磋商文件要求且综合单价合计最低为评审基准价，其价格分为满分。报价得分=（评审基准价／最终磋商报价）×权值×100。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详见附件：主要材料表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详见附件：（合同）商务条款响应偏差表</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