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61042">
      <w:pPr>
        <w:bidi w:val="0"/>
        <w:rPr>
          <w:rFonts w:hint="default"/>
          <w:highlight w:val="none"/>
        </w:rPr>
      </w:pPr>
      <w:bookmarkStart w:id="0" w:name="_GoBack"/>
    </w:p>
    <w:p w14:paraId="1005F8B4">
      <w:pPr>
        <w:rPr>
          <w:rFonts w:ascii="黑体" w:eastAsia="黑体"/>
          <w:b/>
          <w:sz w:val="32"/>
          <w:szCs w:val="32"/>
          <w:highlight w:val="none"/>
        </w:rPr>
      </w:pPr>
      <w:r>
        <w:rPr>
          <w:rFonts w:hint="default"/>
          <w:highlight w:val="none"/>
        </w:rPr>
        <w:drawing>
          <wp:anchor distT="0" distB="0" distL="114300" distR="114300" simplePos="0" relativeHeight="251659264" behindDoc="1" locked="0" layoutInCell="1" allowOverlap="1">
            <wp:simplePos x="0" y="0"/>
            <wp:positionH relativeFrom="column">
              <wp:posOffset>3614420</wp:posOffset>
            </wp:positionH>
            <wp:positionV relativeFrom="paragraph">
              <wp:posOffset>184150</wp:posOffset>
            </wp:positionV>
            <wp:extent cx="1591310" cy="684530"/>
            <wp:effectExtent l="0" t="0" r="8890" b="1270"/>
            <wp:wrapNone/>
            <wp:docPr id="2" name="图片 2" descr="logo（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2022"/>
                    <pic:cNvPicPr>
                      <a:picLocks noChangeAspect="1" noChangeArrowheads="1"/>
                    </pic:cNvPicPr>
                  </pic:nvPicPr>
                  <pic:blipFill>
                    <a:blip r:embed="rId4" cstate="print"/>
                    <a:srcRect/>
                    <a:stretch>
                      <a:fillRect/>
                    </a:stretch>
                  </pic:blipFill>
                  <pic:spPr>
                    <a:xfrm>
                      <a:off x="0" y="0"/>
                      <a:ext cx="1591310" cy="684530"/>
                    </a:xfrm>
                    <a:prstGeom prst="rect">
                      <a:avLst/>
                    </a:prstGeom>
                    <a:noFill/>
                    <a:ln w="9525">
                      <a:noFill/>
                      <a:miter lim="800000"/>
                      <a:headEnd/>
                      <a:tailEnd/>
                    </a:ln>
                  </pic:spPr>
                </pic:pic>
              </a:graphicData>
            </a:graphic>
          </wp:anchor>
        </w:drawing>
      </w:r>
    </w:p>
    <w:p w14:paraId="1EA8ADA4">
      <w:pPr>
        <w:rPr>
          <w:rFonts w:hint="eastAsia" w:ascii="黑体" w:eastAsia="黑体"/>
          <w:b/>
          <w:sz w:val="32"/>
          <w:szCs w:val="32"/>
          <w:highlight w:val="none"/>
        </w:rPr>
      </w:pPr>
    </w:p>
    <w:p w14:paraId="4A16C739">
      <w:pPr>
        <w:rPr>
          <w:rFonts w:ascii="黑体" w:eastAsia="黑体"/>
          <w:b/>
          <w:sz w:val="32"/>
          <w:szCs w:val="32"/>
          <w:highlight w:val="none"/>
        </w:rPr>
      </w:pPr>
      <w:r>
        <w:rPr>
          <w:rFonts w:hint="eastAsia" w:ascii="黑体" w:eastAsia="黑体"/>
          <w:b/>
          <w:sz w:val="32"/>
          <w:szCs w:val="32"/>
          <w:highlight w:val="none"/>
        </w:rPr>
        <w:t>合同编号：</w:t>
      </w:r>
    </w:p>
    <w:p w14:paraId="0FC061DF">
      <w:pPr>
        <w:jc w:val="center"/>
        <w:rPr>
          <w:rFonts w:ascii="宋体" w:hAnsi="宋体"/>
          <w:b/>
          <w:snapToGrid w:val="0"/>
          <w:sz w:val="48"/>
          <w:szCs w:val="48"/>
          <w:highlight w:val="none"/>
        </w:rPr>
      </w:pPr>
    </w:p>
    <w:p w14:paraId="75D798E9">
      <w:pPr>
        <w:jc w:val="center"/>
        <w:rPr>
          <w:rFonts w:hint="eastAsia" w:ascii="宋体" w:hAnsi="宋体"/>
          <w:b/>
          <w:snapToGrid w:val="0"/>
          <w:sz w:val="48"/>
          <w:szCs w:val="48"/>
          <w:highlight w:val="none"/>
        </w:rPr>
      </w:pPr>
    </w:p>
    <w:p w14:paraId="28A4A62F">
      <w:pPr>
        <w:jc w:val="center"/>
        <w:rPr>
          <w:rFonts w:ascii="宋体" w:hAnsi="宋体"/>
          <w:b/>
          <w:snapToGrid w:val="0"/>
          <w:sz w:val="48"/>
          <w:szCs w:val="48"/>
          <w:highlight w:val="none"/>
        </w:rPr>
      </w:pPr>
      <w:r>
        <w:rPr>
          <w:rFonts w:hint="eastAsia" w:ascii="宋体" w:hAnsi="宋体"/>
          <w:b/>
          <w:snapToGrid w:val="0"/>
          <w:sz w:val="48"/>
          <w:szCs w:val="48"/>
          <w:highlight w:val="none"/>
        </w:rPr>
        <w:t>西安市第五医院</w:t>
      </w:r>
    </w:p>
    <w:p w14:paraId="65D0251A">
      <w:pPr>
        <w:rPr>
          <w:rFonts w:ascii="宋体" w:hAnsi="宋体"/>
          <w:b/>
          <w:snapToGrid w:val="0"/>
          <w:sz w:val="48"/>
          <w:szCs w:val="48"/>
          <w:highlight w:val="none"/>
        </w:rPr>
      </w:pPr>
    </w:p>
    <w:p w14:paraId="5EB75C2C">
      <w:pPr>
        <w:pStyle w:val="4"/>
        <w:keepNext w:val="0"/>
        <w:keepLines w:val="0"/>
        <w:pageBreakBefore w:val="0"/>
        <w:widowControl w:val="0"/>
        <w:kinsoku/>
        <w:wordWrap/>
        <w:overflowPunct/>
        <w:topLinePunct w:val="0"/>
        <w:autoSpaceDE/>
        <w:autoSpaceDN/>
        <w:bidi w:val="0"/>
        <w:adjustRightInd/>
        <w:snapToGrid w:val="0"/>
        <w:ind w:left="0" w:firstLine="0" w:firstLineChars="0"/>
        <w:jc w:val="center"/>
        <w:textAlignment w:val="auto"/>
        <w:rPr>
          <w:rFonts w:hint="eastAsia" w:ascii="宋体" w:hAnsi="宋体" w:eastAsia="宋体" w:cs="宋体"/>
          <w:b/>
          <w:snapToGrid w:val="0"/>
          <w:sz w:val="36"/>
          <w:szCs w:val="36"/>
          <w:highlight w:val="none"/>
          <w:lang w:eastAsia="zh-CN"/>
        </w:rPr>
      </w:pPr>
      <w:r>
        <w:rPr>
          <w:rFonts w:hint="eastAsia" w:ascii="宋体" w:hAnsi="宋体" w:cs="宋体"/>
          <w:b/>
          <w:snapToGrid w:val="0"/>
          <w:sz w:val="36"/>
          <w:szCs w:val="36"/>
          <w:highlight w:val="none"/>
        </w:rPr>
        <w:t>（项目名称:西安市第五医院</w:t>
      </w:r>
      <w:r>
        <w:rPr>
          <w:rFonts w:hint="eastAsia" w:ascii="宋体" w:hAnsi="宋体" w:cs="宋体"/>
          <w:b/>
          <w:snapToGrid w:val="0"/>
          <w:sz w:val="36"/>
          <w:szCs w:val="36"/>
          <w:highlight w:val="none"/>
          <w:lang w:val="en-US" w:eastAsia="zh-CN"/>
        </w:rPr>
        <w:t>全院墙面地面维修</w:t>
      </w:r>
      <w:r>
        <w:rPr>
          <w:rFonts w:hint="eastAsia" w:ascii="宋体" w:hAnsi="宋体" w:cs="宋体"/>
          <w:b/>
          <w:snapToGrid w:val="0"/>
          <w:sz w:val="36"/>
          <w:szCs w:val="36"/>
          <w:highlight w:val="none"/>
        </w:rPr>
        <w:t>改造工程</w:t>
      </w:r>
      <w:r>
        <w:rPr>
          <w:rFonts w:hint="eastAsia" w:ascii="宋体" w:hAnsi="宋体" w:cs="宋体"/>
          <w:b/>
          <w:snapToGrid w:val="0"/>
          <w:sz w:val="36"/>
          <w:szCs w:val="36"/>
          <w:highlight w:val="none"/>
          <w:lang w:eastAsia="zh-CN"/>
        </w:rPr>
        <w:t>）</w:t>
      </w:r>
    </w:p>
    <w:p w14:paraId="49CE68EE">
      <w:pPr>
        <w:pStyle w:val="4"/>
        <w:ind w:left="1920" w:hanging="1920" w:hangingChars="600"/>
        <w:rPr>
          <w:rFonts w:ascii="宋体" w:hAnsi="宋体" w:cs="宋体"/>
          <w:sz w:val="32"/>
          <w:szCs w:val="32"/>
          <w:highlight w:val="none"/>
        </w:rPr>
      </w:pPr>
    </w:p>
    <w:p w14:paraId="7316C4C6">
      <w:pPr>
        <w:jc w:val="center"/>
        <w:rPr>
          <w:rFonts w:ascii="黑体" w:eastAsia="黑体"/>
          <w:b/>
          <w:sz w:val="72"/>
          <w:szCs w:val="72"/>
          <w:highlight w:val="none"/>
        </w:rPr>
      </w:pPr>
      <w:r>
        <w:rPr>
          <w:rFonts w:hint="eastAsia" w:ascii="黑体" w:eastAsia="黑体"/>
          <w:b/>
          <w:sz w:val="72"/>
          <w:szCs w:val="72"/>
          <w:highlight w:val="none"/>
        </w:rPr>
        <w:t>工 程 合 同</w:t>
      </w:r>
    </w:p>
    <w:p w14:paraId="787DCFFC">
      <w:pPr>
        <w:bidi w:val="0"/>
        <w:rPr>
          <w:rFonts w:hint="default"/>
          <w:highlight w:val="none"/>
        </w:rPr>
      </w:pPr>
    </w:p>
    <w:p w14:paraId="1D0DA80A">
      <w:pPr>
        <w:rPr>
          <w:highlight w:val="none"/>
        </w:rPr>
      </w:pPr>
    </w:p>
    <w:p w14:paraId="28288EB9">
      <w:pPr>
        <w:ind w:firstLine="2080" w:firstLineChars="650"/>
        <w:rPr>
          <w:rFonts w:ascii="黑体" w:eastAsia="黑体"/>
          <w:sz w:val="32"/>
          <w:szCs w:val="32"/>
          <w:highlight w:val="none"/>
        </w:rPr>
      </w:pPr>
      <w:r>
        <w:rPr>
          <w:rFonts w:hint="eastAsia" w:ascii="黑体" w:eastAsia="黑体"/>
          <w:sz w:val="32"/>
          <w:szCs w:val="32"/>
          <w:highlight w:val="none"/>
        </w:rPr>
        <w:t>甲  方：西安市第五医院</w:t>
      </w:r>
    </w:p>
    <w:p w14:paraId="5624FA3E">
      <w:pPr>
        <w:ind w:firstLine="2080" w:firstLineChars="650"/>
        <w:rPr>
          <w:rFonts w:ascii="黑体" w:eastAsia="黑体"/>
          <w:sz w:val="32"/>
          <w:szCs w:val="32"/>
          <w:highlight w:val="none"/>
        </w:rPr>
      </w:pPr>
      <w:r>
        <w:rPr>
          <w:rFonts w:hint="eastAsia" w:ascii="黑体" w:eastAsia="黑体"/>
          <w:sz w:val="32"/>
          <w:szCs w:val="32"/>
          <w:highlight w:val="none"/>
        </w:rPr>
        <w:t>乙  方：</w:t>
      </w:r>
    </w:p>
    <w:p w14:paraId="68F935F7">
      <w:pPr>
        <w:tabs>
          <w:tab w:val="left" w:pos="480"/>
        </w:tabs>
        <w:spacing w:line="480" w:lineRule="auto"/>
        <w:rPr>
          <w:rFonts w:hint="default" w:ascii="宋体" w:hAnsi="宋体" w:eastAsia="宋体" w:cs="仿宋_GB2312"/>
          <w:sz w:val="32"/>
          <w:szCs w:val="32"/>
          <w:highlight w:val="none"/>
          <w:lang w:val="en-US" w:eastAsia="zh-CN"/>
        </w:rPr>
      </w:pPr>
      <w:r>
        <w:rPr>
          <w:rFonts w:hint="eastAsia" w:ascii="宋体" w:hAnsi="宋体" w:cs="仿宋_GB2312"/>
          <w:sz w:val="32"/>
          <w:szCs w:val="32"/>
          <w:highlight w:val="none"/>
          <w:lang w:val="en-US" w:eastAsia="zh-CN"/>
        </w:rPr>
        <w:t xml:space="preserve">             </w:t>
      </w:r>
    </w:p>
    <w:p w14:paraId="230849F2">
      <w:pPr>
        <w:jc w:val="center"/>
        <w:rPr>
          <w:rFonts w:ascii="黑体" w:eastAsia="黑体"/>
          <w:sz w:val="32"/>
          <w:szCs w:val="32"/>
          <w:highlight w:val="none"/>
        </w:rPr>
      </w:pPr>
      <w:r>
        <w:rPr>
          <w:rFonts w:hint="eastAsia" w:ascii="黑体" w:eastAsia="黑体"/>
          <w:sz w:val="32"/>
          <w:szCs w:val="32"/>
          <w:highlight w:val="none"/>
        </w:rPr>
        <w:t>202</w:t>
      </w:r>
      <w:r>
        <w:rPr>
          <w:rFonts w:hint="eastAsia" w:ascii="黑体" w:eastAsia="黑体"/>
          <w:sz w:val="32"/>
          <w:szCs w:val="32"/>
          <w:highlight w:val="none"/>
          <w:lang w:val="en-US" w:eastAsia="zh-CN"/>
        </w:rPr>
        <w:t>6</w:t>
      </w:r>
      <w:r>
        <w:rPr>
          <w:rFonts w:hint="eastAsia" w:ascii="黑体" w:eastAsia="黑体"/>
          <w:sz w:val="32"/>
          <w:szCs w:val="32"/>
          <w:highlight w:val="none"/>
        </w:rPr>
        <w:t>年  月</w:t>
      </w:r>
    </w:p>
    <w:p w14:paraId="636CEBDF">
      <w:pPr>
        <w:jc w:val="center"/>
        <w:rPr>
          <w:rFonts w:ascii="黑体" w:eastAsia="黑体"/>
          <w:sz w:val="32"/>
          <w:szCs w:val="32"/>
          <w:highlight w:val="none"/>
        </w:rPr>
      </w:pPr>
      <w:r>
        <w:rPr>
          <w:rFonts w:hint="eastAsia" w:ascii="黑体" w:eastAsia="黑体"/>
          <w:sz w:val="32"/>
          <w:szCs w:val="32"/>
          <w:highlight w:val="none"/>
        </w:rPr>
        <w:t>中国  西安</w:t>
      </w:r>
    </w:p>
    <w:p w14:paraId="520B101A">
      <w:pPr>
        <w:pStyle w:val="4"/>
        <w:jc w:val="center"/>
        <w:rPr>
          <w:highlight w:val="none"/>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0F52CD4C">
      <w:pPr>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甲方：西安市第五医院</w:t>
      </w:r>
    </w:p>
    <w:p w14:paraId="656E9511">
      <w:pPr>
        <w:spacing w:line="480"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t>乙方：</w:t>
      </w:r>
    </w:p>
    <w:p w14:paraId="12A6172F">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一、内容</w:t>
      </w:r>
    </w:p>
    <w:p w14:paraId="1E3045DD">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一</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所需工程，按照采购程序，确定乙方为中标供应商。依据《中华人民共和国政府采购法》及实施条例、《中华人民共和国招标投标法》及实施条例、《中华人民共和国民法典》、中标供应商响应文件正本、中标通知书，经甲、乙双方协商，达成如下条款。</w:t>
      </w:r>
    </w:p>
    <w:p w14:paraId="067C56A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lang w:eastAsia="zh-CN"/>
        </w:rPr>
        <w:t>）</w:t>
      </w:r>
      <w:r>
        <w:rPr>
          <w:rFonts w:hint="eastAsia" w:ascii="仿宋" w:hAnsi="仿宋" w:eastAsia="仿宋" w:cs="仿宋"/>
          <w:kern w:val="2"/>
          <w:sz w:val="24"/>
          <w:szCs w:val="24"/>
          <w:highlight w:val="none"/>
          <w:lang w:val="en-US" w:eastAsia="zh-CN" w:bidi="ar-SA"/>
        </w:rPr>
        <w:t>工程内容：根据工程量清单对医院墙面、地面、顶面、门窗进行维修改造。</w:t>
      </w:r>
    </w:p>
    <w:p w14:paraId="4AF4B2DD">
      <w:pPr>
        <w:spacing w:line="360" w:lineRule="auto"/>
        <w:ind w:firstLine="480" w:firstLineChars="200"/>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（三）合同价：</w:t>
      </w:r>
      <w:r>
        <w:rPr>
          <w:rFonts w:hint="eastAsia" w:ascii="仿宋" w:hAnsi="仿宋" w:eastAsia="仿宋" w:cs="仿宋"/>
          <w:sz w:val="24"/>
          <w:szCs w:val="24"/>
          <w:highlight w:val="none"/>
          <w:u w:val="none"/>
        </w:rPr>
        <w:t xml:space="preserve"> （大写：        ） （小写：        ）</w:t>
      </w:r>
    </w:p>
    <w:p w14:paraId="06A45220">
      <w:pPr>
        <w:spacing w:line="360" w:lineRule="auto"/>
        <w:ind w:left="0" w:firstLine="720" w:firstLineChars="300"/>
        <w:rPr>
          <w:rFonts w:hint="eastAsia" w:ascii="仿宋" w:hAnsi="仿宋" w:eastAsia="仿宋" w:cs="仿宋"/>
          <w:sz w:val="24"/>
          <w:szCs w:val="24"/>
          <w:highlight w:val="none"/>
        </w:rPr>
      </w:pPr>
      <w:r>
        <w:rPr>
          <w:rFonts w:hint="eastAsia" w:ascii="仿宋" w:hAnsi="仿宋" w:eastAsia="仿宋" w:cs="仿宋"/>
          <w:sz w:val="24"/>
          <w:szCs w:val="24"/>
          <w:highlight w:val="none"/>
        </w:rPr>
        <w:t>本工程合同</w:t>
      </w:r>
      <w:r>
        <w:rPr>
          <w:rFonts w:hint="eastAsia" w:ascii="仿宋" w:hAnsi="仿宋" w:eastAsia="仿宋" w:cs="仿宋"/>
          <w:sz w:val="24"/>
          <w:szCs w:val="24"/>
          <w:highlight w:val="none"/>
          <w:u w:val="none"/>
        </w:rPr>
        <w:t>自合同签订之日起</w:t>
      </w:r>
      <w:r>
        <w:rPr>
          <w:rFonts w:hint="eastAsia" w:ascii="仿宋" w:hAnsi="仿宋" w:eastAsia="仿宋" w:cs="仿宋"/>
          <w:sz w:val="24"/>
          <w:szCs w:val="24"/>
          <w:highlight w:val="none"/>
          <w:u w:val="none"/>
          <w:lang w:val="en-US" w:eastAsia="zh-CN"/>
        </w:rPr>
        <w:t>有效期为一年，</w:t>
      </w:r>
      <w:r>
        <w:rPr>
          <w:rFonts w:hint="eastAsia" w:ascii="仿宋" w:hAnsi="仿宋" w:eastAsia="仿宋" w:cs="仿宋"/>
          <w:sz w:val="24"/>
          <w:szCs w:val="24"/>
          <w:highlight w:val="none"/>
          <w:u w:val="none"/>
        </w:rPr>
        <w:t>预算金额为</w:t>
      </w:r>
      <w:r>
        <w:rPr>
          <w:rFonts w:hint="eastAsia" w:ascii="仿宋" w:hAnsi="仿宋" w:eastAsia="仿宋" w:cs="仿宋"/>
          <w:sz w:val="24"/>
          <w:szCs w:val="24"/>
          <w:highlight w:val="none"/>
          <w:u w:val="none"/>
          <w:lang w:val="en-US" w:eastAsia="zh-CN"/>
        </w:rPr>
        <w:t>肆拾</w:t>
      </w:r>
      <w:r>
        <w:rPr>
          <w:rFonts w:hint="eastAsia" w:ascii="仿宋" w:hAnsi="仿宋" w:eastAsia="仿宋" w:cs="仿宋"/>
          <w:sz w:val="24"/>
          <w:szCs w:val="24"/>
          <w:highlight w:val="none"/>
          <w:u w:val="none"/>
        </w:rPr>
        <w:t>万元整（小写：</w:t>
      </w:r>
      <w:r>
        <w:rPr>
          <w:rFonts w:hint="eastAsia" w:ascii="仿宋" w:hAnsi="仿宋" w:eastAsia="仿宋" w:cs="仿宋"/>
          <w:sz w:val="24"/>
          <w:szCs w:val="24"/>
          <w:highlight w:val="none"/>
          <w:u w:val="none"/>
          <w:lang w:val="en-US" w:eastAsia="zh-CN"/>
        </w:rPr>
        <w:t>40</w:t>
      </w:r>
      <w:r>
        <w:rPr>
          <w:rFonts w:hint="eastAsia" w:ascii="仿宋" w:hAnsi="仿宋" w:eastAsia="仿宋" w:cs="仿宋"/>
          <w:sz w:val="24"/>
          <w:szCs w:val="24"/>
          <w:highlight w:val="none"/>
          <w:u w:val="none"/>
        </w:rPr>
        <w:t>0000.00元）。</w:t>
      </w:r>
      <w:r>
        <w:rPr>
          <w:rFonts w:hint="eastAsia" w:ascii="仿宋" w:hAnsi="仿宋" w:eastAsia="仿宋" w:cs="仿宋"/>
          <w:bCs w:val="0"/>
          <w:kern w:val="2"/>
          <w:sz w:val="24"/>
          <w:szCs w:val="24"/>
          <w:highlight w:val="none"/>
          <w:lang w:eastAsia="zh-CN"/>
        </w:rPr>
        <w:t>本合同预算金额不作为</w:t>
      </w:r>
      <w:r>
        <w:rPr>
          <w:rFonts w:hint="eastAsia" w:ascii="仿宋" w:hAnsi="仿宋" w:eastAsia="仿宋" w:cs="仿宋"/>
          <w:bCs w:val="0"/>
          <w:kern w:val="2"/>
          <w:sz w:val="24"/>
          <w:szCs w:val="24"/>
          <w:highlight w:val="none"/>
          <w:lang w:val="en-US" w:eastAsia="zh-CN"/>
        </w:rPr>
        <w:t>最终</w:t>
      </w:r>
      <w:r>
        <w:rPr>
          <w:rFonts w:hint="eastAsia" w:ascii="仿宋" w:hAnsi="仿宋" w:eastAsia="仿宋" w:cs="仿宋"/>
          <w:bCs w:val="0"/>
          <w:kern w:val="2"/>
          <w:sz w:val="24"/>
          <w:szCs w:val="24"/>
          <w:highlight w:val="none"/>
          <w:lang w:eastAsia="zh-CN"/>
        </w:rPr>
        <w:t>支付金额，</w:t>
      </w:r>
      <w:r>
        <w:rPr>
          <w:rFonts w:hint="eastAsia" w:ascii="仿宋" w:hAnsi="仿宋" w:eastAsia="仿宋" w:cs="仿宋"/>
          <w:bCs w:val="0"/>
          <w:kern w:val="2"/>
          <w:sz w:val="24"/>
          <w:szCs w:val="24"/>
          <w:highlight w:val="none"/>
        </w:rPr>
        <w:t>最终工程总价款以甲方审核审定为准</w:t>
      </w:r>
      <w:r>
        <w:rPr>
          <w:rFonts w:hint="eastAsia" w:ascii="仿宋" w:hAnsi="仿宋" w:eastAsia="仿宋" w:cs="仿宋"/>
          <w:bCs w:val="0"/>
          <w:kern w:val="2"/>
          <w:sz w:val="24"/>
          <w:szCs w:val="24"/>
          <w:highlight w:val="none"/>
          <w:lang w:eastAsia="zh-CN"/>
        </w:rPr>
        <w:t>。</w:t>
      </w:r>
    </w:p>
    <w:p w14:paraId="3CE5C47E">
      <w:pPr>
        <w:tabs>
          <w:tab w:val="left" w:pos="48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二、质保期</w:t>
      </w:r>
    </w:p>
    <w:p w14:paraId="3326989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按《建设工程质量管理条例》第三十二条规定：施工单位对施工中出现质量问题的建设工程或者竣工验收不合格的建设工程，应当负责返修且工期不顺延，由此产生的费用及造成的</w:t>
      </w:r>
      <w:r>
        <w:rPr>
          <w:rFonts w:hint="eastAsia" w:ascii="仿宋" w:hAnsi="仿宋" w:eastAsia="仿宋" w:cs="仿宋"/>
          <w:sz w:val="24"/>
          <w:szCs w:val="24"/>
          <w:highlight w:val="none"/>
          <w:lang w:val="en-US" w:eastAsia="zh-CN"/>
        </w:rPr>
        <w:t>甲方全部</w:t>
      </w:r>
      <w:r>
        <w:rPr>
          <w:rFonts w:hint="eastAsia" w:ascii="仿宋" w:hAnsi="仿宋" w:eastAsia="仿宋" w:cs="仿宋"/>
          <w:sz w:val="24"/>
          <w:szCs w:val="24"/>
          <w:highlight w:val="none"/>
        </w:rPr>
        <w:t>损失，乙方自行承担。</w:t>
      </w:r>
    </w:p>
    <w:p w14:paraId="65716448">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自验收合格起之日两年，根据成交单位响应文件，合同未约定质保事项以《房屋建筑工程质量保修办法》为准。</w:t>
      </w:r>
    </w:p>
    <w:p w14:paraId="19E57CE8">
      <w:pPr>
        <w:tabs>
          <w:tab w:val="left" w:pos="48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三、施工条件</w:t>
      </w:r>
    </w:p>
    <w:p w14:paraId="52BD367C">
      <w:pPr>
        <w:tabs>
          <w:tab w:val="left" w:pos="1155"/>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（一）施工地点：西安市西关正街112号</w:t>
      </w:r>
    </w:p>
    <w:p w14:paraId="143A27D0">
      <w:pPr>
        <w:pStyle w:val="9"/>
        <w:numPr>
          <w:ilvl w:val="0"/>
          <w:numId w:val="0"/>
        </w:numPr>
        <w:spacing w:line="400" w:lineRule="exact"/>
        <w:ind w:left="560" w:leftChars="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（二）总工期：</w:t>
      </w:r>
    </w:p>
    <w:tbl>
      <w:tblPr>
        <w:tblStyle w:val="7"/>
        <w:tblW w:w="0" w:type="auto"/>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3405"/>
        <w:gridCol w:w="1740"/>
        <w:gridCol w:w="2265"/>
      </w:tblGrid>
      <w:tr w14:paraId="247B5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5235BE8B">
            <w:pPr>
              <w:spacing w:line="240" w:lineRule="auto"/>
              <w:jc w:val="center"/>
              <w:rPr>
                <w:rFonts w:hint="eastAsia" w:ascii="仿宋" w:hAnsi="仿宋" w:eastAsia="仿宋" w:cs="仿宋"/>
                <w:highlight w:val="none"/>
                <w:vertAlign w:val="baseline"/>
              </w:rPr>
            </w:pPr>
            <w:r>
              <w:rPr>
                <w:rFonts w:hint="eastAsia" w:ascii="仿宋" w:hAnsi="仿宋" w:eastAsia="仿宋" w:cs="仿宋"/>
                <w:b/>
                <w:sz w:val="24"/>
                <w:szCs w:val="24"/>
                <w:highlight w:val="none"/>
              </w:rPr>
              <w:t>序号</w:t>
            </w:r>
          </w:p>
        </w:tc>
        <w:tc>
          <w:tcPr>
            <w:tcW w:w="3405" w:type="dxa"/>
            <w:vAlign w:val="top"/>
          </w:tcPr>
          <w:p w14:paraId="42266586">
            <w:pPr>
              <w:spacing w:line="240" w:lineRule="auto"/>
              <w:jc w:val="center"/>
              <w:rPr>
                <w:rFonts w:hint="eastAsia" w:ascii="仿宋" w:hAnsi="仿宋" w:eastAsia="仿宋" w:cs="仿宋"/>
                <w:highlight w:val="none"/>
                <w:vertAlign w:val="baseline"/>
              </w:rPr>
            </w:pPr>
            <w:r>
              <w:rPr>
                <w:rFonts w:hint="eastAsia" w:ascii="仿宋" w:hAnsi="仿宋" w:eastAsia="仿宋" w:cs="仿宋"/>
                <w:b/>
                <w:sz w:val="24"/>
                <w:szCs w:val="24"/>
                <w:highlight w:val="none"/>
              </w:rPr>
              <w:t>工作内容</w:t>
            </w:r>
          </w:p>
        </w:tc>
        <w:tc>
          <w:tcPr>
            <w:tcW w:w="1740" w:type="dxa"/>
            <w:vAlign w:val="top"/>
          </w:tcPr>
          <w:p w14:paraId="03CD458F">
            <w:pPr>
              <w:spacing w:line="240" w:lineRule="auto"/>
              <w:jc w:val="center"/>
              <w:rPr>
                <w:rFonts w:hint="eastAsia" w:ascii="仿宋" w:hAnsi="仿宋" w:eastAsia="仿宋" w:cs="仿宋"/>
                <w:highlight w:val="none"/>
                <w:vertAlign w:val="baseline"/>
              </w:rPr>
            </w:pPr>
            <w:r>
              <w:rPr>
                <w:rFonts w:hint="eastAsia" w:ascii="仿宋" w:hAnsi="仿宋" w:eastAsia="仿宋" w:cs="仿宋"/>
                <w:b/>
                <w:sz w:val="24"/>
                <w:szCs w:val="24"/>
                <w:highlight w:val="none"/>
              </w:rPr>
              <w:t>计划工期（天）</w:t>
            </w:r>
          </w:p>
        </w:tc>
        <w:tc>
          <w:tcPr>
            <w:tcW w:w="2265" w:type="dxa"/>
            <w:vAlign w:val="top"/>
          </w:tcPr>
          <w:p w14:paraId="3E281E5E">
            <w:pPr>
              <w:spacing w:line="240" w:lineRule="auto"/>
              <w:jc w:val="center"/>
              <w:rPr>
                <w:rFonts w:hint="eastAsia" w:ascii="仿宋" w:hAnsi="仿宋" w:eastAsia="仿宋" w:cs="仿宋"/>
                <w:highlight w:val="none"/>
                <w:vertAlign w:val="baseline"/>
              </w:rPr>
            </w:pPr>
            <w:r>
              <w:rPr>
                <w:rFonts w:hint="eastAsia" w:ascii="仿宋" w:hAnsi="仿宋" w:eastAsia="仿宋" w:cs="仿宋"/>
                <w:b/>
                <w:sz w:val="24"/>
                <w:szCs w:val="24"/>
                <w:highlight w:val="none"/>
              </w:rPr>
              <w:t>注意事项</w:t>
            </w:r>
            <w:r>
              <w:rPr>
                <w:rFonts w:hint="eastAsia" w:ascii="仿宋" w:hAnsi="仿宋" w:eastAsia="仿宋" w:cs="仿宋"/>
                <w:b/>
                <w:sz w:val="24"/>
                <w:szCs w:val="24"/>
                <w:highlight w:val="none"/>
                <w:lang w:eastAsia="zh-CN"/>
              </w:rPr>
              <w:t>（</w:t>
            </w:r>
            <w:r>
              <w:rPr>
                <w:rFonts w:hint="eastAsia" w:ascii="仿宋" w:hAnsi="仿宋" w:eastAsia="仿宋" w:cs="仿宋"/>
                <w:b/>
                <w:sz w:val="24"/>
                <w:szCs w:val="24"/>
                <w:highlight w:val="none"/>
                <w:lang w:val="en-US" w:eastAsia="zh-CN"/>
              </w:rPr>
              <w:t>仅对工期约束起作用）</w:t>
            </w:r>
          </w:p>
        </w:tc>
      </w:tr>
      <w:tr w14:paraId="417EC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3D4F6DDD">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p>
        </w:tc>
        <w:tc>
          <w:tcPr>
            <w:tcW w:w="3405" w:type="dxa"/>
            <w:vAlign w:val="top"/>
          </w:tcPr>
          <w:p w14:paraId="725D3AEC">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地砖、瓷片、微晶石、过门石</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踢脚线、自流平</w:t>
            </w:r>
            <w:r>
              <w:rPr>
                <w:rFonts w:hint="eastAsia" w:ascii="仿宋" w:hAnsi="仿宋" w:eastAsia="仿宋" w:cs="仿宋"/>
                <w:sz w:val="24"/>
                <w:szCs w:val="24"/>
                <w:highlight w:val="none"/>
              </w:rPr>
              <w:t>拆</w:t>
            </w:r>
            <w:r>
              <w:rPr>
                <w:rFonts w:hint="eastAsia" w:ascii="仿宋" w:hAnsi="仿宋" w:eastAsia="仿宋" w:cs="仿宋"/>
                <w:sz w:val="24"/>
                <w:szCs w:val="24"/>
                <w:highlight w:val="none"/>
                <w:lang w:val="en-US" w:eastAsia="zh-CN"/>
              </w:rPr>
              <w:t>除</w:t>
            </w:r>
          </w:p>
        </w:tc>
        <w:tc>
          <w:tcPr>
            <w:tcW w:w="1740" w:type="dxa"/>
            <w:vAlign w:val="top"/>
          </w:tcPr>
          <w:p w14:paraId="48CF3298">
            <w:pPr>
              <w:spacing w:line="240" w:lineRule="auto"/>
              <w:ind w:firstLine="630" w:firstLineChars="300"/>
              <w:jc w:val="both"/>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3天</w:t>
            </w:r>
          </w:p>
          <w:p w14:paraId="734C4C7D">
            <w:pPr>
              <w:spacing w:line="240" w:lineRule="auto"/>
              <w:jc w:val="both"/>
              <w:rPr>
                <w:rFonts w:hint="eastAsia" w:ascii="仿宋" w:hAnsi="仿宋" w:eastAsia="仿宋" w:cs="仿宋"/>
                <w:highlight w:val="none"/>
                <w:vertAlign w:val="baseline"/>
              </w:rPr>
            </w:pPr>
          </w:p>
        </w:tc>
        <w:tc>
          <w:tcPr>
            <w:tcW w:w="2265" w:type="dxa"/>
            <w:vAlign w:val="top"/>
          </w:tcPr>
          <w:p w14:paraId="6410AD44">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24DA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73819B28">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3405" w:type="dxa"/>
            <w:vAlign w:val="top"/>
          </w:tcPr>
          <w:p w14:paraId="701B77C5">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墙面、轻质隔墙、铝塑板墙面铲除、基层处理</w:t>
            </w:r>
          </w:p>
        </w:tc>
        <w:tc>
          <w:tcPr>
            <w:tcW w:w="1740" w:type="dxa"/>
            <w:vAlign w:val="top"/>
          </w:tcPr>
          <w:p w14:paraId="3FF4E5CC">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5天</w:t>
            </w:r>
          </w:p>
        </w:tc>
        <w:tc>
          <w:tcPr>
            <w:tcW w:w="2265" w:type="dxa"/>
            <w:vAlign w:val="top"/>
          </w:tcPr>
          <w:p w14:paraId="0BD36C5C">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369D7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46E4738B">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w:t>
            </w:r>
          </w:p>
        </w:tc>
        <w:tc>
          <w:tcPr>
            <w:tcW w:w="3405" w:type="dxa"/>
            <w:vAlign w:val="top"/>
          </w:tcPr>
          <w:p w14:paraId="1D5BEEF2">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门窗拆除</w:t>
            </w:r>
          </w:p>
        </w:tc>
        <w:tc>
          <w:tcPr>
            <w:tcW w:w="1740" w:type="dxa"/>
            <w:vAlign w:val="top"/>
          </w:tcPr>
          <w:p w14:paraId="28EB88A6">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1天</w:t>
            </w:r>
          </w:p>
        </w:tc>
        <w:tc>
          <w:tcPr>
            <w:tcW w:w="2265" w:type="dxa"/>
            <w:vAlign w:val="top"/>
          </w:tcPr>
          <w:p w14:paraId="667A59B1">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26B70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6BA59B8C">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p>
        </w:tc>
        <w:tc>
          <w:tcPr>
            <w:tcW w:w="3405" w:type="dxa"/>
            <w:vAlign w:val="top"/>
          </w:tcPr>
          <w:p w14:paraId="2590A430">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铝扣板龙骨、石膏板龙骨及饰面拆除</w:t>
            </w:r>
          </w:p>
        </w:tc>
        <w:tc>
          <w:tcPr>
            <w:tcW w:w="1740" w:type="dxa"/>
            <w:vAlign w:val="top"/>
          </w:tcPr>
          <w:p w14:paraId="1C2CA47F">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1天</w:t>
            </w:r>
          </w:p>
        </w:tc>
        <w:tc>
          <w:tcPr>
            <w:tcW w:w="2265" w:type="dxa"/>
            <w:vAlign w:val="top"/>
          </w:tcPr>
          <w:p w14:paraId="30F15841">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48899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27900104">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w:t>
            </w:r>
          </w:p>
        </w:tc>
        <w:tc>
          <w:tcPr>
            <w:tcW w:w="3405" w:type="dxa"/>
            <w:vAlign w:val="top"/>
          </w:tcPr>
          <w:p w14:paraId="3A6C4A52">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拆除卫生间台面</w:t>
            </w:r>
          </w:p>
        </w:tc>
        <w:tc>
          <w:tcPr>
            <w:tcW w:w="1740" w:type="dxa"/>
            <w:vAlign w:val="top"/>
          </w:tcPr>
          <w:p w14:paraId="2B54E7A1">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1天</w:t>
            </w:r>
          </w:p>
        </w:tc>
        <w:tc>
          <w:tcPr>
            <w:tcW w:w="2265" w:type="dxa"/>
            <w:vAlign w:val="top"/>
          </w:tcPr>
          <w:p w14:paraId="05F27508">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0536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5DE8232B">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w:t>
            </w:r>
          </w:p>
        </w:tc>
        <w:tc>
          <w:tcPr>
            <w:tcW w:w="3405" w:type="dxa"/>
            <w:vAlign w:val="top"/>
          </w:tcPr>
          <w:p w14:paraId="4791BD41">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混凝土路面拆除</w:t>
            </w:r>
          </w:p>
        </w:tc>
        <w:tc>
          <w:tcPr>
            <w:tcW w:w="1740" w:type="dxa"/>
            <w:vAlign w:val="top"/>
          </w:tcPr>
          <w:p w14:paraId="290A1E77">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3天</w:t>
            </w:r>
          </w:p>
        </w:tc>
        <w:tc>
          <w:tcPr>
            <w:tcW w:w="2265" w:type="dxa"/>
            <w:vAlign w:val="top"/>
          </w:tcPr>
          <w:p w14:paraId="40E19F57">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3A7AA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51452C40">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w:t>
            </w:r>
          </w:p>
        </w:tc>
        <w:tc>
          <w:tcPr>
            <w:tcW w:w="3405" w:type="dxa"/>
            <w:vAlign w:val="top"/>
          </w:tcPr>
          <w:p w14:paraId="6AF4281D">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原有门窗拆除</w:t>
            </w:r>
          </w:p>
        </w:tc>
        <w:tc>
          <w:tcPr>
            <w:tcW w:w="1740" w:type="dxa"/>
            <w:vAlign w:val="top"/>
          </w:tcPr>
          <w:p w14:paraId="5A06846C">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1天</w:t>
            </w:r>
          </w:p>
        </w:tc>
        <w:tc>
          <w:tcPr>
            <w:tcW w:w="2265" w:type="dxa"/>
            <w:vAlign w:val="top"/>
          </w:tcPr>
          <w:p w14:paraId="0FA8E362">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0870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695EE6B4">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w:t>
            </w:r>
          </w:p>
        </w:tc>
        <w:tc>
          <w:tcPr>
            <w:tcW w:w="3405" w:type="dxa"/>
            <w:vAlign w:val="top"/>
          </w:tcPr>
          <w:p w14:paraId="7A4E5C21">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石膏板、</w:t>
            </w:r>
            <w:r>
              <w:rPr>
                <w:rFonts w:hint="eastAsia" w:ascii="仿宋" w:hAnsi="仿宋" w:eastAsia="仿宋" w:cs="仿宋"/>
                <w:sz w:val="24"/>
                <w:szCs w:val="24"/>
                <w:highlight w:val="none"/>
              </w:rPr>
              <w:t>铝扣板</w:t>
            </w:r>
            <w:r>
              <w:rPr>
                <w:rFonts w:hint="eastAsia" w:ascii="仿宋" w:hAnsi="仿宋" w:eastAsia="仿宋" w:cs="仿宋"/>
                <w:sz w:val="24"/>
                <w:szCs w:val="24"/>
                <w:highlight w:val="none"/>
                <w:lang w:val="en-US" w:eastAsia="zh-CN"/>
              </w:rPr>
              <w:t>吊顶</w:t>
            </w:r>
          </w:p>
        </w:tc>
        <w:tc>
          <w:tcPr>
            <w:tcW w:w="1740" w:type="dxa"/>
            <w:vAlign w:val="top"/>
          </w:tcPr>
          <w:p w14:paraId="3E93C5B8">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3天</w:t>
            </w:r>
          </w:p>
        </w:tc>
        <w:tc>
          <w:tcPr>
            <w:tcW w:w="2265" w:type="dxa"/>
            <w:vAlign w:val="top"/>
          </w:tcPr>
          <w:p w14:paraId="7C61DA3B">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1907D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173D9908">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w:t>
            </w:r>
          </w:p>
        </w:tc>
        <w:tc>
          <w:tcPr>
            <w:tcW w:w="3405" w:type="dxa"/>
            <w:vAlign w:val="top"/>
          </w:tcPr>
          <w:p w14:paraId="2A17A9E7">
            <w:pPr>
              <w:pStyle w:val="5"/>
              <w:keepNext w:val="0"/>
              <w:keepLines w:val="0"/>
              <w:widowControl/>
              <w:suppressLineNumbers w:val="0"/>
              <w:spacing w:line="240" w:lineRule="auto"/>
              <w:ind w:left="0" w:firstLine="0"/>
              <w:jc w:val="left"/>
              <w:textAlignment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墙面涂料、瓷砖、轻质隔墙、砖墙、墙面防火板铺贴新做</w:t>
            </w:r>
          </w:p>
        </w:tc>
        <w:tc>
          <w:tcPr>
            <w:tcW w:w="1740" w:type="dxa"/>
            <w:vAlign w:val="top"/>
          </w:tcPr>
          <w:p w14:paraId="6E4017EE">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7天</w:t>
            </w:r>
          </w:p>
        </w:tc>
        <w:tc>
          <w:tcPr>
            <w:tcW w:w="2265" w:type="dxa"/>
            <w:vAlign w:val="top"/>
          </w:tcPr>
          <w:p w14:paraId="502FC6AB">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4681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0292B8DF">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10</w:t>
            </w:r>
          </w:p>
        </w:tc>
        <w:tc>
          <w:tcPr>
            <w:tcW w:w="3405" w:type="dxa"/>
            <w:vAlign w:val="top"/>
          </w:tcPr>
          <w:p w14:paraId="428EA941">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玻化砖、防滑地砖、瓷片、微晶石、过门石、踢脚线铺设</w:t>
            </w:r>
          </w:p>
        </w:tc>
        <w:tc>
          <w:tcPr>
            <w:tcW w:w="1740" w:type="dxa"/>
            <w:vAlign w:val="top"/>
          </w:tcPr>
          <w:p w14:paraId="682DD55E">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3天</w:t>
            </w:r>
          </w:p>
        </w:tc>
        <w:tc>
          <w:tcPr>
            <w:tcW w:w="2265" w:type="dxa"/>
            <w:vAlign w:val="top"/>
          </w:tcPr>
          <w:p w14:paraId="0D7D9849">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220BD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62E83784">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11</w:t>
            </w:r>
          </w:p>
        </w:tc>
        <w:tc>
          <w:tcPr>
            <w:tcW w:w="3405" w:type="dxa"/>
            <w:vAlign w:val="top"/>
          </w:tcPr>
          <w:p w14:paraId="4941FFF5">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塑胶</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竹胶板地板</w:t>
            </w:r>
            <w:r>
              <w:rPr>
                <w:rFonts w:hint="eastAsia" w:ascii="仿宋" w:hAnsi="仿宋" w:eastAsia="仿宋" w:cs="仿宋"/>
                <w:sz w:val="24"/>
                <w:szCs w:val="24"/>
                <w:highlight w:val="none"/>
                <w:lang w:val="en-US" w:eastAsia="zh-CN"/>
              </w:rPr>
              <w:t>铺设</w:t>
            </w:r>
          </w:p>
        </w:tc>
        <w:tc>
          <w:tcPr>
            <w:tcW w:w="1740" w:type="dxa"/>
            <w:vAlign w:val="top"/>
          </w:tcPr>
          <w:p w14:paraId="1871684B">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2天</w:t>
            </w:r>
          </w:p>
        </w:tc>
        <w:tc>
          <w:tcPr>
            <w:tcW w:w="2265" w:type="dxa"/>
            <w:vAlign w:val="top"/>
          </w:tcPr>
          <w:p w14:paraId="784A0375">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1E61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10DCE905">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w:t>
            </w:r>
          </w:p>
        </w:tc>
        <w:tc>
          <w:tcPr>
            <w:tcW w:w="3405" w:type="dxa"/>
            <w:vAlign w:val="top"/>
          </w:tcPr>
          <w:p w14:paraId="3BA72F4F">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门窗框架安装、翻新、固定</w:t>
            </w:r>
          </w:p>
        </w:tc>
        <w:tc>
          <w:tcPr>
            <w:tcW w:w="1740" w:type="dxa"/>
            <w:vAlign w:val="top"/>
          </w:tcPr>
          <w:p w14:paraId="62BAED02">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15天</w:t>
            </w:r>
          </w:p>
        </w:tc>
        <w:tc>
          <w:tcPr>
            <w:tcW w:w="2265" w:type="dxa"/>
            <w:vAlign w:val="top"/>
          </w:tcPr>
          <w:p w14:paraId="0248EE2C">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4592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57A32710">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13</w:t>
            </w:r>
          </w:p>
        </w:tc>
        <w:tc>
          <w:tcPr>
            <w:tcW w:w="3405" w:type="dxa"/>
            <w:vAlign w:val="top"/>
          </w:tcPr>
          <w:p w14:paraId="38255F74">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门窗扇及玻璃安装</w:t>
            </w:r>
          </w:p>
        </w:tc>
        <w:tc>
          <w:tcPr>
            <w:tcW w:w="1740" w:type="dxa"/>
            <w:vAlign w:val="top"/>
          </w:tcPr>
          <w:p w14:paraId="53E27441">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15天</w:t>
            </w:r>
          </w:p>
        </w:tc>
        <w:tc>
          <w:tcPr>
            <w:tcW w:w="2265" w:type="dxa"/>
            <w:vAlign w:val="top"/>
          </w:tcPr>
          <w:p w14:paraId="331FC029">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16C57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5A47CB64">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w:t>
            </w:r>
          </w:p>
        </w:tc>
        <w:tc>
          <w:tcPr>
            <w:tcW w:w="3405" w:type="dxa"/>
            <w:vAlign w:val="top"/>
          </w:tcPr>
          <w:p w14:paraId="685B60EB">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新装卫生间台面</w:t>
            </w:r>
          </w:p>
        </w:tc>
        <w:tc>
          <w:tcPr>
            <w:tcW w:w="1740" w:type="dxa"/>
            <w:vAlign w:val="top"/>
          </w:tcPr>
          <w:p w14:paraId="1383EF1C">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10天</w:t>
            </w:r>
          </w:p>
        </w:tc>
        <w:tc>
          <w:tcPr>
            <w:tcW w:w="2265" w:type="dxa"/>
            <w:vAlign w:val="top"/>
          </w:tcPr>
          <w:p w14:paraId="72FA0B0A">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6220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1228CD30">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15</w:t>
            </w:r>
          </w:p>
        </w:tc>
        <w:tc>
          <w:tcPr>
            <w:tcW w:w="3405" w:type="dxa"/>
            <w:vAlign w:val="top"/>
          </w:tcPr>
          <w:p w14:paraId="6A071212">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地基开挖</w:t>
            </w:r>
          </w:p>
        </w:tc>
        <w:tc>
          <w:tcPr>
            <w:tcW w:w="1740" w:type="dxa"/>
            <w:vAlign w:val="top"/>
          </w:tcPr>
          <w:p w14:paraId="61F698C3">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3天</w:t>
            </w:r>
          </w:p>
        </w:tc>
        <w:tc>
          <w:tcPr>
            <w:tcW w:w="2265" w:type="dxa"/>
            <w:vAlign w:val="top"/>
          </w:tcPr>
          <w:p w14:paraId="7BC41BEA">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6D11A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346CA6B8">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16</w:t>
            </w:r>
          </w:p>
        </w:tc>
        <w:tc>
          <w:tcPr>
            <w:tcW w:w="3405" w:type="dxa"/>
            <w:vAlign w:val="top"/>
          </w:tcPr>
          <w:p w14:paraId="0C968F6A">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水泥混凝土道路面层</w:t>
            </w:r>
          </w:p>
        </w:tc>
        <w:tc>
          <w:tcPr>
            <w:tcW w:w="1740" w:type="dxa"/>
            <w:vAlign w:val="top"/>
          </w:tcPr>
          <w:p w14:paraId="433D84A6">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7天</w:t>
            </w:r>
          </w:p>
        </w:tc>
        <w:tc>
          <w:tcPr>
            <w:tcW w:w="2265" w:type="dxa"/>
            <w:vAlign w:val="top"/>
          </w:tcPr>
          <w:p w14:paraId="0FA5E6A3">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r w14:paraId="709C0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50" w:type="dxa"/>
            <w:vAlign w:val="top"/>
          </w:tcPr>
          <w:p w14:paraId="5A4EE571">
            <w:pPr>
              <w:spacing w:line="24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17</w:t>
            </w:r>
          </w:p>
        </w:tc>
        <w:tc>
          <w:tcPr>
            <w:tcW w:w="3405" w:type="dxa"/>
            <w:vAlign w:val="top"/>
          </w:tcPr>
          <w:p w14:paraId="391D58C2">
            <w:pPr>
              <w:spacing w:line="24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新装不锈钢玻璃隔断</w:t>
            </w:r>
          </w:p>
        </w:tc>
        <w:tc>
          <w:tcPr>
            <w:tcW w:w="1740" w:type="dxa"/>
            <w:vAlign w:val="top"/>
          </w:tcPr>
          <w:p w14:paraId="456F4F82">
            <w:pPr>
              <w:spacing w:line="240" w:lineRule="auto"/>
              <w:jc w:val="center"/>
              <w:rPr>
                <w:rFonts w:hint="eastAsia" w:ascii="仿宋" w:hAnsi="仿宋" w:eastAsia="仿宋" w:cs="仿宋"/>
                <w:highlight w:val="none"/>
                <w:vertAlign w:val="baseline"/>
                <w:lang w:val="en-US" w:eastAsia="zh-CN"/>
              </w:rPr>
            </w:pPr>
            <w:r>
              <w:rPr>
                <w:rFonts w:hint="eastAsia" w:ascii="仿宋" w:hAnsi="仿宋" w:eastAsia="仿宋" w:cs="仿宋"/>
                <w:highlight w:val="none"/>
                <w:vertAlign w:val="baseline"/>
                <w:lang w:val="en-US" w:eastAsia="zh-CN"/>
              </w:rPr>
              <w:t>10天</w:t>
            </w:r>
          </w:p>
        </w:tc>
        <w:tc>
          <w:tcPr>
            <w:tcW w:w="2265" w:type="dxa"/>
            <w:vAlign w:val="top"/>
          </w:tcPr>
          <w:p w14:paraId="0D5C8380">
            <w:pPr>
              <w:spacing w:line="240" w:lineRule="auto"/>
              <w:jc w:val="center"/>
              <w:rPr>
                <w:rFonts w:hint="eastAsia" w:ascii="仿宋" w:hAnsi="仿宋" w:eastAsia="仿宋" w:cs="仿宋"/>
                <w:highlight w:val="none"/>
                <w:vertAlign w:val="baseline"/>
              </w:rPr>
            </w:pPr>
            <w:r>
              <w:rPr>
                <w:rFonts w:hint="eastAsia" w:ascii="仿宋" w:hAnsi="仿宋" w:eastAsia="仿宋" w:cs="仿宋"/>
                <w:highlight w:val="none"/>
                <w:vertAlign w:val="baseline"/>
                <w:lang w:eastAsia="zh-CN"/>
              </w:rPr>
              <w:t>不大于</w:t>
            </w:r>
            <w:r>
              <w:rPr>
                <w:rFonts w:hint="eastAsia" w:ascii="仿宋" w:hAnsi="仿宋" w:eastAsia="仿宋" w:cs="仿宋"/>
                <w:highlight w:val="none"/>
                <w:vertAlign w:val="baseline"/>
                <w:lang w:val="en-US" w:eastAsia="zh-CN"/>
              </w:rPr>
              <w:t>10平方</w:t>
            </w:r>
          </w:p>
        </w:tc>
      </w:tr>
    </w:tbl>
    <w:p w14:paraId="3A8427A1">
      <w:pPr>
        <w:tabs>
          <w:tab w:val="left" w:pos="480"/>
        </w:tabs>
        <w:spacing w:line="360" w:lineRule="auto"/>
        <w:ind w:firstLine="480" w:firstLineChars="200"/>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具体以甲方开工报告为准。工期不变。</w:t>
      </w:r>
    </w:p>
    <w:p w14:paraId="40A27119">
      <w:pPr>
        <w:tabs>
          <w:tab w:val="left" w:pos="480"/>
        </w:tabs>
        <w:spacing w:line="360" w:lineRule="auto"/>
        <w:ind w:firstLine="480" w:firstLineChars="200"/>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1、在施工期间，乙方必须注意院内人员安全，加强安全防护措施，并对施工人员进行安全教育。施工人员必须持证上岗。因采购人工作的特殊性，要求乙方在施工中做到封闭性施工。</w:t>
      </w:r>
    </w:p>
    <w:p w14:paraId="62487763">
      <w:pPr>
        <w:tabs>
          <w:tab w:val="left" w:pos="480"/>
        </w:tabs>
        <w:spacing w:line="360" w:lineRule="auto"/>
        <w:ind w:leftChars="0" w:firstLine="480"/>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2、隐蔽工程在隐蔽前需进行分项验收，验收合格后乙方留存相关照片及资料。</w:t>
      </w:r>
    </w:p>
    <w:p w14:paraId="5ECB5300">
      <w:pPr>
        <w:tabs>
          <w:tab w:val="left" w:pos="480"/>
        </w:tabs>
        <w:spacing w:line="360" w:lineRule="auto"/>
        <w:ind w:firstLine="480"/>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3、在施工期间，乙方必须注意院内人员安全，加强安全防护及警示措施，并对施工人员进行安全教育。施工人员必须持证上岗。因采购人工作的特殊性，要求乙方在施工中做到封闭性施工。</w:t>
      </w:r>
    </w:p>
    <w:p w14:paraId="11529C9F">
      <w:pPr>
        <w:tabs>
          <w:tab w:val="left" w:pos="480"/>
        </w:tabs>
        <w:spacing w:line="360" w:lineRule="auto"/>
        <w:ind w:firstLine="480" w:firstLineChars="200"/>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4.材质要求:乙方投标时需提供市场中上等及以上档次材料附详细分项报价表(表中含名称、规格型号、品牌、数量、产地、单价等)，并经采购人认可方可施工。</w:t>
      </w:r>
    </w:p>
    <w:p w14:paraId="2ED530FD">
      <w:pPr>
        <w:tabs>
          <w:tab w:val="left" w:pos="480"/>
        </w:tabs>
        <w:spacing w:line="360" w:lineRule="auto"/>
        <w:ind w:firstLine="480" w:firstLineChars="200"/>
        <w:rPr>
          <w:rFonts w:hint="eastAsia" w:ascii="仿宋" w:hAnsi="仿宋" w:eastAsia="仿宋" w:cs="仿宋"/>
          <w:bCs/>
          <w:kern w:val="2"/>
          <w:sz w:val="24"/>
          <w:szCs w:val="24"/>
          <w:highlight w:val="none"/>
          <w:lang w:val="en-US" w:eastAsia="zh-CN" w:bidi="ar-SA"/>
        </w:rPr>
      </w:pPr>
      <w:r>
        <w:rPr>
          <w:rFonts w:hint="eastAsia" w:ascii="仿宋" w:hAnsi="仿宋" w:eastAsia="仿宋" w:cs="仿宋"/>
          <w:bCs/>
          <w:kern w:val="2"/>
          <w:sz w:val="24"/>
          <w:szCs w:val="24"/>
          <w:highlight w:val="none"/>
          <w:lang w:val="en-US" w:eastAsia="zh-CN" w:bidi="ar-SA"/>
        </w:rPr>
        <w:t>(1)工程所有材料质量必须符合国家标准和行业标准，并具有合格证或检验证；(2)所有进场材料须提供符合环保检测标准的相关证明文件，无法提供相关证明资料的可由采购人委托具备检测资质的第三方单位进行环保检测，产品检测不合格的，甲方有权要求乙方进行限期整改并报复检，检测及复检费用由乙方承担。进场材料检测合格后方可投入使用。</w:t>
      </w:r>
    </w:p>
    <w:p w14:paraId="2A6A9FE7">
      <w:pPr>
        <w:tabs>
          <w:tab w:val="left" w:pos="480"/>
        </w:tabs>
        <w:spacing w:line="360" w:lineRule="auto"/>
        <w:ind w:firstLine="480"/>
        <w:rPr>
          <w:rFonts w:hint="eastAsia" w:ascii="仿宋" w:hAnsi="仿宋" w:eastAsia="仿宋" w:cs="仿宋"/>
          <w:b w:val="0"/>
          <w:bCs/>
          <w:sz w:val="24"/>
          <w:szCs w:val="24"/>
          <w:highlight w:val="none"/>
        </w:rPr>
      </w:pPr>
      <w:r>
        <w:rPr>
          <w:rFonts w:hint="eastAsia" w:ascii="仿宋" w:hAnsi="仿宋" w:eastAsia="仿宋" w:cs="仿宋"/>
          <w:b w:val="0"/>
          <w:bCs/>
          <w:sz w:val="24"/>
          <w:szCs w:val="24"/>
          <w:highlight w:val="none"/>
        </w:rPr>
        <w:t>四、合同总价</w:t>
      </w:r>
    </w:p>
    <w:p w14:paraId="76C88601">
      <w:pPr>
        <w:tabs>
          <w:tab w:val="left" w:pos="48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bCs/>
          <w:sz w:val="24"/>
          <w:szCs w:val="24"/>
          <w:highlight w:val="none"/>
        </w:rPr>
        <w:t>（一）合同总价款人民币：</w:t>
      </w:r>
    </w:p>
    <w:p w14:paraId="7EDD4CE6">
      <w:pPr>
        <w:tabs>
          <w:tab w:val="left" w:pos="480"/>
        </w:tabs>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sz w:val="24"/>
          <w:szCs w:val="24"/>
          <w:highlight w:val="none"/>
        </w:rPr>
        <w:t>（二）合同总价包括：设备及材料供应费、运杂费、安装费、人工费、检测费、调试费、验收</w:t>
      </w:r>
      <w:r>
        <w:rPr>
          <w:rFonts w:hint="eastAsia" w:ascii="仿宋" w:hAnsi="仿宋" w:eastAsia="仿宋" w:cs="仿宋"/>
          <w:bCs/>
          <w:color w:val="auto"/>
          <w:sz w:val="24"/>
          <w:szCs w:val="24"/>
          <w:highlight w:val="none"/>
        </w:rPr>
        <w:t>、税费</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rPr>
        <w:t>拆除、垃圾清运、劳保统筹等费用。</w:t>
      </w:r>
    </w:p>
    <w:p w14:paraId="5D85D5A8">
      <w:pPr>
        <w:tabs>
          <w:tab w:val="left" w:pos="480"/>
        </w:tabs>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（三）</w:t>
      </w:r>
      <w:r>
        <w:rPr>
          <w:rFonts w:hint="eastAsia" w:ascii="仿宋" w:hAnsi="仿宋" w:eastAsia="仿宋" w:cs="仿宋"/>
          <w:bCs/>
          <w:color w:val="auto"/>
          <w:kern w:val="36"/>
          <w:sz w:val="24"/>
          <w:szCs w:val="24"/>
          <w:highlight w:val="none"/>
        </w:rPr>
        <w:t>本工程结算方式：以固定综合单价方式结算，最终工程总价款</w:t>
      </w:r>
      <w:r>
        <w:rPr>
          <w:rFonts w:hint="eastAsia" w:ascii="仿宋" w:hAnsi="仿宋" w:eastAsia="仿宋" w:cs="仿宋"/>
          <w:bCs/>
          <w:color w:val="auto"/>
          <w:kern w:val="36"/>
          <w:sz w:val="24"/>
          <w:szCs w:val="24"/>
          <w:highlight w:val="none"/>
          <w:lang w:val="en-US" w:eastAsia="zh-CN"/>
        </w:rPr>
        <w:t>需要乙方配合</w:t>
      </w:r>
      <w:r>
        <w:rPr>
          <w:rFonts w:hint="eastAsia" w:ascii="仿宋" w:hAnsi="仿宋" w:eastAsia="仿宋" w:cs="仿宋"/>
          <w:bCs/>
          <w:color w:val="auto"/>
          <w:kern w:val="36"/>
          <w:sz w:val="24"/>
          <w:szCs w:val="24"/>
          <w:highlight w:val="none"/>
        </w:rPr>
        <w:t>甲方</w:t>
      </w:r>
      <w:r>
        <w:rPr>
          <w:rFonts w:hint="eastAsia" w:ascii="仿宋" w:hAnsi="仿宋" w:eastAsia="仿宋" w:cs="仿宋"/>
          <w:bCs/>
          <w:color w:val="auto"/>
          <w:kern w:val="36"/>
          <w:sz w:val="24"/>
          <w:szCs w:val="24"/>
          <w:highlight w:val="none"/>
          <w:lang w:val="en-US" w:eastAsia="zh-CN"/>
        </w:rPr>
        <w:t>完成</w:t>
      </w:r>
      <w:r>
        <w:rPr>
          <w:rFonts w:hint="eastAsia" w:ascii="仿宋" w:hAnsi="仿宋" w:eastAsia="仿宋" w:cs="仿宋"/>
          <w:bCs/>
          <w:color w:val="auto"/>
          <w:kern w:val="36"/>
          <w:sz w:val="24"/>
          <w:szCs w:val="24"/>
          <w:highlight w:val="none"/>
          <w:lang w:eastAsia="zh-CN"/>
        </w:rPr>
        <w:t>审核</w:t>
      </w:r>
      <w:r>
        <w:rPr>
          <w:rFonts w:hint="eastAsia" w:ascii="仿宋" w:hAnsi="仿宋" w:eastAsia="仿宋" w:cs="仿宋"/>
          <w:bCs/>
          <w:color w:val="auto"/>
          <w:kern w:val="36"/>
          <w:sz w:val="24"/>
          <w:szCs w:val="24"/>
          <w:highlight w:val="none"/>
          <w:lang w:val="en-US" w:eastAsia="zh-CN"/>
        </w:rPr>
        <w:t>审定后支付</w:t>
      </w:r>
      <w:r>
        <w:rPr>
          <w:rFonts w:hint="eastAsia" w:ascii="仿宋" w:hAnsi="仿宋" w:eastAsia="仿宋" w:cs="仿宋"/>
          <w:bCs/>
          <w:color w:val="auto"/>
          <w:sz w:val="24"/>
          <w:szCs w:val="24"/>
          <w:highlight w:val="none"/>
        </w:rPr>
        <w:t>。</w:t>
      </w:r>
    </w:p>
    <w:p w14:paraId="0FF35768">
      <w:pPr>
        <w:spacing w:line="360" w:lineRule="auto"/>
        <w:ind w:firstLine="0" w:firstLineChars="0"/>
        <w:rPr>
          <w:rFonts w:hint="eastAsia" w:ascii="仿宋" w:hAnsi="仿宋" w:eastAsia="仿宋" w:cs="仿宋"/>
          <w:bCs/>
          <w:color w:val="auto"/>
          <w:kern w:val="36"/>
          <w:sz w:val="24"/>
          <w:szCs w:val="24"/>
          <w:highlight w:val="none"/>
        </w:rPr>
      </w:pPr>
      <w:r>
        <w:rPr>
          <w:rFonts w:hint="eastAsia" w:ascii="仿宋" w:hAnsi="仿宋" w:eastAsia="仿宋" w:cs="仿宋"/>
          <w:b/>
          <w:color w:val="auto"/>
          <w:sz w:val="24"/>
          <w:szCs w:val="24"/>
          <w:highlight w:val="none"/>
        </w:rPr>
        <w:t>五、款项结算：</w:t>
      </w:r>
    </w:p>
    <w:p w14:paraId="4CEFD2FF">
      <w:pPr>
        <w:tabs>
          <w:tab w:val="left" w:pos="480"/>
        </w:tabs>
        <w:spacing w:line="360" w:lineRule="auto"/>
        <w:ind w:firstLine="480" w:firstLineChars="200"/>
        <w:rPr>
          <w:rFonts w:hint="eastAsia" w:ascii="仿宋" w:hAnsi="仿宋" w:eastAsia="仿宋" w:cs="仿宋"/>
          <w:bCs/>
          <w:color w:val="auto"/>
          <w:kern w:val="36"/>
          <w:sz w:val="24"/>
          <w:szCs w:val="24"/>
          <w:highlight w:val="none"/>
        </w:rPr>
      </w:pPr>
      <w:r>
        <w:rPr>
          <w:rFonts w:hint="eastAsia" w:ascii="仿宋" w:hAnsi="仿宋" w:eastAsia="仿宋" w:cs="仿宋"/>
          <w:bCs/>
          <w:color w:val="auto"/>
          <w:kern w:val="36"/>
          <w:sz w:val="24"/>
          <w:szCs w:val="24"/>
          <w:highlight w:val="none"/>
        </w:rPr>
        <w:t>（一）付款方式：银行转账。</w:t>
      </w:r>
    </w:p>
    <w:p w14:paraId="41999A42">
      <w:pPr>
        <w:tabs>
          <w:tab w:val="left" w:pos="480"/>
        </w:tabs>
        <w:spacing w:line="360" w:lineRule="auto"/>
        <w:ind w:firstLine="480" w:firstLineChars="200"/>
        <w:rPr>
          <w:rFonts w:hint="eastAsia" w:ascii="仿宋" w:hAnsi="仿宋" w:eastAsia="仿宋" w:cs="仿宋"/>
          <w:bCs/>
          <w:color w:val="auto"/>
          <w:kern w:val="36"/>
          <w:sz w:val="24"/>
          <w:szCs w:val="24"/>
          <w:highlight w:val="none"/>
        </w:rPr>
      </w:pPr>
      <w:r>
        <w:rPr>
          <w:rFonts w:hint="eastAsia" w:ascii="仿宋" w:hAnsi="仿宋" w:eastAsia="仿宋" w:cs="仿宋"/>
          <w:bCs/>
          <w:color w:val="auto"/>
          <w:kern w:val="36"/>
          <w:sz w:val="24"/>
          <w:szCs w:val="24"/>
          <w:highlight w:val="none"/>
        </w:rPr>
        <w:t>付款</w:t>
      </w:r>
      <w:r>
        <w:rPr>
          <w:rFonts w:hint="eastAsia" w:ascii="仿宋" w:hAnsi="仿宋" w:eastAsia="仿宋" w:cs="仿宋"/>
          <w:bCs/>
          <w:color w:val="auto"/>
          <w:kern w:val="36"/>
          <w:sz w:val="24"/>
          <w:szCs w:val="24"/>
          <w:highlight w:val="none"/>
          <w:lang w:val="en-US" w:eastAsia="zh-CN"/>
        </w:rPr>
        <w:t>方式</w:t>
      </w:r>
      <w:r>
        <w:rPr>
          <w:rFonts w:hint="eastAsia" w:ascii="仿宋" w:hAnsi="仿宋" w:eastAsia="仿宋" w:cs="仿宋"/>
          <w:bCs/>
          <w:color w:val="auto"/>
          <w:kern w:val="36"/>
          <w:sz w:val="24"/>
          <w:szCs w:val="24"/>
          <w:highlight w:val="none"/>
        </w:rPr>
        <w:t>；</w:t>
      </w:r>
      <w:r>
        <w:rPr>
          <w:rFonts w:hint="eastAsia" w:ascii="仿宋" w:hAnsi="仿宋" w:eastAsia="仿宋" w:cs="仿宋"/>
          <w:bCs/>
          <w:color w:val="auto"/>
          <w:kern w:val="36"/>
          <w:sz w:val="24"/>
          <w:szCs w:val="24"/>
          <w:highlight w:val="none"/>
          <w:lang w:val="en-US" w:eastAsia="zh-CN"/>
        </w:rPr>
        <w:t>本合同有效期内，当维修面积累积达到20平方米后，</w:t>
      </w:r>
      <w:r>
        <w:rPr>
          <w:rFonts w:hint="eastAsia" w:ascii="仿宋" w:hAnsi="仿宋" w:eastAsia="仿宋" w:cs="仿宋"/>
          <w:bCs/>
          <w:color w:val="auto"/>
          <w:kern w:val="36"/>
          <w:sz w:val="24"/>
          <w:szCs w:val="24"/>
          <w:highlight w:val="none"/>
        </w:rPr>
        <w:t>乙方报送竣工资料，配合甲方完成</w:t>
      </w:r>
      <w:r>
        <w:rPr>
          <w:rFonts w:hint="eastAsia" w:ascii="仿宋" w:hAnsi="仿宋" w:eastAsia="仿宋" w:cs="仿宋"/>
          <w:bCs/>
          <w:color w:val="auto"/>
          <w:kern w:val="36"/>
          <w:sz w:val="24"/>
          <w:szCs w:val="24"/>
          <w:highlight w:val="none"/>
          <w:lang w:eastAsia="zh-CN"/>
        </w:rPr>
        <w:t>审核</w:t>
      </w:r>
      <w:r>
        <w:rPr>
          <w:rFonts w:hint="eastAsia" w:ascii="仿宋" w:hAnsi="仿宋" w:eastAsia="仿宋" w:cs="仿宋"/>
          <w:bCs/>
          <w:color w:val="auto"/>
          <w:kern w:val="36"/>
          <w:sz w:val="24"/>
          <w:szCs w:val="24"/>
          <w:highlight w:val="none"/>
        </w:rPr>
        <w:t>，</w:t>
      </w:r>
      <w:r>
        <w:rPr>
          <w:rFonts w:hint="eastAsia" w:ascii="仿宋" w:hAnsi="仿宋" w:eastAsia="仿宋" w:cs="仿宋"/>
          <w:bCs/>
          <w:color w:val="auto"/>
          <w:kern w:val="36"/>
          <w:sz w:val="24"/>
          <w:szCs w:val="24"/>
          <w:highlight w:val="none"/>
          <w:lang w:eastAsia="zh-CN"/>
        </w:rPr>
        <w:t>审核</w:t>
      </w:r>
      <w:r>
        <w:rPr>
          <w:rFonts w:hint="eastAsia" w:ascii="仿宋" w:hAnsi="仿宋" w:eastAsia="仿宋" w:cs="仿宋"/>
          <w:bCs/>
          <w:color w:val="auto"/>
          <w:kern w:val="36"/>
          <w:sz w:val="24"/>
          <w:szCs w:val="24"/>
          <w:highlight w:val="none"/>
          <w:lang w:val="en-US" w:eastAsia="zh-CN"/>
        </w:rPr>
        <w:t>完成一个月后且无质量问题，乙方开具发票</w:t>
      </w:r>
      <w:r>
        <w:rPr>
          <w:rFonts w:hint="eastAsia" w:ascii="仿宋" w:hAnsi="仿宋" w:eastAsia="仿宋" w:cs="仿宋"/>
          <w:bCs/>
          <w:color w:val="auto"/>
          <w:kern w:val="36"/>
          <w:sz w:val="24"/>
          <w:szCs w:val="24"/>
          <w:highlight w:val="none"/>
          <w:lang w:eastAsia="zh-CN"/>
        </w:rPr>
        <w:t>，</w:t>
      </w:r>
      <w:r>
        <w:rPr>
          <w:rFonts w:hint="eastAsia" w:ascii="仿宋" w:hAnsi="仿宋" w:eastAsia="仿宋" w:cs="仿宋"/>
          <w:bCs/>
          <w:color w:val="auto"/>
          <w:kern w:val="36"/>
          <w:sz w:val="24"/>
          <w:szCs w:val="24"/>
          <w:highlight w:val="none"/>
          <w:lang w:val="en-US" w:eastAsia="zh-CN"/>
        </w:rPr>
        <w:t>甲方收到发票后的10个工作</w:t>
      </w:r>
      <w:r>
        <w:rPr>
          <w:rFonts w:hint="eastAsia" w:ascii="仿宋" w:hAnsi="仿宋" w:eastAsia="仿宋" w:cs="仿宋"/>
          <w:bCs/>
          <w:color w:val="auto"/>
          <w:kern w:val="36"/>
          <w:sz w:val="24"/>
          <w:szCs w:val="24"/>
          <w:highlight w:val="none"/>
        </w:rPr>
        <w:t>日内，支付至</w:t>
      </w:r>
      <w:r>
        <w:rPr>
          <w:rFonts w:hint="eastAsia" w:ascii="仿宋" w:hAnsi="仿宋" w:eastAsia="仿宋" w:cs="仿宋"/>
          <w:bCs/>
          <w:color w:val="auto"/>
          <w:kern w:val="36"/>
          <w:sz w:val="24"/>
          <w:szCs w:val="24"/>
          <w:highlight w:val="none"/>
          <w:lang w:eastAsia="zh-CN"/>
        </w:rPr>
        <w:t>审核</w:t>
      </w:r>
      <w:r>
        <w:rPr>
          <w:rFonts w:hint="eastAsia" w:ascii="仿宋" w:hAnsi="仿宋" w:eastAsia="仿宋" w:cs="仿宋"/>
          <w:bCs/>
          <w:color w:val="auto"/>
          <w:kern w:val="36"/>
          <w:sz w:val="24"/>
          <w:szCs w:val="24"/>
          <w:highlight w:val="none"/>
        </w:rPr>
        <w:t>总价款。</w:t>
      </w:r>
    </w:p>
    <w:p w14:paraId="3803D0C5">
      <w:pPr>
        <w:tabs>
          <w:tab w:val="left" w:pos="480"/>
        </w:tabs>
        <w:spacing w:line="360" w:lineRule="auto"/>
        <w:ind w:firstLine="480" w:firstLineChars="200"/>
        <w:rPr>
          <w:rFonts w:hint="eastAsia" w:ascii="仿宋" w:hAnsi="仿宋" w:eastAsia="仿宋" w:cs="仿宋"/>
          <w:highlight w:val="none"/>
        </w:rPr>
      </w:pPr>
      <w:r>
        <w:rPr>
          <w:rFonts w:hint="eastAsia" w:ascii="仿宋" w:hAnsi="仿宋" w:eastAsia="仿宋" w:cs="仿宋"/>
          <w:bCs/>
          <w:color w:val="auto"/>
          <w:kern w:val="36"/>
          <w:sz w:val="24"/>
          <w:szCs w:val="24"/>
          <w:highlight w:val="none"/>
          <w:lang w:eastAsia="zh-CN"/>
        </w:rPr>
        <w:t>若合同期满，</w:t>
      </w:r>
      <w:r>
        <w:rPr>
          <w:rFonts w:hint="eastAsia" w:ascii="仿宋" w:hAnsi="仿宋" w:eastAsia="仿宋" w:cs="仿宋"/>
          <w:bCs/>
          <w:color w:val="auto"/>
          <w:kern w:val="36"/>
          <w:sz w:val="24"/>
          <w:szCs w:val="24"/>
          <w:highlight w:val="none"/>
          <w:lang w:val="en-US" w:eastAsia="zh-CN"/>
        </w:rPr>
        <w:t>乙方维修累积面积</w:t>
      </w:r>
      <w:r>
        <w:rPr>
          <w:rFonts w:hint="eastAsia" w:ascii="仿宋" w:hAnsi="仿宋" w:eastAsia="仿宋" w:cs="仿宋"/>
          <w:bCs/>
          <w:color w:val="auto"/>
          <w:kern w:val="36"/>
          <w:sz w:val="24"/>
          <w:szCs w:val="24"/>
          <w:highlight w:val="none"/>
          <w:lang w:eastAsia="zh-CN"/>
        </w:rPr>
        <w:t>未达</w:t>
      </w:r>
      <w:r>
        <w:rPr>
          <w:rFonts w:hint="eastAsia" w:ascii="仿宋" w:hAnsi="仿宋" w:eastAsia="仿宋" w:cs="仿宋"/>
          <w:bCs/>
          <w:color w:val="auto"/>
          <w:kern w:val="36"/>
          <w:sz w:val="24"/>
          <w:szCs w:val="24"/>
          <w:highlight w:val="none"/>
          <w:lang w:val="en-US" w:eastAsia="zh-CN"/>
        </w:rPr>
        <w:t>20平方米，乙方仍应报送竣工资料，配合甲方完成审核审定，审核审定完成一个月后且无质量问题，乙方开具发票，甲方收到发票后的10个工作日内，支付至审核审定的总价款。</w:t>
      </w:r>
    </w:p>
    <w:p w14:paraId="73B4AE66">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（二）支付方式：银行转账。</w:t>
      </w:r>
    </w:p>
    <w:p w14:paraId="4CBDDC68">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通过银行转账方式将款项转入乙方银行账户。乙方银行账户信息如下：</w:t>
      </w:r>
    </w:p>
    <w:p w14:paraId="7F9D5FA7">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账户全称：</w:t>
      </w:r>
    </w:p>
    <w:p w14:paraId="77F997D5">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账    号：</w:t>
      </w:r>
    </w:p>
    <w:p w14:paraId="058159CB">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开 户 行：</w:t>
      </w:r>
    </w:p>
    <w:p w14:paraId="6B80862E">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甲方仅认可上述指定账户并向该账户付款，甲方有权拒绝向指定账户之外的任何账户付款，并且由此导致的付款延迟责任由乙方承担。</w:t>
      </w:r>
    </w:p>
    <w:p w14:paraId="17C3C16B">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 xml:space="preserve">乙方要如实开具发票，不得变更开票内容，乙方开具发票出现税务争议时，乙方需承担税款、滞纳金、罚款等赔偿责任以及其他相关责任。 </w:t>
      </w:r>
    </w:p>
    <w:p w14:paraId="45C42357">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（三）结算方式：乙方持成交通知书、合同、正式发票、验收单，与甲方进行结算。</w:t>
      </w:r>
    </w:p>
    <w:p w14:paraId="25B4F078">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（四）在本工程施工过程中，若发生设计变更及签证，按下列规定执行：</w:t>
      </w:r>
    </w:p>
    <w:p w14:paraId="1D520D22">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①合同中已有适用于变更工程的综合单价或价格，按合同已有的综合单价或价格变更合同价款；</w:t>
      </w:r>
    </w:p>
    <w:p w14:paraId="377C54FC">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②合同中只有类似于变更工程的综合单价或价格，可以参照类似综合单价或价格变更合同价款；</w:t>
      </w:r>
    </w:p>
    <w:p w14:paraId="29373D17">
      <w:pPr>
        <w:tabs>
          <w:tab w:val="left" w:pos="480"/>
        </w:tabs>
        <w:spacing w:line="360" w:lineRule="auto"/>
        <w:ind w:firstLine="480" w:firstLineChars="200"/>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③合同中没有适用及类似变更工程的综合单价或价格，由甲方以编制最高限价当期的信息价进行组价，并按甲方认质认价办法进行材料认价后，同时按照最高投标限价与中标价的下浮率计算后的综合单价或价格，进行结算。</w:t>
      </w:r>
    </w:p>
    <w:p w14:paraId="6EC0F365">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六、双方的权利和义务：</w:t>
      </w:r>
    </w:p>
    <w:p w14:paraId="163AA178">
      <w:pPr>
        <w:spacing w:line="360" w:lineRule="auto"/>
        <w:ind w:firstLine="470" w:firstLineChars="196"/>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（一）甲方的权利和义务</w:t>
      </w:r>
    </w:p>
    <w:p w14:paraId="45A0D891">
      <w:pPr>
        <w:spacing w:line="360" w:lineRule="auto"/>
        <w:ind w:firstLine="470" w:firstLineChars="196"/>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1、甲方向乙方施工现场提供水、电保障，并设置现场监理人员。</w:t>
      </w:r>
    </w:p>
    <w:p w14:paraId="542ACBDA">
      <w:pPr>
        <w:spacing w:line="360" w:lineRule="auto"/>
        <w:ind w:firstLine="470" w:firstLineChars="196"/>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2、由于乙方原因不能按合同约定履约，甲方有权扣留剩余款项，作为对甲方损失的赔偿，剩余款项</w:t>
      </w:r>
      <w:r>
        <w:rPr>
          <w:rFonts w:hint="eastAsia" w:ascii="仿宋" w:hAnsi="仿宋" w:eastAsia="仿宋" w:cs="仿宋"/>
          <w:bCs/>
          <w:kern w:val="36"/>
          <w:sz w:val="24"/>
          <w:szCs w:val="24"/>
          <w:highlight w:val="none"/>
          <w:lang w:eastAsia="zh-CN"/>
        </w:rPr>
        <w:t>已支</w:t>
      </w:r>
      <w:r>
        <w:rPr>
          <w:rFonts w:hint="eastAsia" w:ascii="仿宋" w:hAnsi="仿宋" w:eastAsia="仿宋" w:cs="仿宋"/>
          <w:bCs/>
          <w:kern w:val="36"/>
          <w:sz w:val="24"/>
          <w:szCs w:val="24"/>
          <w:highlight w:val="none"/>
        </w:rPr>
        <w:t>付或不足以赔偿甲方损失的，由乙方另行支付。</w:t>
      </w:r>
    </w:p>
    <w:p w14:paraId="1BF90361">
      <w:pPr>
        <w:spacing w:line="360" w:lineRule="auto"/>
        <w:ind w:firstLine="470" w:firstLineChars="196"/>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3、甲方有权对施工现场进行管理、监督。</w:t>
      </w:r>
    </w:p>
    <w:p w14:paraId="7D7B88E7">
      <w:pPr>
        <w:spacing w:line="360" w:lineRule="auto"/>
        <w:ind w:firstLine="470" w:firstLineChars="196"/>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4、甲方应积极配合乙方办理其他与该工程相关手续。</w:t>
      </w:r>
    </w:p>
    <w:p w14:paraId="5548AF7B">
      <w:pPr>
        <w:spacing w:line="360" w:lineRule="auto"/>
        <w:ind w:firstLine="470" w:firstLineChars="196"/>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5、甲方应按合同约定支付合同款项。</w:t>
      </w:r>
    </w:p>
    <w:p w14:paraId="5B0CA2C3">
      <w:pPr>
        <w:spacing w:line="360" w:lineRule="auto"/>
        <w:ind w:firstLine="470" w:firstLineChars="196"/>
        <w:rPr>
          <w:rFonts w:hint="eastAsia" w:ascii="仿宋" w:hAnsi="仿宋" w:eastAsia="仿宋" w:cs="仿宋"/>
          <w:bCs/>
          <w:kern w:val="36"/>
          <w:sz w:val="24"/>
          <w:szCs w:val="24"/>
          <w:highlight w:val="none"/>
          <w:lang w:val="en-US" w:eastAsia="zh-CN"/>
        </w:rPr>
      </w:pPr>
      <w:r>
        <w:rPr>
          <w:rFonts w:hint="eastAsia" w:ascii="仿宋" w:hAnsi="仿宋" w:eastAsia="仿宋" w:cs="仿宋"/>
          <w:bCs/>
          <w:kern w:val="36"/>
          <w:sz w:val="24"/>
          <w:szCs w:val="24"/>
          <w:highlight w:val="none"/>
          <w:lang w:val="en-US" w:eastAsia="zh-CN"/>
        </w:rPr>
        <w:t>6、每次付款前，乙方需向甲方提供等额正式的增值税发票，否则甲方有权不予付款。</w:t>
      </w:r>
    </w:p>
    <w:p w14:paraId="1E2777E9">
      <w:pPr>
        <w:spacing w:line="360" w:lineRule="auto"/>
        <w:ind w:firstLine="470" w:firstLineChars="196"/>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（二）乙方的权利和义务</w:t>
      </w:r>
    </w:p>
    <w:p w14:paraId="1F9E116F">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1、乙方进场施工期间应严格遵守《建筑安装工程技术规程》、《建筑安装工人安全操作规程》、《中华人民共和国消防条例》和其他相关的法规、规范，组织施工。</w:t>
      </w:r>
    </w:p>
    <w:p w14:paraId="2ED99373">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2、乙方必须设置施工现场安全管理人员及专职安全员，杜绝违规施工，其中乙方施工人员（电工、水工、电气焊工）必须持证上岗。</w:t>
      </w:r>
    </w:p>
    <w:p w14:paraId="0D69299C">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3、乙方必须对施工地域环境卫生、人员安全、生产安全、防火安全负全责。灭火器具是进入施工现场的必备条件（自备）。施工现场的各种活动须服从甲方相关部门的管理、监督，同时做好与其它施工人员的交叉作业及配合工作。</w:t>
      </w:r>
    </w:p>
    <w:p w14:paraId="39D67212">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4、乙方必须加强对施工现场的安全监督、管理，对进入现场的易燃材料生产工具应指定专人管理，必要时派人驻守。对当日产生的易燃废料需当日清理出施工现场，堆放到甲方制定区域，当日应及时清理出院，消除安全隐患。</w:t>
      </w:r>
    </w:p>
    <w:p w14:paraId="5F796742">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5、乙方负责办理解决相关工程开工前后的各项必备手续，同时承担相应的费用支出。</w:t>
      </w:r>
    </w:p>
    <w:p w14:paraId="7E230E17">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6、乙方施工人员要安全施工，不准赤脚或穿高跟鞋、拖鞋和裙子进入施工场地；高空作业时必须系安全带，佩戴安全帽，不得穿硬底鞋及带钉易打滑的鞋；不准违章指挥，违章作业及冒险作业；不准从高处往下抛投物料；不准酒后上岗。</w:t>
      </w:r>
    </w:p>
    <w:p w14:paraId="776F30A6">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7、乙方施工人员要严防火灾，不准在禁止烟火的地方动用明火；要文明施工，不得在施工现场戏耍和打架斗殴；施工现场禁止吸烟；要注意用电安全，电器开关要设箱加锁，不准乱拉乱接电线；要严防破坏，同时按甲方要求做好施工现场的安全围挡，围挡要和甲方大环境匹配，美观、大方、标识清晰、安全警示标语明显，防护措施到位。</w:t>
      </w:r>
    </w:p>
    <w:p w14:paraId="5EA7CFCF">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8、违反以上约定者，甲方现场管理人员有权制止其行为并劝其离场，乙方应停工整顿且工期不顺延（停工期间造成的损失由乙方自行承担）。如乙方人员违反以上约定3次，甲方有权单方解除合同，合同自书面解除通知送达乙方之日解除，乙方除应赔偿由此给甲方造成的全部损失外，还应按照合同</w:t>
      </w:r>
      <w:r>
        <w:rPr>
          <w:rFonts w:hint="eastAsia" w:ascii="仿宋" w:hAnsi="仿宋" w:eastAsia="仿宋" w:cs="仿宋"/>
          <w:bCs/>
          <w:kern w:val="36"/>
          <w:sz w:val="24"/>
          <w:szCs w:val="24"/>
          <w:highlight w:val="none"/>
          <w:lang w:val="en-US" w:eastAsia="zh-CN"/>
        </w:rPr>
        <w:t>预算</w:t>
      </w:r>
      <w:r>
        <w:rPr>
          <w:rFonts w:hint="eastAsia" w:ascii="仿宋" w:hAnsi="仿宋" w:eastAsia="仿宋" w:cs="仿宋"/>
          <w:bCs/>
          <w:kern w:val="36"/>
          <w:sz w:val="24"/>
          <w:szCs w:val="24"/>
          <w:highlight w:val="none"/>
        </w:rPr>
        <w:t>总价的30%承担违约金。</w:t>
      </w:r>
    </w:p>
    <w:p w14:paraId="21B0554F">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9、由于乙方</w:t>
      </w:r>
      <w:r>
        <w:rPr>
          <w:rFonts w:hint="eastAsia" w:ascii="仿宋" w:hAnsi="仿宋" w:eastAsia="仿宋" w:cs="仿宋"/>
          <w:sz w:val="24"/>
          <w:szCs w:val="24"/>
          <w:highlight w:val="none"/>
        </w:rPr>
        <w:t>提供的材料、设备的质量原因、施工质量等原因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或是</w:t>
      </w:r>
      <w:r>
        <w:rPr>
          <w:rFonts w:hint="eastAsia" w:ascii="仿宋" w:hAnsi="仿宋" w:eastAsia="仿宋" w:cs="仿宋"/>
          <w:bCs/>
          <w:kern w:val="36"/>
          <w:sz w:val="24"/>
          <w:szCs w:val="24"/>
          <w:highlight w:val="none"/>
        </w:rPr>
        <w:t>在施工过程中施工组织管理不当违反安全规程、消防安全条例发生安全或火灾事故所造成的</w:t>
      </w:r>
      <w:r>
        <w:rPr>
          <w:rFonts w:hint="eastAsia" w:ascii="仿宋" w:hAnsi="仿宋" w:eastAsia="仿宋" w:cs="仿宋"/>
          <w:bCs/>
          <w:kern w:val="36"/>
          <w:sz w:val="24"/>
          <w:szCs w:val="24"/>
          <w:highlight w:val="none"/>
          <w:lang w:val="en-US" w:eastAsia="zh-CN"/>
        </w:rPr>
        <w:t>质量事故、</w:t>
      </w:r>
      <w:r>
        <w:rPr>
          <w:rFonts w:hint="eastAsia" w:ascii="仿宋" w:hAnsi="仿宋" w:eastAsia="仿宋" w:cs="仿宋"/>
          <w:bCs/>
          <w:kern w:val="36"/>
          <w:sz w:val="24"/>
          <w:szCs w:val="24"/>
          <w:highlight w:val="none"/>
        </w:rPr>
        <w:t>安全责任事故、经济损失及人身伤亡，乙方承担全部责任，甲方概不负责。在施工中如发生事故造成甲方财产经济损失、人身伤亡，</w:t>
      </w:r>
      <w:r>
        <w:rPr>
          <w:rFonts w:hint="eastAsia" w:ascii="仿宋" w:hAnsi="仿宋" w:eastAsia="仿宋" w:cs="仿宋"/>
          <w:bCs/>
          <w:kern w:val="36"/>
          <w:sz w:val="24"/>
          <w:szCs w:val="24"/>
          <w:highlight w:val="none"/>
          <w:lang w:val="en-US" w:eastAsia="zh-CN"/>
        </w:rPr>
        <w:t>由</w:t>
      </w:r>
      <w:r>
        <w:rPr>
          <w:rFonts w:hint="eastAsia" w:ascii="仿宋" w:hAnsi="仿宋" w:eastAsia="仿宋" w:cs="仿宋"/>
          <w:bCs/>
          <w:kern w:val="36"/>
          <w:sz w:val="24"/>
          <w:szCs w:val="24"/>
          <w:highlight w:val="none"/>
        </w:rPr>
        <w:t>乙方承担全部责任。</w:t>
      </w:r>
    </w:p>
    <w:p w14:paraId="1E1D56B3">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10、乙方施工材料、沙土、水泥需在甲方指定地点有序堆放，建筑垃圾应24小时内清理倒运，严禁随意乱堆乱放，影响院内大环境及道路畅通。</w:t>
      </w:r>
    </w:p>
    <w:p w14:paraId="1A669C22">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11、乙方应在甲方的配合下，全权办理与该工程验收所有手续。</w:t>
      </w:r>
    </w:p>
    <w:p w14:paraId="4A902394">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12、工程施工期间，因施工造成甲乙单位，或第三方人员财务损失，由乙方承担赔偿损失。如发生劳动争议与甲方无关，一切责任乙方承担。</w:t>
      </w:r>
    </w:p>
    <w:p w14:paraId="302D5AC7">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13、乙方违反上述任一约定，均视为违约，每违反一次扣除合同</w:t>
      </w:r>
      <w:r>
        <w:rPr>
          <w:rFonts w:hint="eastAsia" w:ascii="仿宋" w:hAnsi="仿宋" w:eastAsia="仿宋" w:cs="仿宋"/>
          <w:bCs/>
          <w:kern w:val="36"/>
          <w:sz w:val="24"/>
          <w:szCs w:val="24"/>
          <w:highlight w:val="none"/>
          <w:lang w:val="en-US" w:eastAsia="zh-CN"/>
        </w:rPr>
        <w:t>预算</w:t>
      </w:r>
      <w:r>
        <w:rPr>
          <w:rFonts w:hint="eastAsia" w:ascii="仿宋" w:hAnsi="仿宋" w:eastAsia="仿宋" w:cs="仿宋"/>
          <w:bCs/>
          <w:kern w:val="36"/>
          <w:sz w:val="24"/>
          <w:szCs w:val="24"/>
          <w:highlight w:val="none"/>
        </w:rPr>
        <w:t>总价的5%，并承担由此造成的全部损失，累计超过3次的，视为乙方根本违约，甲方有权解除合同，合同自书面解除通知乙方之日解除，乙方除应赔偿由此给甲方造成的全部损失外，还应按照合同</w:t>
      </w:r>
      <w:r>
        <w:rPr>
          <w:rFonts w:hint="eastAsia" w:ascii="仿宋" w:hAnsi="仿宋" w:eastAsia="仿宋" w:cs="仿宋"/>
          <w:bCs/>
          <w:kern w:val="36"/>
          <w:sz w:val="24"/>
          <w:szCs w:val="24"/>
          <w:highlight w:val="none"/>
          <w:lang w:val="en-US" w:eastAsia="zh-CN"/>
        </w:rPr>
        <w:t>预算</w:t>
      </w:r>
      <w:r>
        <w:rPr>
          <w:rFonts w:hint="eastAsia" w:ascii="仿宋" w:hAnsi="仿宋" w:eastAsia="仿宋" w:cs="仿宋"/>
          <w:bCs/>
          <w:kern w:val="36"/>
          <w:sz w:val="24"/>
          <w:szCs w:val="24"/>
          <w:highlight w:val="none"/>
        </w:rPr>
        <w:t>总价的30%承担违约金。</w:t>
      </w:r>
    </w:p>
    <w:p w14:paraId="0A18F5C9">
      <w:pPr>
        <w:spacing w:line="360" w:lineRule="auto"/>
        <w:ind w:firstLine="480" w:firstLineChars="200"/>
        <w:contextualSpacing/>
        <w:rPr>
          <w:rFonts w:hint="eastAsia" w:ascii="仿宋" w:hAnsi="仿宋" w:eastAsia="仿宋" w:cs="仿宋"/>
          <w:bCs/>
          <w:kern w:val="36"/>
          <w:sz w:val="24"/>
          <w:szCs w:val="24"/>
          <w:highlight w:val="none"/>
        </w:rPr>
      </w:pPr>
      <w:r>
        <w:rPr>
          <w:rFonts w:hint="eastAsia" w:ascii="仿宋" w:hAnsi="仿宋" w:eastAsia="仿宋" w:cs="仿宋"/>
          <w:bCs/>
          <w:kern w:val="36"/>
          <w:sz w:val="24"/>
          <w:szCs w:val="24"/>
          <w:highlight w:val="none"/>
        </w:rPr>
        <w:t>14、乙方需为现场施工人员购买人身意外保险，保险费用由乙方自行承担。</w:t>
      </w:r>
    </w:p>
    <w:p w14:paraId="292D3AB4">
      <w:pPr>
        <w:tabs>
          <w:tab w:val="left" w:pos="48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七、运输</w:t>
      </w:r>
    </w:p>
    <w:p w14:paraId="5BBEFA35">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（一）运输由乙方负责，运杂费已包含在合同总价内，包括从货物供应地点所含的运输费、装卸费、仓储费、保险费等。</w:t>
      </w:r>
    </w:p>
    <w:p w14:paraId="088B4905">
      <w:pPr>
        <w:tabs>
          <w:tab w:val="left" w:pos="480"/>
        </w:tabs>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（二）运输方式由乙方自行选择，但必须保证按期交付。</w:t>
      </w:r>
    </w:p>
    <w:p w14:paraId="6D2D686A">
      <w:pPr>
        <w:tabs>
          <w:tab w:val="left" w:pos="1155"/>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八、质量保证</w:t>
      </w:r>
    </w:p>
    <w:p w14:paraId="098CD049">
      <w:pPr>
        <w:spacing w:line="360" w:lineRule="auto"/>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乙方应保质保量按照甲方要求施工，工程完工后甲方按照国家相关技术规范要求进行验收。乙方若不按甲方要求施工的，甲方有权要求乙方停工，乙方应在甲方规定期限内进行整改，停工期间工期不顺延，由此产生的费用及损失，乙方自行承担；乙方累计停工超过约定工期一半天数的，视为乙方根本违约，甲方有权单方解除合同，合同自书面解除通知送达乙方之日解除，乙方除应赔偿由此给甲方造成的全部损失外，还应按照合同</w:t>
      </w:r>
      <w:r>
        <w:rPr>
          <w:rFonts w:hint="eastAsia" w:ascii="仿宋" w:hAnsi="仿宋" w:eastAsia="仿宋" w:cs="仿宋"/>
          <w:bCs/>
          <w:sz w:val="24"/>
          <w:szCs w:val="24"/>
          <w:highlight w:val="none"/>
          <w:lang w:val="en-US" w:eastAsia="zh-CN"/>
        </w:rPr>
        <w:t>预算</w:t>
      </w:r>
      <w:r>
        <w:rPr>
          <w:rFonts w:hint="eastAsia" w:ascii="仿宋" w:hAnsi="仿宋" w:eastAsia="仿宋" w:cs="仿宋"/>
          <w:bCs/>
          <w:sz w:val="24"/>
          <w:szCs w:val="24"/>
          <w:highlight w:val="none"/>
        </w:rPr>
        <w:t>总价的30%承担违约金。</w:t>
      </w:r>
    </w:p>
    <w:p w14:paraId="7C36A887">
      <w:pPr>
        <w:spacing w:line="360" w:lineRule="auto"/>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（二）乙方应妥善保护甲方提供的设备及现场放置的陈设、工程成品及甲供主材，如造成损失，乙方照价赔偿。</w:t>
      </w:r>
    </w:p>
    <w:p w14:paraId="762C1403">
      <w:pPr>
        <w:spacing w:line="360" w:lineRule="auto"/>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（三）未经甲方书面同意，乙方擅自拆改原有建筑物的结构或设备管线，由此发生的损失或事故（包括罚款），由乙方负责并承担全部责任。</w:t>
      </w:r>
    </w:p>
    <w:p w14:paraId="3F006E46">
      <w:pPr>
        <w:spacing w:line="360" w:lineRule="auto"/>
        <w:contextualSpacing/>
        <w:rPr>
          <w:rFonts w:hint="eastAsia" w:ascii="仿宋" w:hAnsi="仿宋" w:eastAsia="仿宋" w:cs="仿宋"/>
          <w:b/>
          <w:sz w:val="24"/>
          <w:szCs w:val="24"/>
          <w:highlight w:val="none"/>
        </w:rPr>
      </w:pPr>
      <w:r>
        <w:rPr>
          <w:rFonts w:hint="eastAsia" w:ascii="仿宋" w:hAnsi="仿宋" w:eastAsia="仿宋" w:cs="仿宋"/>
          <w:b/>
          <w:sz w:val="24"/>
          <w:szCs w:val="24"/>
          <w:highlight w:val="none"/>
        </w:rPr>
        <w:t>九、特殊要求：</w:t>
      </w:r>
    </w:p>
    <w:p w14:paraId="49477E69">
      <w:pPr>
        <w:spacing w:line="360" w:lineRule="auto"/>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（一）因甲方为一所三级甲等医院，就诊患者较多人员较为复杂，病员均为特殊群体，甲方要求在施工过程当中，始终以患者为第一，任何工程开展</w:t>
      </w:r>
      <w:r>
        <w:rPr>
          <w:rFonts w:hint="eastAsia" w:ascii="仿宋" w:hAnsi="仿宋" w:eastAsia="仿宋" w:cs="仿宋"/>
          <w:bCs/>
          <w:sz w:val="24"/>
          <w:szCs w:val="24"/>
          <w:highlight w:val="none"/>
          <w:lang w:eastAsia="zh-CN"/>
        </w:rPr>
        <w:t>绝不能</w:t>
      </w:r>
      <w:r>
        <w:rPr>
          <w:rFonts w:hint="eastAsia" w:ascii="仿宋" w:hAnsi="仿宋" w:eastAsia="仿宋" w:cs="仿宋"/>
          <w:bCs/>
          <w:sz w:val="24"/>
          <w:szCs w:val="24"/>
          <w:highlight w:val="none"/>
        </w:rPr>
        <w:t>影响患者正常就诊。</w:t>
      </w:r>
    </w:p>
    <w:p w14:paraId="4EAC1846">
      <w:pPr>
        <w:spacing w:line="360" w:lineRule="auto"/>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 xml:space="preserve">（二）无论工程大小难易以及节假日与夜间施工，要求乙方积极组织施工力量正常施工，服从甲方工作安排。 </w:t>
      </w:r>
    </w:p>
    <w:p w14:paraId="6BA0D672">
      <w:pPr>
        <w:spacing w:line="360" w:lineRule="auto"/>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（三）乙方对</w:t>
      </w:r>
      <w:r>
        <w:rPr>
          <w:rFonts w:hint="eastAsia" w:ascii="仿宋" w:hAnsi="仿宋" w:eastAsia="仿宋" w:cs="仿宋"/>
          <w:bCs/>
          <w:sz w:val="24"/>
          <w:szCs w:val="24"/>
          <w:highlight w:val="none"/>
          <w:lang w:val="en-US" w:eastAsia="zh-CN"/>
        </w:rPr>
        <w:t>甲方</w:t>
      </w:r>
      <w:r>
        <w:rPr>
          <w:rFonts w:hint="eastAsia" w:ascii="仿宋" w:hAnsi="仿宋" w:eastAsia="仿宋" w:cs="仿宋"/>
          <w:bCs/>
          <w:sz w:val="24"/>
          <w:szCs w:val="24"/>
          <w:highlight w:val="none"/>
        </w:rPr>
        <w:t>突发公共</w:t>
      </w:r>
      <w:r>
        <w:rPr>
          <w:rFonts w:hint="eastAsia" w:ascii="仿宋" w:hAnsi="仿宋" w:eastAsia="仿宋" w:cs="仿宋"/>
          <w:bCs/>
          <w:sz w:val="24"/>
          <w:szCs w:val="24"/>
          <w:highlight w:val="none"/>
          <w:lang w:eastAsia="zh-CN"/>
        </w:rPr>
        <w:t>卫生</w:t>
      </w:r>
      <w:r>
        <w:rPr>
          <w:rFonts w:hint="eastAsia" w:ascii="仿宋" w:hAnsi="仿宋" w:eastAsia="仿宋" w:cs="仿宋"/>
          <w:bCs/>
          <w:sz w:val="24"/>
          <w:szCs w:val="24"/>
          <w:highlight w:val="none"/>
        </w:rPr>
        <w:t>事件及各项应急预案应积极响应并派员配合及协助工作，不得拒绝推诿。</w:t>
      </w:r>
    </w:p>
    <w:p w14:paraId="4E7B7372">
      <w:pPr>
        <w:spacing w:line="360" w:lineRule="auto"/>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（四）工程开工后乙方未接到甲方书面通知，无故连续停工3天以上，视为乙方自动终止合同，甲方无需支付乙方因工程而产生的任何费用并保留追诉乙方给甲方带来损失的权</w:t>
      </w:r>
      <w:r>
        <w:rPr>
          <w:rFonts w:hint="eastAsia" w:ascii="仿宋" w:hAnsi="仿宋" w:eastAsia="仿宋" w:cs="仿宋"/>
          <w:bCs/>
          <w:sz w:val="24"/>
          <w:szCs w:val="24"/>
          <w:highlight w:val="none"/>
          <w:lang w:val="en-US" w:eastAsia="zh-CN"/>
        </w:rPr>
        <w:t>利</w:t>
      </w:r>
      <w:r>
        <w:rPr>
          <w:rFonts w:hint="eastAsia" w:ascii="仿宋" w:hAnsi="仿宋" w:eastAsia="仿宋" w:cs="仿宋"/>
          <w:bCs/>
          <w:sz w:val="24"/>
          <w:szCs w:val="24"/>
          <w:highlight w:val="none"/>
        </w:rPr>
        <w:t>。</w:t>
      </w:r>
    </w:p>
    <w:p w14:paraId="44AEE025">
      <w:pPr>
        <w:spacing w:line="360" w:lineRule="auto"/>
        <w:ind w:firstLine="480" w:firstLineChars="200"/>
        <w:contextualSpacing/>
        <w:rPr>
          <w:rFonts w:hint="eastAsia" w:ascii="仿宋" w:hAnsi="仿宋" w:eastAsia="仿宋" w:cs="仿宋"/>
          <w:bCs/>
          <w:sz w:val="24"/>
          <w:szCs w:val="24"/>
          <w:highlight w:val="none"/>
        </w:rPr>
      </w:pPr>
      <w:r>
        <w:rPr>
          <w:rFonts w:hint="eastAsia" w:ascii="仿宋" w:hAnsi="仿宋" w:eastAsia="仿宋" w:cs="仿宋"/>
          <w:bCs/>
          <w:sz w:val="24"/>
          <w:szCs w:val="24"/>
          <w:highlight w:val="none"/>
        </w:rPr>
        <w:t>（五）工程施工期间所发生的一切安全责任事故及给甲乙双方造成的一切经济损失，均由乙方承担。</w:t>
      </w:r>
    </w:p>
    <w:p w14:paraId="08E88C85">
      <w:pPr>
        <w:tabs>
          <w:tab w:val="left" w:pos="0"/>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十、验收</w:t>
      </w:r>
    </w:p>
    <w:p w14:paraId="1BB321E0">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（一）施工所需物品到达甲方指定地点后，甲方根据合同要求，进行外观验收，确认产地、规格、型号和数量。</w:t>
      </w:r>
    </w:p>
    <w:p w14:paraId="0D63808F">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（二）隐蔽工程在隐蔽前</w:t>
      </w:r>
      <w:r>
        <w:rPr>
          <w:rFonts w:hint="eastAsia" w:ascii="仿宋" w:hAnsi="仿宋" w:eastAsia="仿宋" w:cs="仿宋"/>
          <w:sz w:val="24"/>
          <w:szCs w:val="24"/>
          <w:highlight w:val="none"/>
          <w:lang w:eastAsia="zh-CN"/>
        </w:rPr>
        <w:t>需</w:t>
      </w:r>
      <w:r>
        <w:rPr>
          <w:rFonts w:hint="eastAsia" w:ascii="仿宋" w:hAnsi="仿宋" w:eastAsia="仿宋" w:cs="仿宋"/>
          <w:sz w:val="24"/>
          <w:szCs w:val="24"/>
          <w:highlight w:val="none"/>
        </w:rPr>
        <w:t>进行分项验收，验收合格后乙方留存相关照片及资料。</w:t>
      </w:r>
    </w:p>
    <w:p w14:paraId="771EFE11">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（三）按照甲方标书和乙方响应文件及承诺中的要求，安装、调试、检测，平稳运行，确认项目完成，乙方进行自检，自检合格后，准备验收文件，并书面通知甲方。</w:t>
      </w:r>
    </w:p>
    <w:p w14:paraId="7DCAF46B">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（四）乙方应在甲方组织竣工验收前，办理好相</w:t>
      </w:r>
      <w:r>
        <w:rPr>
          <w:rFonts w:hint="eastAsia" w:ascii="仿宋" w:hAnsi="仿宋" w:eastAsia="仿宋" w:cs="仿宋"/>
          <w:sz w:val="24"/>
          <w:szCs w:val="24"/>
          <w:highlight w:val="none"/>
          <w:lang w:val="en-US" w:eastAsia="zh-CN"/>
        </w:rPr>
        <w:t>关</w:t>
      </w:r>
      <w:r>
        <w:rPr>
          <w:rFonts w:hint="eastAsia" w:ascii="仿宋" w:hAnsi="仿宋" w:eastAsia="仿宋" w:cs="仿宋"/>
          <w:sz w:val="24"/>
          <w:szCs w:val="24"/>
          <w:highlight w:val="none"/>
        </w:rPr>
        <w:t>手续。</w:t>
      </w:r>
    </w:p>
    <w:p w14:paraId="376D74F2">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（五）甲方确认乙方的自检内容后，组织乙方（必要时请有关专家）进行工程验收。验收合格后，填写</w:t>
      </w:r>
      <w:r>
        <w:rPr>
          <w:rFonts w:hint="eastAsia" w:ascii="仿宋" w:hAnsi="仿宋" w:eastAsia="仿宋" w:cs="仿宋"/>
          <w:bCs/>
          <w:sz w:val="24"/>
          <w:szCs w:val="24"/>
          <w:highlight w:val="none"/>
        </w:rPr>
        <w:t>验收单（一式两份）</w:t>
      </w:r>
      <w:r>
        <w:rPr>
          <w:rFonts w:hint="eastAsia" w:ascii="仿宋" w:hAnsi="仿宋" w:eastAsia="仿宋" w:cs="仿宋"/>
          <w:sz w:val="24"/>
          <w:szCs w:val="24"/>
          <w:highlight w:val="none"/>
        </w:rPr>
        <w:t>作为对项目的最终认可。</w:t>
      </w:r>
    </w:p>
    <w:p w14:paraId="4CE22E6D">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（六）验收合格，乙方向甲方提供决算书及审计资料报送审计；如验收不合格，乙方应负责整改或返修，直至甲方验收合格</w:t>
      </w:r>
      <w:r>
        <w:rPr>
          <w:rFonts w:hint="eastAsia" w:ascii="仿宋" w:hAnsi="仿宋" w:eastAsia="仿宋" w:cs="仿宋"/>
          <w:sz w:val="24"/>
          <w:szCs w:val="24"/>
          <w:highlight w:val="none"/>
          <w:lang w:eastAsia="zh-CN"/>
        </w:rPr>
        <w:t>为止</w:t>
      </w:r>
      <w:r>
        <w:rPr>
          <w:rFonts w:hint="eastAsia" w:ascii="仿宋" w:hAnsi="仿宋" w:eastAsia="仿宋" w:cs="仿宋"/>
          <w:sz w:val="24"/>
          <w:szCs w:val="24"/>
          <w:highlight w:val="none"/>
        </w:rPr>
        <w:t>，</w:t>
      </w:r>
      <w:r>
        <w:rPr>
          <w:rFonts w:hint="eastAsia" w:ascii="仿宋" w:hAnsi="仿宋" w:eastAsia="仿宋" w:cs="仿宋"/>
          <w:spacing w:val="0"/>
          <w:kern w:val="2"/>
          <w:position w:val="0"/>
          <w:sz w:val="24"/>
          <w:szCs w:val="24"/>
          <w:highlight w:val="none"/>
        </w:rPr>
        <w:t>且工期不顺延，由此产生的费用及造成的损失</w:t>
      </w:r>
      <w:r>
        <w:rPr>
          <w:rFonts w:hint="eastAsia" w:ascii="仿宋" w:hAnsi="仿宋" w:eastAsia="仿宋" w:cs="仿宋"/>
          <w:spacing w:val="0"/>
          <w:kern w:val="2"/>
          <w:position w:val="0"/>
          <w:sz w:val="24"/>
          <w:szCs w:val="24"/>
          <w:highlight w:val="none"/>
          <w:lang w:eastAsia="zh-CN"/>
        </w:rPr>
        <w:t>，由</w:t>
      </w:r>
      <w:r>
        <w:rPr>
          <w:rFonts w:hint="eastAsia" w:ascii="仿宋" w:hAnsi="仿宋" w:eastAsia="仿宋" w:cs="仿宋"/>
          <w:spacing w:val="0"/>
          <w:kern w:val="2"/>
          <w:position w:val="0"/>
          <w:sz w:val="24"/>
          <w:szCs w:val="24"/>
          <w:highlight w:val="none"/>
        </w:rPr>
        <w:t>乙方自行承担</w:t>
      </w:r>
      <w:r>
        <w:rPr>
          <w:rFonts w:hint="eastAsia" w:ascii="仿宋" w:hAnsi="仿宋" w:eastAsia="仿宋" w:cs="仿宋"/>
          <w:sz w:val="24"/>
          <w:szCs w:val="24"/>
          <w:highlight w:val="none"/>
        </w:rPr>
        <w:t>。若乙方交付项目验收不合格累计超过3次的，甲方有权选择解除合同，乙方除应赔偿由此给甲方造成的全部损失外，还应按照合同</w:t>
      </w:r>
      <w:r>
        <w:rPr>
          <w:rFonts w:hint="eastAsia" w:ascii="仿宋" w:hAnsi="仿宋" w:eastAsia="仿宋" w:cs="仿宋"/>
          <w:sz w:val="24"/>
          <w:szCs w:val="24"/>
          <w:highlight w:val="none"/>
          <w:lang w:val="en-US" w:eastAsia="zh-CN"/>
        </w:rPr>
        <w:t>预算</w:t>
      </w:r>
      <w:r>
        <w:rPr>
          <w:rFonts w:hint="eastAsia" w:ascii="仿宋" w:hAnsi="仿宋" w:eastAsia="仿宋" w:cs="仿宋"/>
          <w:sz w:val="24"/>
          <w:szCs w:val="24"/>
          <w:highlight w:val="none"/>
        </w:rPr>
        <w:t>总价的30%承担违约金。</w:t>
      </w:r>
    </w:p>
    <w:p w14:paraId="5AEA2DAB">
      <w:pPr>
        <w:tabs>
          <w:tab w:val="left" w:pos="0"/>
        </w:tabs>
        <w:spacing w:line="360" w:lineRule="auto"/>
        <w:ind w:firstLine="470" w:firstLineChars="196"/>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若因乙方项目施工验收不合格导致乙方施工交付延期的，</w:t>
      </w:r>
      <w:r>
        <w:rPr>
          <w:rFonts w:hint="eastAsia" w:ascii="仿宋" w:hAnsi="仿宋" w:eastAsia="仿宋" w:cs="仿宋"/>
          <w:sz w:val="24"/>
          <w:szCs w:val="24"/>
          <w:highlight w:val="none"/>
          <w:lang w:val="en-US" w:eastAsia="zh-CN"/>
        </w:rPr>
        <w:t>乙方每延期交付一日，向甲方支付合同预算总价的3‰的违约金；累计超过3天的，视为乙方根本违约，甲方有权单方解除合同（合同自书面解除通知送达乙方之日起解除），乙方应赔偿解除合同给甲方造成的全部损失（包括但不限于重新采购产生的费用、合同未履行导致工程不能按规划交付使用可能产生的租赁费用）。还应按合同预算总价款的30%支付违约金。</w:t>
      </w:r>
    </w:p>
    <w:p w14:paraId="179E047A">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（七）乙方向甲方提交项目实施过程中的所有资料，以便甲方日后管理和维护。</w:t>
      </w:r>
    </w:p>
    <w:p w14:paraId="4E4B74CE">
      <w:pPr>
        <w:tabs>
          <w:tab w:val="left" w:pos="0"/>
        </w:tabs>
        <w:spacing w:line="360" w:lineRule="auto"/>
        <w:ind w:firstLine="470" w:firstLineChars="196"/>
        <w:rPr>
          <w:rFonts w:hint="eastAsia" w:ascii="仿宋" w:hAnsi="仿宋" w:eastAsia="仿宋" w:cs="仿宋"/>
          <w:sz w:val="24"/>
          <w:szCs w:val="24"/>
          <w:highlight w:val="none"/>
        </w:rPr>
      </w:pPr>
      <w:r>
        <w:rPr>
          <w:rFonts w:hint="eastAsia" w:ascii="仿宋" w:hAnsi="仿宋" w:eastAsia="仿宋" w:cs="仿宋"/>
          <w:sz w:val="24"/>
          <w:szCs w:val="24"/>
          <w:highlight w:val="none"/>
        </w:rPr>
        <w:t>（八）验收依据</w:t>
      </w:r>
    </w:p>
    <w:p w14:paraId="14AAC0E1">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1、磋商文件、响应文件、澄清表（函）；</w:t>
      </w:r>
    </w:p>
    <w:p w14:paraId="1531CC24">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2、本合同及附件文本；</w:t>
      </w:r>
    </w:p>
    <w:p w14:paraId="6AE5E6F1">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3、国家相应的标准、规范；</w:t>
      </w:r>
    </w:p>
    <w:p w14:paraId="0089DC6B">
      <w:pPr>
        <w:tabs>
          <w:tab w:val="left" w:pos="0"/>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4、项目竣工资料、图纸、检验测试报告；</w:t>
      </w:r>
    </w:p>
    <w:p w14:paraId="7928E381">
      <w:pPr>
        <w:tabs>
          <w:tab w:val="left" w:pos="0"/>
          <w:tab w:val="center" w:pos="4153"/>
        </w:tabs>
        <w:spacing w:line="360" w:lineRule="auto"/>
        <w:ind w:firstLine="480" w:firstLineChars="200"/>
        <w:rPr>
          <w:rFonts w:hint="eastAsia" w:ascii="仿宋" w:hAnsi="仿宋" w:eastAsia="仿宋" w:cs="仿宋"/>
          <w:b/>
          <w:sz w:val="24"/>
          <w:szCs w:val="24"/>
          <w:highlight w:val="none"/>
        </w:rPr>
      </w:pPr>
      <w:r>
        <w:rPr>
          <w:rFonts w:hint="eastAsia" w:ascii="仿宋" w:hAnsi="仿宋" w:eastAsia="仿宋" w:cs="仿宋"/>
          <w:sz w:val="24"/>
          <w:szCs w:val="24"/>
          <w:highlight w:val="none"/>
        </w:rPr>
        <w:t>5、其它资料。</w:t>
      </w:r>
    </w:p>
    <w:p w14:paraId="16C34838">
      <w:pPr>
        <w:tabs>
          <w:tab w:val="left" w:pos="0"/>
          <w:tab w:val="center" w:pos="4153"/>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lang w:val="en-US" w:eastAsia="zh-CN"/>
        </w:rPr>
        <w:t>十一</w:t>
      </w:r>
      <w:r>
        <w:rPr>
          <w:rFonts w:hint="eastAsia" w:ascii="仿宋" w:hAnsi="仿宋" w:eastAsia="仿宋" w:cs="仿宋"/>
          <w:b/>
          <w:sz w:val="24"/>
          <w:szCs w:val="24"/>
          <w:highlight w:val="none"/>
        </w:rPr>
        <w:t>、违约责任</w:t>
      </w:r>
    </w:p>
    <w:p w14:paraId="211CABEC">
      <w:pPr>
        <w:tabs>
          <w:tab w:val="left" w:pos="0"/>
          <w:tab w:val="center" w:pos="4153"/>
        </w:tabs>
        <w:spacing w:line="360" w:lineRule="auto"/>
        <w:ind w:firstLine="570"/>
        <w:rPr>
          <w:rFonts w:hint="eastAsia" w:ascii="仿宋" w:hAnsi="仿宋" w:eastAsia="仿宋" w:cs="仿宋"/>
          <w:sz w:val="24"/>
          <w:szCs w:val="24"/>
          <w:highlight w:val="none"/>
        </w:rPr>
      </w:pPr>
      <w:r>
        <w:rPr>
          <w:rFonts w:hint="eastAsia" w:ascii="仿宋" w:hAnsi="仿宋" w:eastAsia="仿宋" w:cs="仿宋"/>
          <w:sz w:val="24"/>
          <w:szCs w:val="24"/>
          <w:highlight w:val="none"/>
        </w:rPr>
        <w:t>（一）按《中华人民共和国民法典》中的相关条款执行。</w:t>
      </w:r>
    </w:p>
    <w:p w14:paraId="3CEC3555">
      <w:pPr>
        <w:tabs>
          <w:tab w:val="left" w:pos="0"/>
          <w:tab w:val="center" w:pos="4153"/>
        </w:tabs>
        <w:spacing w:line="360" w:lineRule="auto"/>
        <w:ind w:firstLine="570"/>
        <w:rPr>
          <w:rFonts w:hint="eastAsia" w:ascii="仿宋" w:hAnsi="仿宋" w:eastAsia="仿宋" w:cs="仿宋"/>
          <w:sz w:val="24"/>
          <w:szCs w:val="24"/>
          <w:highlight w:val="none"/>
        </w:rPr>
      </w:pPr>
      <w:r>
        <w:rPr>
          <w:rFonts w:hint="eastAsia" w:ascii="仿宋" w:hAnsi="仿宋" w:eastAsia="仿宋" w:cs="仿宋"/>
          <w:sz w:val="24"/>
          <w:szCs w:val="24"/>
          <w:highlight w:val="none"/>
        </w:rPr>
        <w:t>（二）未按合同要求提供，质量不能满足技术要求的，甲方会同政府采购机构有权</w:t>
      </w:r>
      <w:r>
        <w:rPr>
          <w:rFonts w:hint="eastAsia" w:ascii="仿宋" w:hAnsi="仿宋" w:eastAsia="仿宋" w:cs="仿宋"/>
          <w:sz w:val="24"/>
          <w:szCs w:val="24"/>
          <w:highlight w:val="none"/>
          <w:lang w:val="en-US" w:eastAsia="zh-CN"/>
        </w:rPr>
        <w:t>解除</w:t>
      </w:r>
      <w:r>
        <w:rPr>
          <w:rFonts w:hint="eastAsia" w:ascii="仿宋" w:hAnsi="仿宋" w:eastAsia="仿宋" w:cs="仿宋"/>
          <w:sz w:val="24"/>
          <w:szCs w:val="24"/>
          <w:highlight w:val="none"/>
        </w:rPr>
        <w:t>合同（合同自书面通知送达乙方之</w:t>
      </w:r>
      <w:r>
        <w:rPr>
          <w:rFonts w:hint="eastAsia" w:ascii="仿宋" w:hAnsi="仿宋" w:eastAsia="仿宋" w:cs="仿宋"/>
          <w:sz w:val="24"/>
          <w:szCs w:val="24"/>
          <w:highlight w:val="none"/>
          <w:lang w:eastAsia="zh-CN"/>
        </w:rPr>
        <w:t>日起</w:t>
      </w:r>
      <w:r>
        <w:rPr>
          <w:rFonts w:hint="eastAsia" w:ascii="仿宋" w:hAnsi="仿宋" w:eastAsia="仿宋" w:cs="仿宋"/>
          <w:sz w:val="24"/>
          <w:szCs w:val="24"/>
          <w:highlight w:val="none"/>
        </w:rPr>
        <w:t>解除），乙方赔偿甲方解除合同的全部损失（包括但不限于重新采购产生的费用及其它由此造成的甲方对第三方的违约损失），并按照合同</w:t>
      </w:r>
      <w:r>
        <w:rPr>
          <w:rFonts w:hint="eastAsia" w:ascii="仿宋" w:hAnsi="仿宋" w:eastAsia="仿宋" w:cs="仿宋"/>
          <w:sz w:val="24"/>
          <w:szCs w:val="24"/>
          <w:highlight w:val="none"/>
          <w:lang w:val="en-US" w:eastAsia="zh-CN"/>
        </w:rPr>
        <w:t>预算</w:t>
      </w:r>
      <w:r>
        <w:rPr>
          <w:rFonts w:hint="eastAsia" w:ascii="仿宋" w:hAnsi="仿宋" w:eastAsia="仿宋" w:cs="仿宋"/>
          <w:sz w:val="24"/>
          <w:szCs w:val="24"/>
          <w:highlight w:val="none"/>
        </w:rPr>
        <w:t>总价的30%支付违约金。同时按《政府采购法》有关处罚条款报监管机构进行相应的处罚。</w:t>
      </w:r>
    </w:p>
    <w:p w14:paraId="458E2C64">
      <w:pPr>
        <w:numPr>
          <w:ilvl w:val="-1"/>
          <w:numId w:val="0"/>
        </w:numPr>
        <w:tabs>
          <w:tab w:val="left" w:pos="480"/>
        </w:tabs>
        <w:spacing w:line="360" w:lineRule="auto"/>
        <w:ind w:firstLine="480" w:firstLineChars="200"/>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（三）乙方应</w:t>
      </w:r>
      <w:r>
        <w:rPr>
          <w:rFonts w:hint="eastAsia" w:ascii="仿宋" w:hAnsi="仿宋" w:eastAsia="仿宋" w:cs="仿宋"/>
          <w:bCs/>
          <w:kern w:val="2"/>
          <w:sz w:val="24"/>
          <w:szCs w:val="24"/>
          <w:highlight w:val="none"/>
          <w:lang w:val="en-US" w:eastAsia="zh-CN" w:bidi="ar-SA"/>
        </w:rPr>
        <w:t>完成全部项目施工并交付甲方使用，乙方每逾期交付一日，向甲方支付合同预算总价的3‰的违约金；累计超过3天的，视为乙方根本违约，甲方有权单方解除合同（合同自书面解除通知送达乙方之日起解除），乙方应赔偿解除合同给甲方造成的全部损失（包括但不限于重新采购产生的费用、合同未履行导致工程不能按规划交付使用可能产生的租赁费用）。还应按合同预算总价款的30%支付违约金。</w:t>
      </w:r>
    </w:p>
    <w:p w14:paraId="25E2B066">
      <w:pPr>
        <w:numPr>
          <w:ilvl w:val="0"/>
          <w:numId w:val="0"/>
        </w:numPr>
        <w:tabs>
          <w:tab w:val="left" w:pos="0"/>
          <w:tab w:val="center" w:pos="4153"/>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乙方未经甲方书面同意，擅自将工程转包或分包的，甲方有权单方解除本合同，乙方应按合同</w:t>
      </w:r>
      <w:r>
        <w:rPr>
          <w:rFonts w:hint="eastAsia" w:ascii="仿宋" w:hAnsi="仿宋" w:eastAsia="仿宋" w:cs="仿宋"/>
          <w:sz w:val="24"/>
          <w:szCs w:val="24"/>
          <w:highlight w:val="none"/>
          <w:lang w:val="en-US" w:eastAsia="zh-CN"/>
        </w:rPr>
        <w:t>预算</w:t>
      </w:r>
      <w:r>
        <w:rPr>
          <w:rFonts w:hint="eastAsia" w:ascii="仿宋" w:hAnsi="仿宋" w:eastAsia="仿宋" w:cs="仿宋"/>
          <w:sz w:val="24"/>
          <w:szCs w:val="24"/>
          <w:highlight w:val="none"/>
        </w:rPr>
        <w:t>总价款的</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0%向甲方支付违约金，并赔偿由此给甲方造成的全部损失，并在收到甲方解除合同的通知后10日内撤场并将现场清理完毕。</w:t>
      </w:r>
    </w:p>
    <w:p w14:paraId="4BC2B4E1">
      <w:pPr>
        <w:numPr>
          <w:ilvl w:val="0"/>
          <w:numId w:val="0"/>
        </w:numPr>
        <w:tabs>
          <w:tab w:val="left" w:pos="0"/>
          <w:tab w:val="center" w:pos="4153"/>
        </w:tabs>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（五）</w:t>
      </w:r>
      <w:r>
        <w:rPr>
          <w:rFonts w:hint="eastAsia" w:ascii="仿宋" w:hAnsi="仿宋" w:eastAsia="仿宋" w:cs="仿宋"/>
          <w:sz w:val="24"/>
          <w:szCs w:val="24"/>
          <w:highlight w:val="none"/>
        </w:rPr>
        <w:t>本合同所称的</w:t>
      </w:r>
      <w:r>
        <w:rPr>
          <w:rFonts w:hint="eastAsia" w:ascii="仿宋" w:hAnsi="仿宋" w:eastAsia="仿宋" w:cs="仿宋"/>
          <w:sz w:val="24"/>
          <w:szCs w:val="24"/>
          <w:highlight w:val="none"/>
          <w:lang w:val="en-US" w:eastAsia="zh-CN"/>
        </w:rPr>
        <w:t>甲方的</w:t>
      </w:r>
      <w:r>
        <w:rPr>
          <w:rFonts w:hint="eastAsia" w:ascii="仿宋" w:hAnsi="仿宋" w:eastAsia="仿宋" w:cs="仿宋"/>
          <w:sz w:val="24"/>
          <w:szCs w:val="24"/>
          <w:highlight w:val="none"/>
        </w:rPr>
        <w:t>全部损失，</w:t>
      </w:r>
      <w:r>
        <w:rPr>
          <w:rFonts w:hint="eastAsia" w:ascii="仿宋" w:hAnsi="仿宋" w:eastAsia="仿宋" w:cs="仿宋"/>
          <w:sz w:val="24"/>
          <w:szCs w:val="24"/>
          <w:highlight w:val="none"/>
          <w:lang w:val="en-US" w:eastAsia="zh-CN"/>
        </w:rPr>
        <w:t>包括但不限于甲方的直接损失，甲方可能需为此支付的一切赔偿、罚款等费用及为维权而支付的合理律师费、诉讼费、保全保险费、调查取证费、公证费和差旅费等。</w:t>
      </w:r>
    </w:p>
    <w:p w14:paraId="0B2EFA93">
      <w:pPr>
        <w:tabs>
          <w:tab w:val="left" w:pos="0"/>
          <w:tab w:val="center" w:pos="4153"/>
        </w:tabs>
        <w:spacing w:line="360" w:lineRule="auto"/>
        <w:ind w:firstLine="570"/>
        <w:rPr>
          <w:rFonts w:hint="eastAsia" w:ascii="仿宋" w:hAnsi="仿宋" w:eastAsia="仿宋" w:cs="仿宋"/>
          <w:sz w:val="24"/>
          <w:szCs w:val="24"/>
          <w:highlight w:val="none"/>
        </w:rPr>
      </w:pPr>
      <w:r>
        <w:rPr>
          <w:rFonts w:hint="eastAsia" w:ascii="仿宋" w:hAnsi="仿宋" w:eastAsia="仿宋" w:cs="仿宋"/>
          <w:kern w:val="2"/>
          <w:sz w:val="24"/>
          <w:szCs w:val="24"/>
          <w:highlight w:val="none"/>
          <w:lang w:val="en-US" w:eastAsia="zh-CN" w:bidi="ar-SA"/>
        </w:rPr>
        <w:t>（六）</w:t>
      </w:r>
      <w:r>
        <w:rPr>
          <w:rFonts w:hint="eastAsia" w:ascii="仿宋" w:hAnsi="仿宋" w:eastAsia="仿宋" w:cs="仿宋"/>
          <w:sz w:val="24"/>
          <w:szCs w:val="24"/>
          <w:highlight w:val="none"/>
        </w:rPr>
        <w:t>本协议及附件（如有）中约定的处罚或罚金等均视为违约金。</w:t>
      </w:r>
    </w:p>
    <w:p w14:paraId="0762A684">
      <w:pPr>
        <w:tabs>
          <w:tab w:val="left" w:pos="0"/>
          <w:tab w:val="center" w:pos="4153"/>
        </w:tabs>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二</w:t>
      </w:r>
      <w:r>
        <w:rPr>
          <w:rFonts w:hint="eastAsia" w:ascii="仿宋" w:hAnsi="仿宋" w:eastAsia="仿宋" w:cs="仿宋"/>
          <w:b/>
          <w:sz w:val="24"/>
          <w:szCs w:val="24"/>
          <w:highlight w:val="none"/>
        </w:rPr>
        <w:t>、合同争议的解决</w:t>
      </w:r>
    </w:p>
    <w:p w14:paraId="7FA83B6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合同执行中发生争议的，当事人双方应协商解决，协商达不成一致时，向甲方所在地人民法院</w:t>
      </w:r>
      <w:r>
        <w:rPr>
          <w:rFonts w:hint="eastAsia" w:ascii="仿宋" w:hAnsi="仿宋" w:eastAsia="仿宋" w:cs="仿宋"/>
          <w:sz w:val="24"/>
          <w:szCs w:val="24"/>
          <w:highlight w:val="none"/>
          <w:lang w:eastAsia="zh-CN"/>
        </w:rPr>
        <w:t>提起</w:t>
      </w:r>
      <w:r>
        <w:rPr>
          <w:rFonts w:hint="eastAsia" w:ascii="仿宋" w:hAnsi="仿宋" w:eastAsia="仿宋" w:cs="仿宋"/>
          <w:sz w:val="24"/>
          <w:szCs w:val="24"/>
          <w:highlight w:val="none"/>
        </w:rPr>
        <w:t>诉讼。</w:t>
      </w:r>
    </w:p>
    <w:p w14:paraId="74449F9D">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三</w:t>
      </w:r>
      <w:r>
        <w:rPr>
          <w:rFonts w:hint="eastAsia" w:ascii="仿宋" w:hAnsi="仿宋" w:eastAsia="仿宋" w:cs="仿宋"/>
          <w:b/>
          <w:sz w:val="24"/>
          <w:szCs w:val="24"/>
          <w:highlight w:val="none"/>
        </w:rPr>
        <w:t>、合同生效</w:t>
      </w:r>
    </w:p>
    <w:p w14:paraId="69D0CD05">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合同一式陆份，甲方肆份、乙方贰份。合同经甲方、乙方签字盖章后生效，合同执行完毕后，自动终止（合同的服务承诺则长期有效）。</w:t>
      </w:r>
    </w:p>
    <w:p w14:paraId="70FD08FE">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四</w:t>
      </w:r>
      <w:r>
        <w:rPr>
          <w:rFonts w:hint="eastAsia" w:ascii="仿宋" w:hAnsi="仿宋" w:eastAsia="仿宋" w:cs="仿宋"/>
          <w:b/>
          <w:sz w:val="24"/>
          <w:szCs w:val="24"/>
          <w:highlight w:val="none"/>
        </w:rPr>
        <w:t>、其他事项</w:t>
      </w:r>
    </w:p>
    <w:p w14:paraId="47A6B8CA">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（一）磋商文件、响应文件、澄清表（函）、中标通知书、合同附件均成为合同不可分割的部分。</w:t>
      </w:r>
    </w:p>
    <w:p w14:paraId="34C4053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sz w:val="24"/>
          <w:szCs w:val="24"/>
          <w:highlight w:val="none"/>
        </w:rPr>
        <w:t>（二</w:t>
      </w:r>
      <w:r>
        <w:rPr>
          <w:rFonts w:hint="eastAsia" w:ascii="仿宋" w:hAnsi="仿宋" w:eastAsia="仿宋" w:cs="仿宋"/>
          <w:color w:val="auto"/>
          <w:sz w:val="24"/>
          <w:szCs w:val="24"/>
          <w:highlight w:val="none"/>
        </w:rPr>
        <w:t>）合同未尽事宜，由甲、乙双方协商签订补充协议，作为合同的补充，与原合同具有同等法律效力。</w:t>
      </w:r>
    </w:p>
    <w:p w14:paraId="13F22B5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本合同</w:t>
      </w:r>
      <w:r>
        <w:rPr>
          <w:rFonts w:hint="eastAsia" w:ascii="仿宋" w:hAnsi="仿宋" w:eastAsia="仿宋" w:cs="仿宋"/>
          <w:color w:val="auto"/>
          <w:sz w:val="24"/>
          <w:szCs w:val="24"/>
          <w:highlight w:val="none"/>
          <w:u w:val="single"/>
        </w:rPr>
        <w:t>自合同签订日期之日起</w:t>
      </w:r>
      <w:r>
        <w:rPr>
          <w:rFonts w:hint="eastAsia" w:ascii="仿宋" w:hAnsi="仿宋" w:eastAsia="仿宋" w:cs="仿宋"/>
          <w:color w:val="auto"/>
          <w:sz w:val="24"/>
          <w:szCs w:val="24"/>
          <w:highlight w:val="none"/>
          <w:u w:val="single"/>
          <w:lang w:val="en-US" w:eastAsia="zh-CN"/>
        </w:rPr>
        <w:t>有效期为一年</w:t>
      </w:r>
      <w:r>
        <w:rPr>
          <w:rFonts w:hint="eastAsia" w:ascii="仿宋" w:hAnsi="仿宋" w:eastAsia="仿宋" w:cs="仿宋"/>
          <w:color w:val="auto"/>
          <w:sz w:val="24"/>
          <w:szCs w:val="24"/>
          <w:highlight w:val="none"/>
        </w:rPr>
        <w:t>。在</w:t>
      </w:r>
      <w:r>
        <w:rPr>
          <w:rFonts w:hint="eastAsia" w:ascii="仿宋" w:hAnsi="仿宋" w:eastAsia="仿宋" w:cs="仿宋"/>
          <w:color w:val="auto"/>
          <w:sz w:val="24"/>
          <w:szCs w:val="24"/>
          <w:highlight w:val="none"/>
          <w:lang w:val="en-US" w:eastAsia="zh-CN"/>
        </w:rPr>
        <w:t>本</w:t>
      </w:r>
      <w:r>
        <w:rPr>
          <w:rFonts w:hint="eastAsia" w:ascii="仿宋" w:hAnsi="仿宋" w:eastAsia="仿宋" w:cs="仿宋"/>
          <w:color w:val="auto"/>
          <w:sz w:val="24"/>
          <w:szCs w:val="24"/>
          <w:highlight w:val="none"/>
        </w:rPr>
        <w:t>合同有效期内，如果</w:t>
      </w:r>
      <w:r>
        <w:rPr>
          <w:rFonts w:hint="eastAsia" w:ascii="仿宋" w:hAnsi="仿宋" w:eastAsia="仿宋" w:cs="仿宋"/>
          <w:color w:val="auto"/>
          <w:sz w:val="24"/>
          <w:szCs w:val="24"/>
          <w:highlight w:val="none"/>
          <w:lang w:val="en-US" w:eastAsia="zh-CN"/>
        </w:rPr>
        <w:t>经甲方审核后的最终工程总价款</w:t>
      </w:r>
      <w:r>
        <w:rPr>
          <w:rFonts w:hint="eastAsia" w:ascii="仿宋" w:hAnsi="仿宋" w:eastAsia="仿宋" w:cs="仿宋"/>
          <w:color w:val="auto"/>
          <w:sz w:val="24"/>
          <w:szCs w:val="24"/>
          <w:highlight w:val="none"/>
        </w:rPr>
        <w:t>甲方按照合同项目维修，当维修金额达到</w:t>
      </w:r>
      <w:r>
        <w:rPr>
          <w:rFonts w:hint="eastAsia" w:ascii="仿宋" w:hAnsi="仿宋" w:eastAsia="仿宋" w:cs="仿宋"/>
          <w:color w:val="auto"/>
          <w:sz w:val="24"/>
          <w:szCs w:val="24"/>
          <w:highlight w:val="none"/>
          <w:u w:val="single"/>
          <w:lang w:val="en-US" w:eastAsia="zh-CN"/>
        </w:rPr>
        <w:t>肆拾</w:t>
      </w:r>
      <w:r>
        <w:rPr>
          <w:rFonts w:hint="eastAsia" w:ascii="仿宋" w:hAnsi="仿宋" w:eastAsia="仿宋" w:cs="仿宋"/>
          <w:color w:val="auto"/>
          <w:sz w:val="24"/>
          <w:szCs w:val="24"/>
          <w:highlight w:val="none"/>
          <w:u w:val="single"/>
        </w:rPr>
        <w:t>万元整后</w:t>
      </w:r>
      <w:r>
        <w:rPr>
          <w:rFonts w:hint="eastAsia" w:ascii="仿宋" w:hAnsi="仿宋" w:eastAsia="仿宋" w:cs="仿宋"/>
          <w:color w:val="auto"/>
          <w:sz w:val="24"/>
          <w:szCs w:val="24"/>
          <w:highlight w:val="none"/>
        </w:rPr>
        <w:t>，合同自动终止。</w:t>
      </w:r>
    </w:p>
    <w:p w14:paraId="4A22FFA3">
      <w:pPr>
        <w:pStyle w:val="2"/>
        <w:ind w:left="0" w:leftChars="0" w:firstLine="480" w:firstLineChars="200"/>
        <w:rPr>
          <w:rFonts w:hint="eastAsia" w:ascii="仿宋" w:hAnsi="仿宋" w:eastAsia="仿宋" w:cs="仿宋"/>
          <w:highlight w:val="none"/>
          <w:lang w:val="en-US" w:eastAsia="zh-CN"/>
        </w:rPr>
      </w:pP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四</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乙方为依法规范用工行为，未按国家相关规定办理人员的保险和相关福利等，未杜绝非法用工造成的用工纠纷和不良后果；员工劳动报酬、保险待遇、社会保险、工伤赔偿等由乙方负责，若发生争议，由乙方解决，与甲方无关，甲方不承担任何责任。</w:t>
      </w:r>
    </w:p>
    <w:p w14:paraId="6A60F3A6">
      <w:pPr>
        <w:tabs>
          <w:tab w:val="left" w:pos="480"/>
        </w:tabs>
        <w:spacing w:line="480"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以下无正文</w:t>
      </w:r>
      <w:r>
        <w:rPr>
          <w:rFonts w:hint="eastAsia" w:ascii="仿宋" w:hAnsi="仿宋" w:eastAsia="仿宋" w:cs="仿宋"/>
          <w:sz w:val="24"/>
          <w:szCs w:val="24"/>
          <w:highlight w:val="none"/>
          <w:lang w:eastAsia="zh-CN"/>
        </w:rPr>
        <w:t>）</w:t>
      </w:r>
    </w:p>
    <w:p w14:paraId="6FC30DE9">
      <w:pPr>
        <w:rPr>
          <w:rFonts w:hint="eastAsia" w:ascii="仿宋" w:hAnsi="仿宋" w:eastAsia="仿宋" w:cs="仿宋"/>
          <w:color w:val="auto"/>
          <w:sz w:val="24"/>
          <w:highlight w:val="none"/>
        </w:rPr>
      </w:pP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35"/>
        <w:gridCol w:w="4087"/>
      </w:tblGrid>
      <w:tr w14:paraId="0D5CB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4B7A9993">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甲    方：（法人公章）</w:t>
            </w:r>
          </w:p>
        </w:tc>
        <w:tc>
          <w:tcPr>
            <w:tcW w:w="4087" w:type="dxa"/>
            <w:tcBorders>
              <w:tl2br w:val="nil"/>
              <w:tr2bl w:val="nil"/>
            </w:tcBorders>
          </w:tcPr>
          <w:p w14:paraId="0DBD5B3D">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乙    方：（法人公章）</w:t>
            </w:r>
          </w:p>
        </w:tc>
      </w:tr>
      <w:tr w14:paraId="3724F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3E80C42D">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单位名称：西安市第五医院</w:t>
            </w:r>
          </w:p>
        </w:tc>
        <w:tc>
          <w:tcPr>
            <w:tcW w:w="4087" w:type="dxa"/>
            <w:tcBorders>
              <w:tl2br w:val="nil"/>
              <w:tr2bl w:val="nil"/>
            </w:tcBorders>
          </w:tcPr>
          <w:p w14:paraId="03EBD415">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单位名称：</w:t>
            </w:r>
          </w:p>
        </w:tc>
      </w:tr>
      <w:tr w14:paraId="54D62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628CE9D2">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地   址：西安市莲湖区西关正街112号</w:t>
            </w:r>
          </w:p>
        </w:tc>
        <w:tc>
          <w:tcPr>
            <w:tcW w:w="4087" w:type="dxa"/>
            <w:tcBorders>
              <w:tl2br w:val="nil"/>
              <w:tr2bl w:val="nil"/>
            </w:tcBorders>
          </w:tcPr>
          <w:p w14:paraId="3E7DCCD1">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地址：</w:t>
            </w:r>
          </w:p>
        </w:tc>
      </w:tr>
      <w:tr w14:paraId="1731F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48835CBE">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科室负责人：</w:t>
            </w:r>
          </w:p>
        </w:tc>
        <w:tc>
          <w:tcPr>
            <w:tcW w:w="4087" w:type="dxa"/>
            <w:tcBorders>
              <w:tl2br w:val="nil"/>
              <w:tr2bl w:val="nil"/>
            </w:tcBorders>
          </w:tcPr>
          <w:p w14:paraId="2B00B5C1">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经办人：</w:t>
            </w:r>
          </w:p>
        </w:tc>
      </w:tr>
      <w:tr w14:paraId="62981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47D4C729">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主管院长：</w:t>
            </w:r>
          </w:p>
        </w:tc>
        <w:tc>
          <w:tcPr>
            <w:tcW w:w="4087" w:type="dxa"/>
            <w:tcBorders>
              <w:tl2br w:val="nil"/>
              <w:tr2bl w:val="nil"/>
            </w:tcBorders>
          </w:tcPr>
          <w:p w14:paraId="4B89377E">
            <w:pPr>
              <w:tabs>
                <w:tab w:val="left" w:pos="480"/>
              </w:tabs>
              <w:spacing w:line="480" w:lineRule="auto"/>
              <w:rPr>
                <w:rFonts w:hint="eastAsia" w:ascii="仿宋" w:hAnsi="仿宋" w:eastAsia="仿宋" w:cs="仿宋"/>
                <w:color w:val="auto"/>
                <w:sz w:val="24"/>
                <w:highlight w:val="none"/>
                <w:vertAlign w:val="baseline"/>
              </w:rPr>
            </w:pPr>
          </w:p>
        </w:tc>
      </w:tr>
      <w:tr w14:paraId="4894E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44EFD280">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法定代表人（签字或盖章）：</w:t>
            </w:r>
          </w:p>
        </w:tc>
        <w:tc>
          <w:tcPr>
            <w:tcW w:w="4087" w:type="dxa"/>
            <w:tcBorders>
              <w:tl2br w:val="nil"/>
              <w:tr2bl w:val="nil"/>
            </w:tcBorders>
          </w:tcPr>
          <w:p w14:paraId="5CCAF08E">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法定代表人（签字或盖章）：</w:t>
            </w:r>
          </w:p>
        </w:tc>
      </w:tr>
      <w:tr w14:paraId="54A7D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189B262C">
            <w:pPr>
              <w:tabs>
                <w:tab w:val="left" w:pos="480"/>
              </w:tabs>
              <w:spacing w:line="480" w:lineRule="auto"/>
              <w:rPr>
                <w:rFonts w:hint="eastAsia" w:ascii="仿宋" w:hAnsi="仿宋" w:eastAsia="仿宋" w:cs="仿宋"/>
                <w:color w:val="auto"/>
                <w:sz w:val="24"/>
                <w:highlight w:val="none"/>
              </w:rPr>
            </w:pPr>
          </w:p>
        </w:tc>
        <w:tc>
          <w:tcPr>
            <w:tcW w:w="4087" w:type="dxa"/>
            <w:tcBorders>
              <w:tl2br w:val="nil"/>
              <w:tr2bl w:val="nil"/>
            </w:tcBorders>
          </w:tcPr>
          <w:p w14:paraId="631315D5">
            <w:pPr>
              <w:tabs>
                <w:tab w:val="left" w:pos="480"/>
              </w:tabs>
              <w:spacing w:line="480" w:lineRule="auto"/>
              <w:rPr>
                <w:rFonts w:hint="eastAsia" w:ascii="仿宋" w:hAnsi="仿宋" w:eastAsia="仿宋" w:cs="仿宋"/>
                <w:color w:val="auto"/>
                <w:sz w:val="24"/>
                <w:highlight w:val="none"/>
                <w:vertAlign w:val="baseline"/>
              </w:rPr>
            </w:pPr>
            <w:r>
              <w:rPr>
                <w:rFonts w:hint="eastAsia" w:ascii="仿宋" w:hAnsi="仿宋" w:eastAsia="仿宋" w:cs="仿宋"/>
                <w:color w:val="auto"/>
                <w:sz w:val="24"/>
                <w:highlight w:val="none"/>
              </w:rPr>
              <w:t>开户银行：</w:t>
            </w:r>
          </w:p>
        </w:tc>
      </w:tr>
      <w:tr w14:paraId="7F28A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58A31706">
            <w:pPr>
              <w:tabs>
                <w:tab w:val="left" w:pos="480"/>
              </w:tabs>
              <w:spacing w:line="480" w:lineRule="auto"/>
              <w:rPr>
                <w:rFonts w:hint="eastAsia" w:ascii="仿宋" w:hAnsi="仿宋" w:eastAsia="仿宋" w:cs="仿宋"/>
                <w:color w:val="auto"/>
                <w:sz w:val="24"/>
                <w:highlight w:val="none"/>
              </w:rPr>
            </w:pPr>
          </w:p>
        </w:tc>
        <w:tc>
          <w:tcPr>
            <w:tcW w:w="4087" w:type="dxa"/>
            <w:tcBorders>
              <w:tl2br w:val="nil"/>
              <w:tr2bl w:val="nil"/>
            </w:tcBorders>
            <w:vAlign w:val="center"/>
          </w:tcPr>
          <w:p w14:paraId="34386B9D">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帐    号：</w:t>
            </w:r>
          </w:p>
        </w:tc>
      </w:tr>
      <w:tr w14:paraId="675A9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7D4E8775">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p>
        </w:tc>
        <w:tc>
          <w:tcPr>
            <w:tcW w:w="4087" w:type="dxa"/>
            <w:tcBorders>
              <w:tl2br w:val="nil"/>
              <w:tr2bl w:val="nil"/>
            </w:tcBorders>
            <w:vAlign w:val="center"/>
          </w:tcPr>
          <w:p w14:paraId="73E46536">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联系电话：</w:t>
            </w:r>
          </w:p>
        </w:tc>
      </w:tr>
      <w:tr w14:paraId="62983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35" w:type="dxa"/>
            <w:tcBorders>
              <w:tl2br w:val="nil"/>
              <w:tr2bl w:val="nil"/>
            </w:tcBorders>
          </w:tcPr>
          <w:p w14:paraId="193381BC">
            <w:pPr>
              <w:tabs>
                <w:tab w:val="left" w:pos="480"/>
              </w:tabs>
              <w:spacing w:line="48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签订日期：    年    月    日</w:t>
            </w:r>
          </w:p>
        </w:tc>
        <w:tc>
          <w:tcPr>
            <w:tcW w:w="4087" w:type="dxa"/>
            <w:tcBorders>
              <w:tl2br w:val="nil"/>
              <w:tr2bl w:val="nil"/>
            </w:tcBorders>
            <w:vAlign w:val="center"/>
          </w:tcPr>
          <w:p w14:paraId="18BC07D1">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签订日期：    年     月     日</w:t>
            </w:r>
          </w:p>
        </w:tc>
      </w:tr>
    </w:tbl>
    <w:p w14:paraId="20BD9AED">
      <w:pPr>
        <w:rPr>
          <w:color w:val="auto"/>
          <w:highlight w:val="none"/>
        </w:rPr>
      </w:pPr>
    </w:p>
    <w:p w14:paraId="7034F261">
      <w:pPr>
        <w:pStyle w:val="10"/>
        <w:keepNext w:val="0"/>
        <w:keepLines w:val="0"/>
        <w:wordWrap/>
        <w:bidi w:val="0"/>
        <w:spacing w:line="300" w:lineRule="auto"/>
        <w:rPr>
          <w:rFonts w:hint="eastAsia"/>
          <w:highlight w:val="none"/>
          <w:lang w:val="en-US" w:eastAsia="zh-Hans"/>
        </w:rPr>
      </w:pPr>
    </w:p>
    <w:p w14:paraId="7004EE71">
      <w:pPr>
        <w:rPr>
          <w:highlight w:val="none"/>
        </w:rPr>
      </w:pPr>
    </w:p>
    <w:bookmarkEnd w:id="0"/>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C71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line="640" w:lineRule="exact"/>
      <w:ind w:firstLine="585"/>
    </w:pPr>
    <w:rPr>
      <w:rFonts w:ascii="楷体_GB2312" w:eastAsia="楷体_GB2312"/>
      <w:sz w:val="32"/>
    </w:rPr>
  </w:style>
  <w:style w:type="paragraph" w:styleId="4">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autoRedefine/>
    <w:qFormat/>
    <w:uiPriority w:val="34"/>
    <w:pPr>
      <w:ind w:firstLine="420" w:firstLineChars="200"/>
    </w:pPr>
    <w:rPr>
      <w:rFonts w:asciiTheme="minorHAnsi" w:hAnsiTheme="minorHAnsi" w:eastAsiaTheme="minorEastAsia" w:cstheme="minorBidi"/>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2026-06-11T09:56:24Z</dcterms:created>
  <dc:creator>Administrator</dc:creator>
  <cp:lastModifiedBy>陕西笃信招标有限公司</cp:lastModifiedBy>
  <dcterms:modified xsi:type="dcterms:W3CDTF">2026-06-11T09:56:41Z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882FF2D0C98C4EA6AE8EE13B598CFF68_12</vt:lpwstr>
  </property>
</Properties>
</file>