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版本号：ZCXG-ZB-202605420260707001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雁塔区中医医院修缮提升项目设计服务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ZCXG-ZB-2026054</w:t>
      </w:r>
      <w:r>
        <w:br/>
      </w:r>
      <w:r>
        <w:br/>
      </w:r>
      <w:r>
        <w:br/>
      </w:r>
    </w:p>
    <w:p>
      <w:pPr>
        <w:pStyle w:val="null3"/>
        <w:jc w:val="center"/>
        <w:outlineLvl w:val="2"/>
      </w:pPr>
      <w:r>
        <w:rPr>
          <w:rFonts w:ascii="仿宋_GB2312" w:hAnsi="仿宋_GB2312" w:cs="仿宋_GB2312" w:eastAsia="仿宋_GB2312"/>
          <w:sz w:val="28"/>
          <w:b/>
        </w:rPr>
        <w:t>西安市雁塔区中医医院</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西安市雁塔区中医医院</w:t>
      </w:r>
      <w:r>
        <w:rPr>
          <w:rFonts w:ascii="仿宋_GB2312" w:hAnsi="仿宋_GB2312" w:cs="仿宋_GB2312" w:eastAsia="仿宋_GB2312"/>
        </w:rPr>
        <w:t>委托，拟对</w:t>
      </w:r>
      <w:r>
        <w:rPr>
          <w:rFonts w:ascii="仿宋_GB2312" w:hAnsi="仿宋_GB2312" w:cs="仿宋_GB2312" w:eastAsia="仿宋_GB2312"/>
        </w:rPr>
        <w:t>雁塔区中医医院修缮提升项目设计服务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雁塔区中医医院修缮提升项目设计服务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雁塔区中医医院修缮提升项目设计服务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采购包1（雁塔区中医医院修缮提升项目设计服务）：属于专门面向中小企业采购。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2、社会保障资金缴纳证明：提供响应时间前六个月内已缴存的至少一个月的社会保障资金缴存单据或社保机构开具的社会保险参保缴费情况证明，依法不需要缴纳社会保障资金的单位应提供相关证明材料；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4、履约能力声明：提供具有履行合同所必需的设备和专业技术能力的承诺；</w:t>
      </w:r>
    </w:p>
    <w:p>
      <w:pPr>
        <w:pStyle w:val="null3"/>
      </w:pPr>
      <w:r>
        <w:rPr>
          <w:rFonts w:ascii="仿宋_GB2312" w:hAnsi="仿宋_GB2312" w:cs="仿宋_GB2312" w:eastAsia="仿宋_GB2312"/>
        </w:rPr>
        <w:t>5、三年无违法声明：参加政府采购活动前3年内，在经营活动中没有重大违法记录的书面声明；</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7、资质证书：供应商具备建设行政主管部门颁发的工程设计综合甲级资质或建筑行业设计乙级及以上资质或建筑行业（建筑工程）设计乙级及以上资质；</w:t>
      </w:r>
    </w:p>
    <w:p>
      <w:pPr>
        <w:pStyle w:val="null3"/>
      </w:pPr>
      <w:r>
        <w:rPr>
          <w:rFonts w:ascii="仿宋_GB2312" w:hAnsi="仿宋_GB2312" w:cs="仿宋_GB2312" w:eastAsia="仿宋_GB2312"/>
        </w:rPr>
        <w:t>8、项目负责人：供应商拟派项目负责人须具备二级注册建筑师及以上执业资格(在本单位注册)。</w:t>
      </w:r>
    </w:p>
    <w:p>
      <w:pPr>
        <w:pStyle w:val="null3"/>
      </w:pPr>
      <w:r>
        <w:rPr>
          <w:rFonts w:ascii="仿宋_GB2312" w:hAnsi="仿宋_GB2312" w:cs="仿宋_GB2312" w:eastAsia="仿宋_GB2312"/>
        </w:rPr>
        <w:t>9、非联合体声明：本项目不接受联合体。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杨娟华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029-88666369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西安市雁塔区中医医院</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雁塔区中医医院修缮提升项目设计服务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雁塔区中医医院修缮提升项目设计服务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标的名称：雁塔区中医医院修缮提升项目设计服务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15"/>
              <w:jc w:val="left"/>
            </w:pPr>
            <w:r>
              <w:rPr>
                <w:rFonts w:ascii="仿宋_GB2312" w:hAnsi="仿宋_GB2312" w:cs="仿宋_GB2312" w:eastAsia="仿宋_GB2312"/>
                <w:sz w:val="28"/>
                <w:b/>
                <w:color w:val="000000"/>
              </w:rPr>
              <w:t>一、项目概况</w:t>
            </w:r>
          </w:p>
          <w:p>
            <w:pPr>
              <w:pStyle w:val="null3"/>
              <w:spacing w:before="210"/>
              <w:ind w:left="885" w:right="270" w:firstLine="3"/>
              <w:jc w:val="left"/>
            </w:pPr>
            <w:r>
              <w:rPr>
                <w:rFonts w:ascii="仿宋_GB2312" w:hAnsi="仿宋_GB2312" w:cs="仿宋_GB2312" w:eastAsia="仿宋_GB2312"/>
                <w:sz w:val="28"/>
                <w:b/>
                <w:color w:val="000000"/>
              </w:rPr>
              <w:t>建筑面积：</w:t>
            </w:r>
            <w:r>
              <w:rPr>
                <w:rFonts w:ascii="仿宋_GB2312" w:hAnsi="仿宋_GB2312" w:cs="仿宋_GB2312" w:eastAsia="仿宋_GB2312"/>
                <w:sz w:val="28"/>
                <w:color w:val="000000"/>
              </w:rPr>
              <w:t>总建筑面积为约</w:t>
            </w:r>
            <w:r>
              <w:rPr>
                <w:rFonts w:ascii="仿宋_GB2312" w:hAnsi="仿宋_GB2312" w:cs="仿宋_GB2312" w:eastAsia="仿宋_GB2312"/>
                <w:sz w:val="28"/>
                <w:color w:val="000000"/>
              </w:rPr>
              <w:t>5985㎡，本次改造面积为2231平</w:t>
            </w:r>
            <w:r>
              <w:rPr>
                <w:rFonts w:ascii="仿宋_GB2312" w:hAnsi="仿宋_GB2312" w:cs="仿宋_GB2312" w:eastAsia="仿宋_GB2312"/>
                <w:sz w:val="28"/>
                <w:color w:val="000000"/>
              </w:rPr>
              <w:t>米。</w:t>
            </w:r>
          </w:p>
          <w:p>
            <w:pPr>
              <w:pStyle w:val="null3"/>
              <w:spacing w:before="225"/>
              <w:ind w:left="45" w:right="210" w:firstLine="830"/>
              <w:jc w:val="left"/>
            </w:pPr>
            <w:r>
              <w:rPr>
                <w:rFonts w:ascii="仿宋_GB2312" w:hAnsi="仿宋_GB2312" w:cs="仿宋_GB2312" w:eastAsia="仿宋_GB2312"/>
                <w:sz w:val="28"/>
                <w:b/>
                <w:color w:val="000000"/>
              </w:rPr>
              <w:t>服务内容：</w:t>
            </w:r>
            <w:r>
              <w:rPr>
                <w:rFonts w:ascii="仿宋_GB2312" w:hAnsi="仿宋_GB2312" w:cs="仿宋_GB2312" w:eastAsia="仿宋_GB2312"/>
                <w:sz w:val="28"/>
                <w:color w:val="000000"/>
              </w:rPr>
              <w:t>院内钢结构新建房及室内外装饰、改造部分导视设计、原综合楼、行政办公楼室内外装饰设计。</w:t>
            </w:r>
          </w:p>
          <w:p>
            <w:pPr>
              <w:pStyle w:val="null3"/>
              <w:ind w:left="15"/>
              <w:jc w:val="left"/>
            </w:pPr>
            <w:r>
              <w:rPr>
                <w:rFonts w:ascii="仿宋_GB2312" w:hAnsi="仿宋_GB2312" w:cs="仿宋_GB2312" w:eastAsia="仿宋_GB2312"/>
                <w:sz w:val="28"/>
                <w:b/>
                <w:color w:val="000000"/>
              </w:rPr>
              <w:t>二、服务目的</w:t>
            </w:r>
          </w:p>
          <w:p>
            <w:pPr>
              <w:pStyle w:val="null3"/>
              <w:spacing w:before="120"/>
              <w:ind w:left="30" w:right="210" w:firstLine="555"/>
              <w:jc w:val="left"/>
            </w:pPr>
            <w:r>
              <w:rPr>
                <w:rFonts w:ascii="仿宋_GB2312" w:hAnsi="仿宋_GB2312" w:cs="仿宋_GB2312" w:eastAsia="仿宋_GB2312"/>
                <w:sz w:val="28"/>
                <w:color w:val="000000"/>
              </w:rPr>
              <w:t>根据雁塔中医医院业务发展需求，对现有环境进行室内外装饰</w:t>
            </w:r>
            <w:r>
              <w:rPr>
                <w:rFonts w:ascii="仿宋_GB2312" w:hAnsi="仿宋_GB2312" w:cs="仿宋_GB2312" w:eastAsia="仿宋_GB2312"/>
                <w:sz w:val="28"/>
                <w:color w:val="000000"/>
              </w:rPr>
              <w:t>提升，室内外装饰方案及施工图设计以及院内新建钢结构，满足进</w:t>
            </w:r>
            <w:r>
              <w:rPr>
                <w:rFonts w:ascii="仿宋_GB2312" w:hAnsi="仿宋_GB2312" w:cs="仿宋_GB2312" w:eastAsia="仿宋_GB2312"/>
                <w:sz w:val="28"/>
                <w:color w:val="000000"/>
              </w:rPr>
              <w:t>一步完善医疗功能，确定详细的功能房间布局，提升改造室内装饰可更加完整的塑造医院室内环境，展现本院的文化理念，服务理念及中医药文化建设的特色理念。将本项目建设成为功能流程合理、就医环境温馨舒适、中医文化特色鲜明的现代化中医医院！</w:t>
            </w:r>
          </w:p>
          <w:p>
            <w:pPr>
              <w:pStyle w:val="null3"/>
              <w:spacing w:before="210"/>
              <w:ind w:left="30" w:right="195" w:firstLine="5"/>
              <w:jc w:val="left"/>
            </w:pPr>
            <w:r>
              <w:rPr>
                <w:rFonts w:ascii="仿宋_GB2312" w:hAnsi="仿宋_GB2312" w:cs="仿宋_GB2312" w:eastAsia="仿宋_GB2312"/>
                <w:sz w:val="28"/>
                <w:color w:val="000000"/>
              </w:rPr>
              <w:t>三、</w:t>
            </w:r>
            <w:r>
              <w:rPr>
                <w:rFonts w:ascii="仿宋_GB2312" w:hAnsi="仿宋_GB2312" w:cs="仿宋_GB2312" w:eastAsia="仿宋_GB2312"/>
                <w:sz w:val="28"/>
                <w:b/>
                <w:color w:val="000000"/>
              </w:rPr>
              <w:t>施工阶段的跟进工作</w:t>
            </w:r>
          </w:p>
          <w:p>
            <w:pPr>
              <w:pStyle w:val="null3"/>
              <w:spacing w:before="210"/>
              <w:ind w:left="30" w:right="195" w:firstLine="5"/>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 xml:space="preserve"> 1）进入装修施工阶段后与业主及施工方进行设计交底沟通工作。</w:t>
            </w:r>
          </w:p>
          <w:p>
            <w:pPr>
              <w:pStyle w:val="null3"/>
              <w:spacing w:before="210"/>
              <w:ind w:left="30" w:right="195" w:firstLine="5"/>
              <w:jc w:val="left"/>
            </w:pPr>
            <w:r>
              <w:rPr>
                <w:rFonts w:ascii="仿宋_GB2312" w:hAnsi="仿宋_GB2312" w:cs="仿宋_GB2312" w:eastAsia="仿宋_GB2312"/>
                <w:sz w:val="28"/>
                <w:color w:val="000000"/>
              </w:rPr>
              <w:t xml:space="preserve">  2）解答施工中遇到的设计问题，参与装修工程竣工验收。</w:t>
            </w:r>
          </w:p>
          <w:p>
            <w:pPr>
              <w:pStyle w:val="null3"/>
              <w:spacing w:before="210"/>
              <w:ind w:left="30" w:right="195" w:firstLine="5"/>
              <w:jc w:val="left"/>
            </w:pPr>
            <w:r>
              <w:rPr>
                <w:rFonts w:ascii="仿宋_GB2312" w:hAnsi="仿宋_GB2312" w:cs="仿宋_GB2312" w:eastAsia="仿宋_GB2312"/>
                <w:sz w:val="28"/>
                <w:color w:val="000000"/>
              </w:rPr>
              <w:t>四、设计依据设计依据及适用规范标准：</w:t>
            </w:r>
          </w:p>
          <w:p>
            <w:pPr>
              <w:pStyle w:val="null3"/>
              <w:spacing w:before="210"/>
              <w:ind w:left="30" w:right="195" w:firstLine="5"/>
              <w:jc w:val="left"/>
            </w:pPr>
            <w:r>
              <w:rPr>
                <w:rFonts w:ascii="仿宋_GB2312" w:hAnsi="仿宋_GB2312" w:cs="仿宋_GB2312" w:eastAsia="仿宋_GB2312"/>
                <w:sz w:val="28"/>
                <w:color w:val="000000"/>
              </w:rPr>
              <w:t>现行国家及地方有关施工规范、规程及验收标准，以及有关工程施工管理的规定。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进度款，提交平面及方案设计经甲方确定后，达到付款条件起30个工作日内，支付合同总金额的40.0%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进度款，交付全套施工图后，达到付款条件起30个工作日内，支付合同总金额的50.0%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1、服务期：自合同签订之日起至本项目结束。 2、服务地点：采购人指定地点。 3、付款方式：1.提交平面及方案设计经甲方确定后，支付合同总额的40%；2.交付全套施工图后，支付合同总额的50%；3.竣工验收后，支付合同总额的10%。（付款方式以此条为准）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供应商具备建设行政主管部门颁发的工程设计综合甲级资质或建筑行业设计乙级及以上资质或建筑行业（建筑工程）设计乙级及以上资质；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供应商拟派项目负责人须具备二级注册建筑师及以上执业资格(在本单位注册)。</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整体修缮提升设计方案</w:t>
            </w:r>
          </w:p>
        </w:tc>
        <w:tc>
          <w:tcPr>
            <w:tcW w:type="dxa" w:w="2492"/>
          </w:tcPr>
          <w:p>
            <w:pPr>
              <w:pStyle w:val="null3"/>
            </w:pPr>
            <w:r>
              <w:rPr>
                <w:rFonts w:ascii="仿宋_GB2312" w:hAnsi="仿宋_GB2312" w:cs="仿宋_GB2312" w:eastAsia="仿宋_GB2312"/>
              </w:rPr>
              <w:t>一、评审内容：①整体布局优化设计；②建筑外立面及室内装修修缮设计；③给排水、电气、暖通、消防专项改造设计。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 1分，满分3分，共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设计质量管控与图纸内审保障体系</w:t>
            </w:r>
          </w:p>
        </w:tc>
        <w:tc>
          <w:tcPr>
            <w:tcW w:type="dxa" w:w="2492"/>
          </w:tcPr>
          <w:p>
            <w:pPr>
              <w:pStyle w:val="null3"/>
            </w:pPr>
            <w:r>
              <w:rPr>
                <w:rFonts w:ascii="仿宋_GB2312" w:hAnsi="仿宋_GB2312" w:cs="仿宋_GB2312" w:eastAsia="仿宋_GB2312"/>
              </w:rPr>
              <w:t>一、评审内容：①多级图纸校核审核制度；②设计差错预防管控措施；③图纸会审及问题整改机制；④设计变更流程管控办法。 二、评审标准： 1、完整性：方案须全面，对评审内容中的各项要求有详细描述及说明； 2、可实施性：切合本项目实际情况，实施步骤清晰、合理； 3、针对性：方案能够紧扣项目实际情况，内容科学合理； 三、赋分标准（满分 12分）：每项评审内容每完全满足一项评审标准得1分，满分3分，共 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设计进度计划与工期履约保障方案</w:t>
            </w:r>
          </w:p>
        </w:tc>
        <w:tc>
          <w:tcPr>
            <w:tcW w:type="dxa" w:w="2492"/>
          </w:tcPr>
          <w:p>
            <w:pPr>
              <w:pStyle w:val="null3"/>
            </w:pPr>
            <w:r>
              <w:rPr>
                <w:rFonts w:ascii="仿宋_GB2312" w:hAnsi="仿宋_GB2312" w:cs="仿宋_GB2312" w:eastAsia="仿宋_GB2312"/>
              </w:rPr>
              <w:t>一、评审内容：①各阶段图纸出具时间节点规划；②审图及报审周期安排；③工期延误应急补救措施；④多专业交叉设计协同管理方案。 二、评审标准： 1、完整性：方案须全面，对评审内容中的各项要求有详细描述及说明； 2、可实施性：切合本项目实际情况，实施步骤清晰、合理； 3、针对性：方案能够紧扣项目实际情况，内容科学合理； 三、赋分标准（满分 12 分）：每项评审内容每完全满足一项评审标准得 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重难点分析及对应设计处置方案</w:t>
            </w:r>
          </w:p>
        </w:tc>
        <w:tc>
          <w:tcPr>
            <w:tcW w:type="dxa" w:w="2492"/>
          </w:tcPr>
          <w:p>
            <w:pPr>
              <w:pStyle w:val="null3"/>
            </w:pPr>
            <w:r>
              <w:rPr>
                <w:rFonts w:ascii="仿宋_GB2312" w:hAnsi="仿宋_GB2312" w:cs="仿宋_GB2312" w:eastAsia="仿宋_GB2312"/>
              </w:rPr>
              <w:t>一、评审内容：①不停诊施工医患通行分流难点处置；②原有老旧管线摸排与改造方案；③既有建筑结构修缮加固重难点应对；④无障碍及适老化改造专项解决思路。 二、评审标准： 1、完整性：方案须全面，对评审内容中的各项要求有详细描述及说明； 2、可实施性：切合本项目实际情况，实施步骤清晰、合理； 3、针对性：方案能够紧扣项目实际情况，内容科学合理； 三、赋分标准（满分 6 分）：每项评审内容每完全满足一项评审标准得 0.5分，满分 1.5 分，共 6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①拟派项目负责人具备建筑工程相关专业高级工程师的得5分，具备建筑工程相关专业中级工程师得3分，不满足不得分。 ②拟派项目负责人具有2023年7月起至今类似项目业绩，每提供1个业绩得2分，最多得6分。 说明：需按要求提供拟派项目负责人的职称证、业绩等证明材料。拟派项目负责人业绩与企业业绩可重复计算。</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①拟派项目组成员中具有建筑工程相关专业高级工程师的，每有1人的得 2分，最高得4分。 ②拟派项目组成员中具有建筑工程相关专业注册执业资格，每有1人的得 2分，最高得8分。说明：项目组成人员不含项目负责人，需提供相关人员的职称证、注册证等证明材料。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供应商针对本项目提供真实、具体的服务承诺：1、质量与合规性承诺；2、驻场服务与现场配合承诺；3、进度保障与按时交付承诺；4、保密承诺等。每提供一份承诺得2分，满分8分；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2023年7月至今承接过类似设计项目的业绩证明，每提供一个得2分，满分10分。（以提供的合同复印件为准）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2、满足磋商文件实质性要求且最终报价最低的供应商的价格为评标基准价，其价格分为满分20分。 3、投标报价得分=（评标基准价/最终投标报价）×20。 4、投标报价不完整的，不进入投标基准价的计算，本项得0分。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