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A33DA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</w:pPr>
      <w:bookmarkStart w:id="0" w:name="_Toc25912"/>
      <w:bookmarkStart w:id="1" w:name="_Toc26537"/>
      <w:r>
        <w:rPr>
          <w:rFonts w:hint="eastAsia" w:ascii="仿宋" w:hAnsi="仿宋" w:cs="仿宋"/>
          <w:b/>
          <w:bCs/>
          <w:sz w:val="32"/>
          <w:szCs w:val="32"/>
          <w:highlight w:val="none"/>
          <w:lang w:val="en-US" w:eastAsia="zh-CN"/>
        </w:rPr>
        <w:t>采购需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求</w:t>
      </w:r>
      <w:bookmarkEnd w:id="0"/>
      <w:bookmarkEnd w:id="1"/>
    </w:p>
    <w:p w14:paraId="1F8848EF">
      <w:pPr>
        <w:keepNext/>
        <w:keepLines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0" w:leftChars="0" w:firstLine="482" w:firstLineChars="200"/>
        <w:textAlignment w:val="auto"/>
        <w:outlineLvl w:val="9"/>
        <w:rPr>
          <w:rFonts w:hint="eastAsia" w:ascii="仿宋" w:hAnsi="仿宋" w:eastAsia="仿宋" w:cs="仿宋"/>
          <w:b/>
          <w:bCs/>
          <w:color w:val="00000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szCs w:val="24"/>
          <w:highlight w:val="none"/>
          <w:shd w:val="clear" w:color="auto" w:fill="auto"/>
          <w:lang w:val="en-US" w:eastAsia="zh-CN"/>
        </w:rPr>
        <w:t>一、采购总体要求</w:t>
      </w:r>
    </w:p>
    <w:p w14:paraId="26E50763">
      <w:pPr>
        <w:keepNext/>
        <w:keepLines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0" w:leftChars="0" w:firstLine="480" w:firstLineChars="200"/>
        <w:textAlignment w:val="auto"/>
        <w:outlineLvl w:val="9"/>
        <w:rPr>
          <w:rFonts w:hint="eastAsia" w:ascii="仿宋" w:hAnsi="仿宋" w:eastAsia="仿宋" w:cs="仿宋"/>
          <w:color w:val="00000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shd w:val="clear" w:color="auto" w:fill="auto"/>
          <w:lang w:val="en-US" w:eastAsia="zh-CN"/>
        </w:rPr>
        <w:t>本次采购全自动血液细胞分析仪1台。</w:t>
      </w:r>
    </w:p>
    <w:p w14:paraId="7F6FA382">
      <w:pPr>
        <w:keepNext/>
        <w:keepLines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0" w:leftChars="0" w:firstLine="482" w:firstLineChars="200"/>
        <w:textAlignment w:val="auto"/>
        <w:outlineLvl w:val="9"/>
        <w:rPr>
          <w:rFonts w:hint="default" w:ascii="仿宋" w:hAnsi="仿宋" w:eastAsia="仿宋" w:cs="仿宋"/>
          <w:b/>
          <w:bCs/>
          <w:color w:val="00000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szCs w:val="24"/>
          <w:highlight w:val="none"/>
          <w:shd w:val="clear" w:color="auto" w:fill="auto"/>
          <w:lang w:val="en-US" w:eastAsia="zh-CN"/>
        </w:rPr>
        <w:t>二、设备技术参数</w:t>
      </w:r>
    </w:p>
    <w:p w14:paraId="3A0BAD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/>
          <w:kern w:val="0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kern w:val="0"/>
          <w:sz w:val="24"/>
          <w:szCs w:val="24"/>
        </w:rPr>
        <w:t>全自动五分类血液分析仪</w:t>
      </w:r>
    </w:p>
    <w:p w14:paraId="0DA459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检测原理：激光流式技术结合荧光染色技术</w:t>
      </w:r>
    </w:p>
    <w:p w14:paraId="0AA73D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仿宋" w:hAnsi="仿宋" w:eastAsia="仿宋" w:cs="仿宋"/>
          <w:sz w:val="24"/>
          <w:szCs w:val="24"/>
        </w:rPr>
        <w:t>检测参数：报告参数≥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33</w:t>
      </w:r>
      <w:r>
        <w:rPr>
          <w:rFonts w:hint="eastAsia" w:ascii="仿宋" w:hAnsi="仿宋" w:eastAsia="仿宋" w:cs="仿宋"/>
          <w:sz w:val="24"/>
          <w:szCs w:val="24"/>
        </w:rPr>
        <w:t>个</w:t>
      </w:r>
      <w:bookmarkStart w:id="2" w:name="_GoBack"/>
      <w:bookmarkEnd w:id="2"/>
    </w:p>
    <w:p w14:paraId="3D60FD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仿宋" w:hAnsi="仿宋" w:eastAsia="仿宋" w:cs="仿宋"/>
          <w:sz w:val="24"/>
          <w:szCs w:val="24"/>
        </w:rPr>
        <w:t>单机检测速度：CBC+DIFF+NRBC≥90样本/小时</w:t>
      </w:r>
    </w:p>
    <w:p w14:paraId="401EDB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4.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▲异常细胞检出下限＜1%（提供第三方证明材料）</w:t>
      </w:r>
    </w:p>
    <w:p w14:paraId="63BDF6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5.</w:t>
      </w:r>
      <w:r>
        <w:rPr>
          <w:rFonts w:hint="eastAsia" w:ascii="仿宋" w:hAnsi="仿宋" w:eastAsia="仿宋" w:cs="仿宋"/>
          <w:sz w:val="24"/>
          <w:szCs w:val="24"/>
        </w:rPr>
        <w:t>样本类型：静脉全血、预稀释血、末梢微量血等</w:t>
      </w:r>
    </w:p>
    <w:p w14:paraId="676D57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6.</w:t>
      </w:r>
      <w:r>
        <w:rPr>
          <w:rFonts w:hint="eastAsia" w:ascii="仿宋" w:hAnsi="仿宋" w:eastAsia="仿宋" w:cs="仿宋"/>
          <w:sz w:val="24"/>
          <w:szCs w:val="24"/>
        </w:rPr>
        <w:t>可以对脑脊液、胸水、腹水、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滑液</w:t>
      </w:r>
      <w:r>
        <w:rPr>
          <w:rFonts w:hint="eastAsia" w:ascii="仿宋" w:hAnsi="仿宋" w:eastAsia="仿宋" w:cs="仿宋"/>
          <w:sz w:val="24"/>
          <w:szCs w:val="24"/>
        </w:rPr>
        <w:t>等体液进行红细胞和白细胞计数，且可以对体液中白细胞分类</w:t>
      </w:r>
    </w:p>
    <w:p w14:paraId="3C2782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7.</w:t>
      </w:r>
      <w:r>
        <w:rPr>
          <w:rFonts w:hint="eastAsia" w:ascii="仿宋" w:hAnsi="仿宋" w:eastAsia="仿宋" w:cs="仿宋"/>
          <w:sz w:val="24"/>
          <w:szCs w:val="24"/>
        </w:rPr>
        <w:t>有核红细胞检测功能：采用核酸荧光染色法进行定量检测，但无需单独通道和单独试剂，并能自动进行对白细胞细胞计数的校正</w:t>
      </w:r>
    </w:p>
    <w:p w14:paraId="1C040D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8.</w:t>
      </w:r>
      <w:r>
        <w:rPr>
          <w:rFonts w:hint="eastAsia" w:ascii="仿宋" w:hAnsi="仿宋" w:eastAsia="仿宋" w:cs="仿宋"/>
          <w:sz w:val="24"/>
          <w:szCs w:val="24"/>
        </w:rPr>
        <w:t>全血用血量：全自动进样、开盖模式手动进样时用血量均≤100ul，预稀释模式用血量≤20ul</w:t>
      </w:r>
    </w:p>
    <w:p w14:paraId="278FED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9.</w:t>
      </w:r>
      <w:r>
        <w:rPr>
          <w:rFonts w:hint="eastAsia" w:ascii="仿宋" w:hAnsi="仿宋" w:eastAsia="仿宋" w:cs="仿宋"/>
          <w:sz w:val="24"/>
          <w:szCs w:val="24"/>
        </w:rPr>
        <w:t>具有两种方法进行血小板的计数，每种方法的检测通道都有校准，</w:t>
      </w:r>
    </w:p>
    <w:p w14:paraId="71E84E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10.</w:t>
      </w:r>
      <w:r>
        <w:rPr>
          <w:rFonts w:hint="eastAsia" w:ascii="仿宋" w:hAnsi="仿宋" w:eastAsia="仿宋" w:cs="仿宋"/>
          <w:sz w:val="24"/>
          <w:szCs w:val="24"/>
        </w:rPr>
        <w:t>★血小板检测：具有单独的低值血小板通道，而非在网织红通道检测，使用特异性更强的核酸荧光染料检测血小板，消除红细胞碎片等对结果的干扰，提高血小板检测的准确性。</w:t>
      </w:r>
    </w:p>
    <w:p w14:paraId="0A24E9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11.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▲</w:t>
      </w:r>
      <w:r>
        <w:rPr>
          <w:rFonts w:hint="eastAsia" w:ascii="仿宋" w:hAnsi="仿宋" w:eastAsia="仿宋" w:cs="仿宋"/>
          <w:sz w:val="24"/>
          <w:szCs w:val="24"/>
        </w:rPr>
        <w:t>校准品：提供原厂配套的经NMPA和FDA注册的校准品，包含低值血小板校准品；一只校准品可提供多个校准项目包含 RBC.WBC、HGB、PLT、HCT、MCV、RET。以 NMPA 注册证为准;</w:t>
      </w:r>
    </w:p>
    <w:p w14:paraId="7E8B4F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▲</w:t>
      </w:r>
      <w:r>
        <w:rPr>
          <w:rFonts w:hint="eastAsia" w:ascii="仿宋" w:hAnsi="仿宋" w:eastAsia="仿宋" w:cs="仿宋"/>
          <w:sz w:val="24"/>
          <w:szCs w:val="24"/>
        </w:rPr>
        <w:t xml:space="preserve">提供原厂配套血液分析质控品，质控品的主要成分要是人血红细胞，人血白细胞、类血小板物质，以NMPA注册证为准； </w:t>
      </w:r>
    </w:p>
    <w:p w14:paraId="2642D6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13.</w:t>
      </w:r>
      <w:r>
        <w:rPr>
          <w:rFonts w:hint="eastAsia" w:ascii="仿宋" w:hAnsi="仿宋" w:eastAsia="仿宋" w:cs="仿宋"/>
          <w:sz w:val="24"/>
          <w:szCs w:val="24"/>
        </w:rPr>
        <w:t>体液质控：能提供原厂配套的经NMPA和FDA注册的体液质控品，提供注册证复印件。</w:t>
      </w:r>
    </w:p>
    <w:p w14:paraId="46013E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14.</w:t>
      </w:r>
      <w:r>
        <w:rPr>
          <w:rFonts w:hint="eastAsia" w:ascii="仿宋" w:hAnsi="仿宋" w:eastAsia="仿宋" w:cs="仿宋"/>
          <w:sz w:val="24"/>
          <w:szCs w:val="24"/>
        </w:rPr>
        <w:t>线性范围（静脉血）：白细胞：0-4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0</w:t>
      </w:r>
      <w:r>
        <w:rPr>
          <w:rFonts w:hint="eastAsia" w:ascii="仿宋" w:hAnsi="仿宋" w:eastAsia="仿宋" w:cs="仿宋"/>
          <w:sz w:val="24"/>
          <w:szCs w:val="24"/>
        </w:rPr>
        <w:t>0x109/L;红细胞：0-8.6*1012/L;血小板：0-5000*109/L;</w:t>
      </w:r>
    </w:p>
    <w:p w14:paraId="6C193B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15.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▲</w:t>
      </w:r>
      <w:r>
        <w:rPr>
          <w:rFonts w:hint="eastAsia" w:ascii="仿宋" w:hAnsi="仿宋" w:eastAsia="仿宋" w:cs="仿宋"/>
          <w:sz w:val="24"/>
          <w:szCs w:val="24"/>
        </w:rPr>
        <w:t>为保证血小板计数的准确性，需具备低值血小板的检测能力，当血小板≥100×109/L，精确度＜2.5%；当血小板≥20×109/L，精确度＜5.0%</w:t>
      </w:r>
    </w:p>
    <w:p w14:paraId="1982A3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16.</w:t>
      </w:r>
      <w:r>
        <w:rPr>
          <w:rFonts w:hint="eastAsia" w:ascii="仿宋" w:hAnsi="仿宋" w:eastAsia="仿宋" w:cs="仿宋"/>
          <w:sz w:val="24"/>
          <w:szCs w:val="24"/>
        </w:rPr>
        <w:t>智能管理软件：包含复检规则设定、数据统计功能（假阴性、假阳性，复检率等）、复检信息管理功能、自动审核功能，且可提供多中心自动审核评估文章作为凭据。</w:t>
      </w:r>
    </w:p>
    <w:p w14:paraId="11400E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17.</w:t>
      </w:r>
      <w:r>
        <w:rPr>
          <w:rFonts w:hint="eastAsia" w:ascii="仿宋" w:hAnsi="仿宋" w:eastAsia="仿宋" w:cs="仿宋"/>
          <w:sz w:val="24"/>
          <w:szCs w:val="24"/>
        </w:rPr>
        <w:t>实时网络通讯系统：可实现实时在线网络质控功能，10min在线反馈结果，该系统通过了ISO17043认证及ilac-MRA国际认证，确保用户的结果质量达到国际质量水准。</w:t>
      </w:r>
    </w:p>
    <w:p w14:paraId="0FEA2C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18.</w:t>
      </w:r>
      <w:r>
        <w:rPr>
          <w:rFonts w:hint="eastAsia" w:ascii="仿宋" w:hAnsi="仿宋" w:eastAsia="仿宋" w:cs="仿宋"/>
          <w:sz w:val="24"/>
          <w:szCs w:val="24"/>
        </w:rPr>
        <w:t>同类产品在客户端使用参与卫生健康委临检中心的家数不少于500家</w:t>
      </w:r>
    </w:p>
    <w:p w14:paraId="1C0D8E2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00"/>
          <w:sz w:val="24"/>
          <w:szCs w:val="24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color w:val="000000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color w:val="000000"/>
          <w:sz w:val="24"/>
          <w:szCs w:val="24"/>
        </w:rPr>
        <w:t>特定蛋白检测模块</w:t>
      </w:r>
    </w:p>
    <w:p w14:paraId="7EEA5CE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1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模块数量：1台。</w:t>
      </w:r>
    </w:p>
    <w:p w14:paraId="04531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2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 xml:space="preserve"> ▲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可适用于血清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</w:rPr>
        <w:t>样本，以及EDTA-K2 或肝素钠抗凝的血浆样本、全血样本、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微量全血样本，用血量≤15ul</w:t>
      </w:r>
    </w:p>
    <w:p w14:paraId="54BF2DF8">
      <w:pPr>
        <w:keepNext w:val="0"/>
        <w:keepLines w:val="0"/>
        <w:pageBreakBefore w:val="0"/>
        <w:widowControl w:val="0"/>
        <w:tabs>
          <w:tab w:val="left" w:pos="5514"/>
        </w:tabs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3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可进行血常规和CRP、SAA联合检测，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ab/>
      </w:r>
    </w:p>
    <w:p w14:paraId="39E632A8">
      <w:pPr>
        <w:keepNext w:val="0"/>
        <w:keepLines w:val="0"/>
        <w:pageBreakBefore w:val="0"/>
        <w:widowControl w:val="0"/>
        <w:tabs>
          <w:tab w:val="left" w:pos="5514"/>
        </w:tabs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CRP/SAA 检测速度可达到 ≥180测试/小时</w:t>
      </w:r>
    </w:p>
    <w:p w14:paraId="0F712E72">
      <w:pPr>
        <w:keepNext w:val="0"/>
        <w:keepLines w:val="0"/>
        <w:pageBreakBefore w:val="0"/>
        <w:widowControl w:val="0"/>
        <w:tabs>
          <w:tab w:val="left" w:pos="5514"/>
        </w:tabs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▲CRP重复性CV≤5%；CRP线性范围需覆盖0.5~350mg/L。</w:t>
      </w:r>
    </w:p>
    <w:p w14:paraId="05092C60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-SA"/>
        </w:rPr>
        <w:t>6.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SAA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</w:rPr>
        <w:t>线性范围（5～200mg/L）浓度范围的相关系数（r）≥0.9900</w:t>
      </w:r>
    </w:p>
    <w:p w14:paraId="347CAF02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-SA"/>
        </w:rPr>
        <w:t>7.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</w:rPr>
        <w:t>可提供配套质控、以及具备溯源体系的配套校准品；</w:t>
      </w:r>
    </w:p>
    <w:p w14:paraId="0A0D49B2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-SA"/>
        </w:rPr>
        <w:t>8.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</w:rPr>
        <w:t>具备国家卫生健康委临检中心质控分组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eastAsia="zh-CN"/>
        </w:rPr>
        <w:t>。</w:t>
      </w:r>
    </w:p>
    <w:p w14:paraId="135FBE55"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/>
        </w:rPr>
        <w:t>备注：带“★”的参数需求为实质性要求，投标人必须响应并满足的参数需求（提供相关证明材料），否则视为无效投标。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4225D3"/>
    <w:rsid w:val="1642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Times New Roman" w:hAnsi="Times New Roman" w:eastAsia="仿宋"/>
      <w:kern w:val="0"/>
      <w:sz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2026-08-04T04:00:00Z</dcterms:created>
  <dc:creator>德仁招标</dc:creator>
  <cp:lastModifiedBy>德仁招标</cp:lastModifiedBy>
  <dcterms:modified xsi:type="dcterms:W3CDTF">2026-08-04T04:00:26Z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1B5F24923E1C417F974165CD43ABC575_11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