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91A05">
      <w:pPr>
        <w:widowControl/>
        <w:numPr>
          <w:ilvl w:val="0"/>
          <w:numId w:val="0"/>
        </w:numPr>
        <w:shd w:val="clear" w:color="auto" w:fill="FFFFFF"/>
        <w:snapToGrid w:val="0"/>
        <w:spacing w:line="450" w:lineRule="atLeast"/>
        <w:ind w:left="0" w:leftChars="0" w:right="0" w:rightChars="0" w:firstLine="0" w:firstLineChars="0"/>
        <w:jc w:val="center"/>
        <w:outlineLvl w:val="0"/>
        <w:rPr>
          <w:rFonts w:hint="eastAsia" w:ascii="仿宋" w:hAnsi="仿宋" w:eastAsia="仿宋" w:cs="仿宋"/>
          <w:b/>
          <w:bCs/>
          <w:color w:val="333333"/>
          <w:kern w:val="44"/>
          <w:sz w:val="32"/>
          <w:szCs w:val="32"/>
          <w:shd w:val="clear" w:color="auto" w:fill="FFFFFF"/>
          <w:lang w:val="en-US" w:eastAsia="zh-CN" w:bidi="ar-SA"/>
        </w:rPr>
      </w:pPr>
      <w:r>
        <w:rPr>
          <w:rFonts w:hint="eastAsia" w:ascii="仿宋" w:hAnsi="仿宋" w:eastAsia="仿宋" w:cs="仿宋"/>
          <w:b/>
          <w:bCs/>
          <w:color w:val="333333"/>
          <w:kern w:val="44"/>
          <w:sz w:val="32"/>
          <w:szCs w:val="32"/>
          <w:shd w:val="clear" w:color="auto" w:fill="FFFFFF"/>
          <w:lang w:val="en-US" w:eastAsia="zh-CN" w:bidi="ar-SA"/>
        </w:rPr>
        <w:t>拟签订采购合同文本</w:t>
      </w:r>
    </w:p>
    <w:p w14:paraId="6CF8043E">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3640" w:firstLineChars="1300"/>
        <w:jc w:val="both"/>
        <w:textAlignment w:val="auto"/>
        <w:rPr>
          <w:rFonts w:hint="eastAsia" w:ascii="仿宋" w:hAnsi="仿宋" w:eastAsia="仿宋" w:cs="仿宋"/>
          <w:b w:val="0"/>
          <w:bCs w:val="0"/>
          <w:sz w:val="28"/>
          <w:szCs w:val="28"/>
          <w:highlight w:val="none"/>
        </w:rPr>
      </w:pPr>
      <w:bookmarkStart w:id="0" w:name="_Toc28172"/>
      <w:bookmarkStart w:id="1" w:name="_Toc18006"/>
      <w:r>
        <w:rPr>
          <w:rFonts w:hint="eastAsia" w:ascii="仿宋" w:hAnsi="仿宋" w:eastAsia="仿宋" w:cs="仿宋"/>
          <w:b w:val="0"/>
          <w:bCs w:val="0"/>
          <w:kern w:val="2"/>
          <w:sz w:val="28"/>
          <w:szCs w:val="28"/>
          <w:highlight w:val="none"/>
        </w:rPr>
        <w:t>（参考格式）</w:t>
      </w:r>
      <w:bookmarkEnd w:id="0"/>
      <w:bookmarkEnd w:id="1"/>
    </w:p>
    <w:p w14:paraId="08CA0369">
      <w:pPr>
        <w:spacing w:line="540" w:lineRule="exact"/>
        <w:ind w:left="0" w:leftChars="0" w:right="0" w:rightChars="0" w:firstLine="0" w:firstLineChars="0"/>
        <w:jc w:val="center"/>
        <w:outlineLvl w:val="0"/>
        <w:rPr>
          <w:rFonts w:hint="eastAsia" w:ascii="仿宋" w:hAnsi="仿宋" w:eastAsia="仿宋" w:cs="仿宋"/>
          <w:b w:val="0"/>
          <w:bCs w:val="0"/>
          <w:sz w:val="30"/>
          <w:szCs w:val="30"/>
          <w:lang w:val="zh-CN"/>
        </w:rPr>
      </w:pPr>
      <w:r>
        <w:rPr>
          <w:rFonts w:hint="eastAsia" w:ascii="仿宋" w:hAnsi="仿宋" w:eastAsia="仿宋" w:cs="仿宋"/>
          <w:b w:val="0"/>
          <w:bCs w:val="0"/>
          <w:sz w:val="28"/>
          <w:szCs w:val="28"/>
          <w:highlight w:val="none"/>
        </w:rPr>
        <w:t>(最终以甲乙双方实际协商签定协议为准)</w:t>
      </w:r>
    </w:p>
    <w:p w14:paraId="2BB233A0">
      <w:pPr>
        <w:spacing w:line="540" w:lineRule="exact"/>
        <w:jc w:val="both"/>
        <w:outlineLvl w:val="0"/>
        <w:rPr>
          <w:rFonts w:hint="eastAsia" w:ascii="仿宋" w:hAnsi="仿宋" w:eastAsia="仿宋" w:cs="仿宋"/>
          <w:b w:val="0"/>
          <w:bCs w:val="0"/>
          <w:sz w:val="30"/>
          <w:szCs w:val="30"/>
          <w:lang w:val="zh-CN"/>
        </w:rPr>
      </w:pPr>
    </w:p>
    <w:p w14:paraId="67540DFF">
      <w:pPr>
        <w:spacing w:line="540" w:lineRule="exact"/>
        <w:jc w:val="both"/>
        <w:outlineLvl w:val="0"/>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zh-CN"/>
        </w:rPr>
        <w:t>合同编号：</w:t>
      </w:r>
      <w:r>
        <w:rPr>
          <w:rFonts w:hint="eastAsia" w:ascii="仿宋" w:hAnsi="仿宋" w:eastAsia="仿宋" w:cs="仿宋"/>
          <w:b w:val="0"/>
          <w:bCs w:val="0"/>
          <w:sz w:val="30"/>
          <w:szCs w:val="30"/>
          <w:u w:val="single"/>
          <w:lang w:val="en-US" w:eastAsia="zh-CN"/>
        </w:rPr>
        <w:t xml:space="preserve">            </w:t>
      </w:r>
    </w:p>
    <w:p w14:paraId="1EA9D34B">
      <w:pPr>
        <w:spacing w:line="540" w:lineRule="exact"/>
        <w:jc w:val="center"/>
        <w:outlineLvl w:val="0"/>
        <w:rPr>
          <w:rFonts w:hint="eastAsia" w:ascii="仿宋" w:hAnsi="仿宋" w:eastAsia="仿宋" w:cs="仿宋"/>
          <w:b/>
          <w:bCs/>
          <w:sz w:val="44"/>
          <w:szCs w:val="44"/>
          <w:lang w:val="zh-CN"/>
        </w:rPr>
      </w:pPr>
    </w:p>
    <w:p w14:paraId="741BAE0C">
      <w:pPr>
        <w:rPr>
          <w:rFonts w:hint="eastAsia" w:ascii="仿宋" w:hAnsi="仿宋" w:eastAsia="仿宋" w:cs="仿宋"/>
          <w:b w:val="0"/>
          <w:bCs w:val="0"/>
          <w:sz w:val="21"/>
          <w:szCs w:val="24"/>
          <w:lang w:val="zh-CN"/>
        </w:rPr>
      </w:pPr>
    </w:p>
    <w:p w14:paraId="64F0FF56">
      <w:pPr>
        <w:widowControl w:val="0"/>
        <w:spacing w:line="540" w:lineRule="exact"/>
        <w:jc w:val="both"/>
        <w:rPr>
          <w:rFonts w:hint="eastAsia" w:ascii="仿宋" w:hAnsi="仿宋" w:eastAsia="仿宋" w:cs="仿宋"/>
          <w:b/>
          <w:bCs/>
          <w:kern w:val="2"/>
          <w:sz w:val="44"/>
          <w:szCs w:val="44"/>
          <w:lang w:val="zh-CN" w:eastAsia="zh-CN" w:bidi="ar-SA"/>
        </w:rPr>
      </w:pPr>
    </w:p>
    <w:p w14:paraId="0C80858C">
      <w:pPr>
        <w:widowControl w:val="0"/>
        <w:spacing w:line="480" w:lineRule="auto"/>
        <w:jc w:val="center"/>
        <w:rPr>
          <w:rFonts w:hint="eastAsia" w:ascii="仿宋" w:hAnsi="仿宋" w:eastAsia="仿宋" w:cs="仿宋"/>
          <w:b/>
          <w:bCs/>
          <w:kern w:val="2"/>
          <w:sz w:val="44"/>
          <w:szCs w:val="44"/>
          <w:lang w:val="zh-CN" w:eastAsia="zh-CN" w:bidi="ar-SA"/>
        </w:rPr>
      </w:pPr>
      <w:bookmarkStart w:id="3" w:name="_GoBack"/>
      <w:bookmarkEnd w:id="3"/>
    </w:p>
    <w:p w14:paraId="58D1538B">
      <w:pPr>
        <w:rPr>
          <w:rFonts w:hint="eastAsia" w:ascii="仿宋" w:hAnsi="仿宋" w:eastAsia="仿宋" w:cs="仿宋"/>
          <w:b/>
          <w:bCs/>
          <w:sz w:val="44"/>
          <w:szCs w:val="44"/>
          <w:lang w:val="zh-CN"/>
        </w:rPr>
      </w:pPr>
    </w:p>
    <w:p w14:paraId="78D0EF04">
      <w:pPr>
        <w:rPr>
          <w:rFonts w:hint="eastAsia" w:ascii="仿宋" w:hAnsi="仿宋" w:eastAsia="仿宋" w:cs="仿宋"/>
          <w:b/>
          <w:bCs/>
          <w:sz w:val="44"/>
          <w:szCs w:val="44"/>
          <w:lang w:val="zh-CN"/>
        </w:rPr>
      </w:pPr>
    </w:p>
    <w:p w14:paraId="14FE1B37">
      <w:pPr>
        <w:widowControl w:val="0"/>
        <w:spacing w:line="480" w:lineRule="auto"/>
        <w:jc w:val="center"/>
        <w:rPr>
          <w:rFonts w:hint="eastAsia" w:ascii="仿宋" w:hAnsi="仿宋" w:eastAsia="仿宋" w:cs="仿宋"/>
          <w:b/>
          <w:bCs/>
          <w:kern w:val="2"/>
          <w:sz w:val="44"/>
          <w:szCs w:val="44"/>
          <w:lang w:val="zh-CN" w:eastAsia="zh-CN" w:bidi="ar-SA"/>
        </w:rPr>
      </w:pPr>
      <w:r>
        <w:rPr>
          <w:rFonts w:hint="eastAsia" w:ascii="仿宋" w:hAnsi="仿宋" w:eastAsia="仿宋" w:cs="仿宋"/>
          <w:b/>
          <w:bCs/>
          <w:kern w:val="2"/>
          <w:sz w:val="44"/>
          <w:szCs w:val="44"/>
          <w:lang w:val="zh-CN" w:eastAsia="zh-CN" w:bidi="ar-SA"/>
        </w:rPr>
        <w:t>李家河水源地水质自动监测站一期</w:t>
      </w:r>
    </w:p>
    <w:p w14:paraId="4F91C673">
      <w:pPr>
        <w:widowControl w:val="0"/>
        <w:spacing w:line="480" w:lineRule="auto"/>
        <w:jc w:val="center"/>
        <w:rPr>
          <w:rFonts w:hint="eastAsia" w:ascii="仿宋" w:hAnsi="仿宋" w:eastAsia="仿宋" w:cs="仿宋"/>
          <w:b/>
          <w:bCs/>
          <w:kern w:val="2"/>
          <w:sz w:val="44"/>
          <w:szCs w:val="44"/>
          <w:lang w:val="zh-CN" w:eastAsia="zh-CN" w:bidi="ar-SA"/>
        </w:rPr>
      </w:pPr>
      <w:r>
        <w:rPr>
          <w:rFonts w:hint="eastAsia" w:ascii="仿宋" w:hAnsi="仿宋" w:eastAsia="仿宋" w:cs="仿宋"/>
          <w:b/>
          <w:bCs/>
          <w:kern w:val="2"/>
          <w:sz w:val="44"/>
          <w:szCs w:val="44"/>
          <w:lang w:val="zh-CN" w:eastAsia="zh-CN" w:bidi="ar-SA"/>
        </w:rPr>
        <w:t>运维项目合同</w:t>
      </w:r>
    </w:p>
    <w:p w14:paraId="127BB92C">
      <w:pPr>
        <w:spacing w:line="480" w:lineRule="auto"/>
        <w:jc w:val="center"/>
        <w:outlineLvl w:val="0"/>
        <w:rPr>
          <w:rFonts w:hint="eastAsia" w:ascii="仿宋" w:hAnsi="仿宋" w:eastAsia="仿宋" w:cs="仿宋"/>
          <w:b/>
          <w:bCs/>
          <w:sz w:val="44"/>
          <w:szCs w:val="44"/>
          <w:lang w:val="zh-CN"/>
        </w:rPr>
      </w:pPr>
    </w:p>
    <w:p w14:paraId="730FD756">
      <w:pPr>
        <w:spacing w:line="540" w:lineRule="exact"/>
        <w:jc w:val="center"/>
        <w:outlineLvl w:val="0"/>
        <w:rPr>
          <w:rFonts w:hint="eastAsia" w:ascii="仿宋" w:hAnsi="仿宋" w:eastAsia="仿宋" w:cs="仿宋"/>
          <w:b/>
          <w:bCs/>
          <w:sz w:val="44"/>
          <w:szCs w:val="44"/>
          <w:lang w:val="zh-CN"/>
        </w:rPr>
      </w:pPr>
    </w:p>
    <w:p w14:paraId="41C501BE">
      <w:pPr>
        <w:widowControl w:val="0"/>
        <w:spacing w:line="540" w:lineRule="exact"/>
        <w:jc w:val="center"/>
        <w:rPr>
          <w:rFonts w:hint="eastAsia" w:ascii="仿宋" w:hAnsi="仿宋" w:eastAsia="仿宋" w:cs="仿宋"/>
          <w:b/>
          <w:bCs/>
          <w:kern w:val="2"/>
          <w:sz w:val="44"/>
          <w:szCs w:val="44"/>
          <w:lang w:val="zh-CN" w:eastAsia="zh-CN" w:bidi="ar-SA"/>
        </w:rPr>
      </w:pPr>
    </w:p>
    <w:p w14:paraId="3DE0A779">
      <w:pPr>
        <w:widowControl w:val="0"/>
        <w:spacing w:line="540" w:lineRule="exact"/>
        <w:jc w:val="center"/>
        <w:rPr>
          <w:rFonts w:hint="eastAsia" w:ascii="仿宋" w:hAnsi="仿宋" w:eastAsia="仿宋" w:cs="仿宋"/>
          <w:b/>
          <w:bCs/>
          <w:kern w:val="2"/>
          <w:sz w:val="44"/>
          <w:szCs w:val="44"/>
          <w:lang w:val="zh-CN" w:eastAsia="zh-CN" w:bidi="ar-SA"/>
        </w:rPr>
      </w:pPr>
    </w:p>
    <w:p w14:paraId="474A73AB">
      <w:pPr>
        <w:widowControl w:val="0"/>
        <w:spacing w:line="540" w:lineRule="exact"/>
        <w:jc w:val="center"/>
        <w:rPr>
          <w:rFonts w:hint="eastAsia" w:ascii="仿宋" w:hAnsi="仿宋" w:eastAsia="仿宋" w:cs="仿宋"/>
          <w:b/>
          <w:bCs/>
          <w:kern w:val="2"/>
          <w:sz w:val="44"/>
          <w:szCs w:val="44"/>
          <w:lang w:val="zh-CN" w:eastAsia="zh-CN" w:bidi="ar-SA"/>
        </w:rPr>
      </w:pPr>
    </w:p>
    <w:p w14:paraId="0E4434FA">
      <w:pPr>
        <w:widowControl w:val="0"/>
        <w:spacing w:line="540" w:lineRule="exact"/>
        <w:jc w:val="center"/>
        <w:rPr>
          <w:rFonts w:hint="eastAsia" w:ascii="仿宋" w:hAnsi="仿宋" w:eastAsia="仿宋" w:cs="仿宋"/>
          <w:b/>
          <w:bCs/>
          <w:kern w:val="2"/>
          <w:sz w:val="44"/>
          <w:szCs w:val="44"/>
          <w:lang w:val="zh-CN" w:eastAsia="zh-CN" w:bidi="ar-SA"/>
        </w:rPr>
      </w:pPr>
    </w:p>
    <w:p w14:paraId="69B103BB">
      <w:pPr>
        <w:widowControl w:val="0"/>
        <w:spacing w:line="540" w:lineRule="exact"/>
        <w:jc w:val="center"/>
        <w:rPr>
          <w:rFonts w:hint="eastAsia" w:ascii="仿宋" w:hAnsi="仿宋" w:eastAsia="仿宋" w:cs="仿宋"/>
          <w:b/>
          <w:bCs/>
          <w:kern w:val="2"/>
          <w:sz w:val="44"/>
          <w:szCs w:val="44"/>
          <w:lang w:val="zh-CN" w:eastAsia="zh-CN" w:bidi="ar-SA"/>
        </w:rPr>
      </w:pPr>
    </w:p>
    <w:p w14:paraId="0F8AEFCB">
      <w:pPr>
        <w:widowControl w:val="0"/>
        <w:spacing w:line="540" w:lineRule="exact"/>
        <w:jc w:val="both"/>
        <w:rPr>
          <w:rFonts w:hint="eastAsia" w:ascii="仿宋" w:hAnsi="仿宋" w:eastAsia="仿宋" w:cs="仿宋"/>
          <w:b/>
          <w:bCs/>
          <w:kern w:val="2"/>
          <w:sz w:val="32"/>
          <w:szCs w:val="32"/>
          <w:lang w:val="en-US" w:eastAsia="zh-CN" w:bidi="ar-SA"/>
        </w:rPr>
      </w:pPr>
    </w:p>
    <w:p w14:paraId="601E076D">
      <w:pPr>
        <w:widowControl w:val="0"/>
        <w:spacing w:line="480" w:lineRule="auto"/>
        <w:ind w:firstLine="1606" w:firstLineChars="500"/>
        <w:jc w:val="both"/>
        <w:rPr>
          <w:rFonts w:hint="eastAsia" w:ascii="仿宋" w:hAnsi="仿宋" w:eastAsia="仿宋" w:cs="仿宋"/>
          <w:b/>
          <w:bCs/>
          <w:kern w:val="2"/>
          <w:sz w:val="32"/>
          <w:szCs w:val="32"/>
          <w:u w:val="single"/>
          <w:lang w:val="en-US" w:eastAsia="zh-CN" w:bidi="ar-SA"/>
        </w:rPr>
      </w:pPr>
      <w:r>
        <w:rPr>
          <w:rFonts w:hint="eastAsia" w:ascii="仿宋" w:hAnsi="仿宋" w:eastAsia="仿宋" w:cs="仿宋"/>
          <w:b/>
          <w:bCs/>
          <w:kern w:val="2"/>
          <w:sz w:val="32"/>
          <w:szCs w:val="32"/>
          <w:lang w:val="en-US" w:eastAsia="zh-CN" w:bidi="ar-SA"/>
        </w:rPr>
        <w:t>甲方：</w:t>
      </w:r>
      <w:r>
        <w:rPr>
          <w:rFonts w:hint="eastAsia" w:ascii="仿宋" w:hAnsi="仿宋" w:eastAsia="仿宋" w:cs="仿宋"/>
          <w:b/>
          <w:bCs/>
          <w:kern w:val="2"/>
          <w:sz w:val="32"/>
          <w:szCs w:val="32"/>
          <w:u w:val="single"/>
          <w:lang w:val="en-US" w:eastAsia="zh-CN" w:bidi="ar-SA"/>
        </w:rPr>
        <w:t>西安市李家河水源地环境保护管理站</w:t>
      </w:r>
    </w:p>
    <w:p w14:paraId="7B0FC1C7">
      <w:pPr>
        <w:widowControl w:val="0"/>
        <w:spacing w:line="480" w:lineRule="auto"/>
        <w:ind w:firstLine="1606" w:firstLineChars="5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乙方：</w:t>
      </w:r>
      <w:r>
        <w:rPr>
          <w:rFonts w:hint="eastAsia" w:ascii="仿宋" w:hAnsi="仿宋" w:eastAsia="仿宋" w:cs="仿宋"/>
          <w:b/>
          <w:bCs/>
          <w:kern w:val="2"/>
          <w:sz w:val="32"/>
          <w:szCs w:val="32"/>
          <w:u w:val="single"/>
          <w:lang w:val="en-US" w:eastAsia="zh-CN" w:bidi="ar-SA"/>
        </w:rPr>
        <w:t xml:space="preserve">                                </w:t>
      </w:r>
    </w:p>
    <w:p w14:paraId="2689DFB0">
      <w:pPr>
        <w:spacing w:line="540" w:lineRule="exact"/>
        <w:jc w:val="center"/>
        <w:outlineLvl w:val="0"/>
        <w:rPr>
          <w:rFonts w:hint="eastAsia" w:ascii="仿宋" w:hAnsi="仿宋" w:eastAsia="仿宋" w:cs="仿宋"/>
          <w:b/>
          <w:bCs/>
          <w:sz w:val="32"/>
          <w:szCs w:val="32"/>
        </w:rPr>
      </w:pPr>
      <w:r>
        <w:rPr>
          <w:rFonts w:hint="eastAsia" w:ascii="仿宋" w:hAnsi="仿宋" w:eastAsia="仿宋" w:cs="仿宋"/>
          <w:b/>
          <w:bCs/>
          <w:sz w:val="32"/>
          <w:szCs w:val="32"/>
        </w:rPr>
        <w:t>年    月    日</w:t>
      </w:r>
    </w:p>
    <w:p w14:paraId="1317A01F">
      <w:pPr>
        <w:rPr>
          <w:rFonts w:hint="eastAsia" w:ascii="仿宋" w:hAnsi="仿宋" w:eastAsia="仿宋" w:cs="仿宋"/>
          <w:b w:val="0"/>
          <w:bCs w:val="0"/>
          <w:sz w:val="21"/>
          <w:szCs w:val="24"/>
        </w:rPr>
      </w:pPr>
    </w:p>
    <w:p w14:paraId="06C7D73B">
      <w:pPr>
        <w:rPr>
          <w:rFonts w:hint="eastAsia" w:ascii="仿宋" w:hAnsi="仿宋" w:eastAsia="仿宋" w:cs="仿宋"/>
          <w:b w:val="0"/>
          <w:bCs w:val="0"/>
          <w:sz w:val="21"/>
          <w:szCs w:val="24"/>
        </w:rPr>
      </w:pPr>
    </w:p>
    <w:p w14:paraId="4EECB65E">
      <w:pPr>
        <w:rPr>
          <w:rFonts w:hint="eastAsia" w:ascii="仿宋" w:hAnsi="仿宋" w:eastAsia="仿宋" w:cs="仿宋"/>
        </w:rPr>
      </w:pPr>
      <w:r>
        <w:rPr>
          <w:rFonts w:hint="eastAsia" w:ascii="仿宋" w:hAnsi="仿宋" w:eastAsia="仿宋" w:cs="仿宋"/>
          <w:b w:val="0"/>
          <w:bCs w:val="0"/>
          <w:sz w:val="21"/>
          <w:szCs w:val="24"/>
        </w:rPr>
        <w:br w:type="page"/>
      </w:r>
    </w:p>
    <w:p w14:paraId="402C0E4B">
      <w:pPr>
        <w:autoSpaceDE w:val="0"/>
        <w:autoSpaceDN w:val="0"/>
        <w:adjustRightInd w:val="0"/>
        <w:spacing w:line="540" w:lineRule="exact"/>
        <w:ind w:firstLine="560" w:firstLineChars="200"/>
        <w:rPr>
          <w:rFonts w:hint="eastAsia" w:ascii="仿宋" w:hAnsi="仿宋" w:eastAsia="仿宋" w:cs="仿宋"/>
          <w:b w:val="0"/>
          <w:bCs/>
          <w:sz w:val="28"/>
          <w:szCs w:val="28"/>
        </w:rPr>
      </w:pPr>
      <w:r>
        <w:rPr>
          <w:rFonts w:hint="eastAsia" w:ascii="仿宋" w:hAnsi="仿宋" w:eastAsia="仿宋" w:cs="仿宋"/>
          <w:b w:val="0"/>
          <w:bCs/>
          <w:sz w:val="28"/>
          <w:szCs w:val="28"/>
        </w:rPr>
        <w:t>甲方：</w:t>
      </w:r>
      <w:bookmarkStart w:id="2" w:name="OLE_LINK1"/>
      <w:r>
        <w:rPr>
          <w:rFonts w:hint="eastAsia" w:ascii="仿宋" w:hAnsi="仿宋" w:eastAsia="仿宋" w:cs="仿宋"/>
          <w:b w:val="0"/>
          <w:bCs w:val="0"/>
          <w:sz w:val="28"/>
          <w:szCs w:val="28"/>
          <w:u w:val="single"/>
        </w:rPr>
        <w:t>西安市李家河水源地环境保护管理站</w:t>
      </w:r>
    </w:p>
    <w:bookmarkEnd w:id="2"/>
    <w:p w14:paraId="2993C17E">
      <w:pPr>
        <w:autoSpaceDE w:val="0"/>
        <w:autoSpaceDN w:val="0"/>
        <w:adjustRightInd w:val="0"/>
        <w:spacing w:line="540" w:lineRule="exact"/>
        <w:ind w:firstLine="560" w:firstLineChars="200"/>
        <w:rPr>
          <w:rFonts w:hint="eastAsia" w:ascii="仿宋" w:hAnsi="仿宋" w:eastAsia="仿宋" w:cs="仿宋"/>
          <w:b w:val="0"/>
          <w:bCs w:val="0"/>
          <w:sz w:val="21"/>
          <w:szCs w:val="24"/>
        </w:rPr>
      </w:pPr>
      <w:r>
        <w:rPr>
          <w:rFonts w:hint="eastAsia" w:ascii="仿宋" w:hAnsi="仿宋" w:eastAsia="仿宋" w:cs="仿宋"/>
          <w:b w:val="0"/>
          <w:bCs/>
          <w:sz w:val="28"/>
          <w:szCs w:val="28"/>
        </w:rPr>
        <w:t>乙方：</w:t>
      </w:r>
      <w:r>
        <w:rPr>
          <w:rFonts w:hint="eastAsia" w:ascii="仿宋" w:hAnsi="仿宋" w:eastAsia="仿宋" w:cs="仿宋"/>
          <w:b w:val="0"/>
          <w:bCs/>
          <w:sz w:val="28"/>
          <w:szCs w:val="28"/>
          <w:u w:val="single"/>
          <w:lang w:val="en-US" w:eastAsia="zh-CN"/>
        </w:rPr>
        <w:t xml:space="preserve">                                </w:t>
      </w:r>
    </w:p>
    <w:p w14:paraId="55E87533">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根据《中华人民共和国民法典》、《中华人民共和国政府采购法》、《中华人民共和国政府采购法实施条例》、等法律法规，甲方通过竞争性磋商，选定乙方为成交单位。甲、乙双方在平等基础上协商一致，达成如下合同条款:</w:t>
      </w:r>
    </w:p>
    <w:p w14:paraId="6280968B">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第一条 项目概况</w:t>
      </w:r>
    </w:p>
    <w:p w14:paraId="6771CD28">
      <w:pPr>
        <w:widowControl w:val="0"/>
        <w:spacing w:line="480" w:lineRule="auto"/>
        <w:ind w:firstLine="560" w:firstLineChars="200"/>
        <w:jc w:val="both"/>
        <w:rPr>
          <w:rFonts w:hint="eastAsia" w:ascii="仿宋" w:hAnsi="仿宋" w:eastAsia="仿宋" w:cs="仿宋"/>
          <w:b w:val="0"/>
          <w:bCs w:val="0"/>
          <w:kern w:val="2"/>
          <w:sz w:val="28"/>
          <w:szCs w:val="28"/>
          <w:lang w:val="en-US" w:eastAsia="zh-CN" w:bidi="ar-SA"/>
        </w:rPr>
      </w:pPr>
      <w:r>
        <w:rPr>
          <w:rFonts w:hint="eastAsia" w:ascii="仿宋" w:hAnsi="仿宋" w:eastAsia="仿宋" w:cs="仿宋"/>
          <w:b w:val="0"/>
          <w:bCs w:val="0"/>
          <w:kern w:val="2"/>
          <w:sz w:val="28"/>
          <w:szCs w:val="28"/>
          <w:lang w:val="en-US" w:eastAsia="zh-CN" w:bidi="ar-SA"/>
        </w:rPr>
        <w:t>1.项目名称：</w:t>
      </w:r>
      <w:r>
        <w:rPr>
          <w:rFonts w:hint="eastAsia" w:ascii="仿宋" w:hAnsi="仿宋" w:eastAsia="仿宋" w:cs="仿宋"/>
          <w:b w:val="0"/>
          <w:bCs w:val="0"/>
          <w:kern w:val="2"/>
          <w:sz w:val="28"/>
          <w:szCs w:val="28"/>
          <w:lang w:val="zh-CN" w:eastAsia="zh-CN" w:bidi="ar-SA"/>
        </w:rPr>
        <w:t>李家河水源地水质自动监测站一期运维项目</w:t>
      </w:r>
    </w:p>
    <w:p w14:paraId="764EE507">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2.服务地点：</w:t>
      </w:r>
      <w:r>
        <w:rPr>
          <w:rFonts w:hint="eastAsia" w:ascii="仿宋" w:hAnsi="仿宋" w:eastAsia="仿宋" w:cs="仿宋"/>
          <w:b w:val="0"/>
          <w:bCs w:val="0"/>
          <w:sz w:val="28"/>
          <w:szCs w:val="28"/>
          <w:lang w:eastAsia="zh-CN"/>
        </w:rPr>
        <w:t>采购人指定地点</w:t>
      </w:r>
    </w:p>
    <w:p w14:paraId="4AC3641A">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第二条 服务期限</w:t>
      </w:r>
    </w:p>
    <w:p w14:paraId="0D96E7E4">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自合同签订之日起1年。</w:t>
      </w:r>
    </w:p>
    <w:p w14:paraId="10B7DA3C">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第三条 服务内容</w:t>
      </w:r>
    </w:p>
    <w:p w14:paraId="1D1ECECE">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1、定期配置更换水站仪表所需试剂 </w:t>
      </w:r>
    </w:p>
    <w:p w14:paraId="58FF37C4">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运维团队为水质自动监测系统提供正常运行所需试剂、标液和常规考核的质控样。此外，提供定期清洗试剂瓶、试剂桶，制备纯水等服务。</w:t>
      </w:r>
    </w:p>
    <w:p w14:paraId="66F4965A">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2、定期更换水站系统和仪表所需备品备件</w:t>
      </w:r>
    </w:p>
    <w:p w14:paraId="5E57C440">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维护人员每周进行一次系统和仪表的巡检，对需要更换的备品备件进行更换。若发现仪器故障，检修时需要仪器设备停用、拆除或更换的，将事先报经当地环境监测站同意。</w:t>
      </w:r>
    </w:p>
    <w:p w14:paraId="60D2DD22">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3、定期对水站仪表进行校准、核查、比对、性能测试</w:t>
      </w:r>
    </w:p>
    <w:p w14:paraId="0032CD9A">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严格遵照仪器的操作手册对自动监测仪器每半月进行校准核查，自配标准溶液校准每半年不少于一次。定期清洗仪器管路，每月不少两次，对水质较差的水质断面水站，将增加清洗频次。</w:t>
      </w:r>
    </w:p>
    <w:p w14:paraId="2B75EA1E">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每月一次对自动监测仪器进行标准溶液核查，计算其准确度和精密度。标准溶液测定的相对误差不大于推荐值的±10%，相对标准偏差不大于推荐值的±10%。</w:t>
      </w:r>
    </w:p>
    <w:p w14:paraId="4E36AE67">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4、人员培训</w:t>
      </w:r>
    </w:p>
    <w:p w14:paraId="1BF0F66C">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运维单位负责西安市李家河水源地环境保护站技术人员的培训。培训内容包括：设备的系统组成、运行原理、使用、操作、常见故障的检查排除，使甲方人员掌握主要技术，并能进行简单操作和维护。</w:t>
      </w:r>
    </w:p>
    <w:p w14:paraId="63640A7E">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5.其他要求</w:t>
      </w:r>
    </w:p>
    <w:p w14:paraId="12113605">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汛期提供一名驻场运维人员，远程实时监视数据，定期开展现场检查维护工作。建立水站监测系统运行应急预案，当水站系统发生突发性设备故障时，运维公司在规定时间内赶到现场进行处理。</w:t>
      </w:r>
    </w:p>
    <w:p w14:paraId="139466D2">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第</w:t>
      </w:r>
      <w:r>
        <w:rPr>
          <w:rFonts w:hint="eastAsia" w:ascii="仿宋" w:hAnsi="仿宋" w:eastAsia="仿宋" w:cs="仿宋"/>
          <w:b w:val="0"/>
          <w:bCs w:val="0"/>
          <w:sz w:val="28"/>
          <w:szCs w:val="28"/>
          <w:lang w:val="en-US" w:eastAsia="zh-CN"/>
        </w:rPr>
        <w:t>四</w:t>
      </w:r>
      <w:r>
        <w:rPr>
          <w:rFonts w:hint="eastAsia" w:ascii="仿宋" w:hAnsi="仿宋" w:eastAsia="仿宋" w:cs="仿宋"/>
          <w:b w:val="0"/>
          <w:bCs w:val="0"/>
          <w:sz w:val="28"/>
          <w:szCs w:val="28"/>
        </w:rPr>
        <w:t>条</w:t>
      </w: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技术要求</w:t>
      </w:r>
    </w:p>
    <w:p w14:paraId="6A8A6C89">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1、运维的目的</w:t>
      </w:r>
    </w:p>
    <w:p w14:paraId="55315BA0">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①更好地让水质自动站实现水环境实时动态监测，提高信息的时效性、准确性；</w:t>
      </w:r>
    </w:p>
    <w:p w14:paraId="60C3981C">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②增强水环境的预警、预测能力，保障供水安全；</w:t>
      </w:r>
    </w:p>
    <w:p w14:paraId="2EDDC332">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③完善水质水量同步监测体系，为科学制定调水引流方案、实施污染物入湖总量控制、生态补偿和控制目标考核提供技术支撑；</w:t>
      </w:r>
    </w:p>
    <w:p w14:paraId="2E1E3124">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④确保水质自动站正常运行，为水质综合治理、应急防控和各项综合决策提供稳定有效的数据；</w:t>
      </w:r>
    </w:p>
    <w:p w14:paraId="3B56CD79">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⑤更好的为政府决策和公众提供服务。</w:t>
      </w:r>
    </w:p>
    <w:p w14:paraId="186A2B90">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2、运维的要求</w:t>
      </w:r>
    </w:p>
    <w:p w14:paraId="59B26CE9">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2.1日常维护到位</w:t>
      </w:r>
    </w:p>
    <w:p w14:paraId="40B7A7E3">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根据合同约定的内容开展水站日常水站仪器设备的检查调校、异损件更换、耗材更换、试剂补充、管路清洗等工作。每日上、下午各一次远程实时监视数据，每周开展一次现场检查维护，远程监视及维护工作记录备查。</w:t>
      </w:r>
    </w:p>
    <w:p w14:paraId="1D485649">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2.2故障检修及时</w:t>
      </w:r>
    </w:p>
    <w:p w14:paraId="65A5A6EC">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建立水站监测系统运行应急预案，当水站系统发生突发性设备故障时，运维公司在4小时内赶到现场进行处理。对于一些容易诊断的故障，维修时间不超过24小时。</w:t>
      </w:r>
    </w:p>
    <w:p w14:paraId="15E1B6C1">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2.3数据采集完整</w:t>
      </w:r>
    </w:p>
    <w:p w14:paraId="67F7A220">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岸边站数据采集频率为每间隔4个小时监测1次，每天一般采集6个瞬时值数据，浮标站提供实时数据。当水所在断面发生水污染事故时，将适当增加采样频次。</w:t>
      </w:r>
    </w:p>
    <w:p w14:paraId="4E425F4E">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pH值、溶解氧、氨氮、高锰酸盐指数、总磷总氮等7项指标的日均值的有效数据获取率达80%以上，水温、浊度、电导率等3项指标的日均值的有效数据获取率达85%以上（停电除外）；</w:t>
      </w:r>
    </w:p>
    <w:p w14:paraId="057CB58B">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有效数据获取率（%）=（有效运行时数÷运行考核总时数）×100%；</w:t>
      </w:r>
    </w:p>
    <w:p w14:paraId="27821280">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有效运行时数=运行考核总时数-无效数据时数。</w:t>
      </w:r>
    </w:p>
    <w:p w14:paraId="056C6BAD">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其中：有效运行时数为系统所有仪器设备运行正常时其监测数据有效的时数总和。仪器设备预热、停电、校准和公共通讯线路故障等引起的无效数据时数不计入运行考核总时数和无效数据时数。</w:t>
      </w:r>
    </w:p>
    <w:p w14:paraId="578C0A34">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2.4数据传输及时</w:t>
      </w:r>
    </w:p>
    <w:p w14:paraId="52A19199">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保持数据传输系统畅通，发送数据及时。</w:t>
      </w:r>
    </w:p>
    <w:p w14:paraId="57D2FDF3">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2.5各项记录完整</w:t>
      </w:r>
    </w:p>
    <w:p w14:paraId="555A46BC">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按照国家、省有关规定做好日常巡检记录表，仪器维护记录表，校准结果报告表，仪器故障维修记录表，系统年度维护（大修）记录表等，并定期提交。</w:t>
      </w:r>
    </w:p>
    <w:p w14:paraId="24948C20">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2.6仪器更换</w:t>
      </w:r>
    </w:p>
    <w:p w14:paraId="37B968BC">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对于仪器使用寿命超过使用年限以后出现报废，或者因自然灾害等不可抗力导致的仪器报废，运维单位须先行及时报告西安市李家河水源地环境保护站，西安市李家河水源地环境保护站视情况决定重新采购仪器开展监测，或使用运维公司备机开展监测。</w:t>
      </w:r>
    </w:p>
    <w:p w14:paraId="58CF6A00">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第</w:t>
      </w:r>
      <w:r>
        <w:rPr>
          <w:rFonts w:hint="eastAsia" w:ascii="仿宋" w:hAnsi="仿宋" w:eastAsia="仿宋" w:cs="仿宋"/>
          <w:b w:val="0"/>
          <w:bCs w:val="0"/>
          <w:sz w:val="28"/>
          <w:szCs w:val="28"/>
          <w:lang w:val="en-US" w:eastAsia="zh-CN"/>
        </w:rPr>
        <w:t>五</w:t>
      </w:r>
      <w:r>
        <w:rPr>
          <w:rFonts w:hint="eastAsia" w:ascii="仿宋" w:hAnsi="仿宋" w:eastAsia="仿宋" w:cs="仿宋"/>
          <w:b w:val="0"/>
          <w:bCs w:val="0"/>
          <w:sz w:val="28"/>
          <w:szCs w:val="28"/>
        </w:rPr>
        <w:t>条</w:t>
      </w: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服务要求</w:t>
      </w:r>
    </w:p>
    <w:p w14:paraId="55B28939">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1.实施“日监视”制度。每日上、下午至少各一次远程实时监视并存取数据，检查数据传输系统是否正常，如发现数据持续异常情况，在24小时内查明原因并排除。</w:t>
      </w:r>
    </w:p>
    <w:p w14:paraId="59FFF222">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2.实施“周巡检”制度。每周至少1次对检测系统进行现场维护，现场维护内容包括：</w:t>
      </w:r>
    </w:p>
    <w:p w14:paraId="5D562D1F">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3.检查各台自动分析仪及辅助设备的运行状态和主要技术参数，判断运行是否正常。</w:t>
      </w:r>
    </w:p>
    <w:p w14:paraId="2362FF8C">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4.检查自来水供应、泵取水、纯水系统情况，检查内部管路是否通畅，仪器自动清洗装置是否运行正常，检查各自动分析仪的进样水管和排水管是否清洁，必要时进行清洗。定期清洗水泵和过滤网，保持管路、过滤膜清洁、畅通。</w:t>
      </w:r>
    </w:p>
    <w:p w14:paraId="5245033D">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5.检查站房内电路系统、通讯系统是否正常（工控机各个串口和PLC、数采仪、分析仪器连接一一对应正确且牢固；通过现场监控软件测试工控与PLC及各个之间连接正确；VPN网络设备检查，保证通讯畅通）。</w:t>
      </w:r>
    </w:p>
    <w:p w14:paraId="1448C23C">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6.对于用电极法测量的仪器，检查标准溶液和电极填充液，进行电极探头的清洗。</w:t>
      </w:r>
    </w:p>
    <w:p w14:paraId="7A614D0E">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7.检查各仪器标准溶液和试剂是否在有效使用期内，按要求定期更换标准溶液和分析试剂。</w:t>
      </w:r>
    </w:p>
    <w:p w14:paraId="505A0F6D">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8.观察数据采集传输运行情况，并检查整个传输，采集系统连接处有无损坏，对数据进行抽样检查，对比所有仪表自动分析、数据采集传输仪及上位机接收到的数据是否一致。</w:t>
      </w:r>
    </w:p>
    <w:p w14:paraId="42E829C6">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9.每月对自动分析仪进行一次保养，对水泵和取水管路、配水和进水系统、仪器分析系统进行维护。对数据存储和控制系统工作状态进行一次检查，对自动分析仪进行一次日常效验。检查检测仪器接地情况，检测用房防雷设施有无损坏。</w:t>
      </w:r>
    </w:p>
    <w:p w14:paraId="53B32512">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10.其他预防性维护</w:t>
      </w:r>
    </w:p>
    <w:p w14:paraId="52E400A4">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保持各管路通畅，出水正常，无漏液。</w:t>
      </w:r>
    </w:p>
    <w:p w14:paraId="1A4083A8">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对电源控制器、空调等辅助设备进行检查。</w:t>
      </w:r>
    </w:p>
    <w:p w14:paraId="3B269F2A">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未提及的维护内容，按相关仪器说明书的要求进行仪器维护保养、易耗品的定期更换工作。</w:t>
      </w:r>
    </w:p>
    <w:p w14:paraId="1B91B706">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维护人员在对系统进行日常维护时，将做好巡检记录。巡检记录包含系统运行状况、系统辅助设备运行状况、系统校准工作、环境条件监控等必检项目和记录，以及仪器使用说明书中规定的其他检查项目和校准、维护保养、维修记录。并做好清洁卫生及安全工作后离开。</w:t>
      </w:r>
    </w:p>
    <w:p w14:paraId="74DD48B3">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第</w:t>
      </w:r>
      <w:r>
        <w:rPr>
          <w:rFonts w:hint="eastAsia" w:ascii="仿宋" w:hAnsi="仿宋" w:eastAsia="仿宋" w:cs="仿宋"/>
          <w:b w:val="0"/>
          <w:bCs w:val="0"/>
          <w:sz w:val="28"/>
          <w:szCs w:val="28"/>
          <w:lang w:val="en-US" w:eastAsia="zh-CN"/>
        </w:rPr>
        <w:t>六</w:t>
      </w:r>
      <w:r>
        <w:rPr>
          <w:rFonts w:hint="eastAsia" w:ascii="仿宋" w:hAnsi="仿宋" w:eastAsia="仿宋" w:cs="仿宋"/>
          <w:b w:val="0"/>
          <w:bCs w:val="0"/>
          <w:sz w:val="28"/>
          <w:szCs w:val="28"/>
        </w:rPr>
        <w:t>条 双方权利与义务</w:t>
      </w:r>
    </w:p>
    <w:p w14:paraId="49BC039D">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（一）甲方权利义务</w:t>
      </w:r>
    </w:p>
    <w:p w14:paraId="415CA794">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1.甲方有权对乙方全部运维工作、人员配置、安全管理、台账资料进行日常监督、抽查；对不符合合同标准的服务内容，有权要求乙方限期整改；</w:t>
      </w:r>
    </w:p>
    <w:p w14:paraId="7E0E3A8F">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2.按本合同约定及时支付服务款项；</w:t>
      </w:r>
    </w:p>
    <w:p w14:paraId="6CCCB902">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3.甲方确保在交接运维前设备均处于正常状态，如有故障甲方需尽维修义务，也可委托乙方进行修复，甲方承担相关维修费用；</w:t>
      </w:r>
    </w:p>
    <w:p w14:paraId="491B97C3">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4.对于因使用寿命超过年限或因不可抗力导致报废的仪器设备，由甲方视情况决定重新采购。</w:t>
      </w:r>
    </w:p>
    <w:p w14:paraId="01119122">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（二）乙方权利义务</w:t>
      </w:r>
    </w:p>
    <w:p w14:paraId="18956048">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1.乙方按照合同约定的工作内容和技术要求，负责水站的日常运行维护,对水站监测数据质量负责，确保监控系统的运行符合相关技术要求，确保自动监测数据传输有效率满足相关要求，设备保持正常运行状态；</w:t>
      </w:r>
    </w:p>
    <w:p w14:paraId="2E332069">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.建立健全相关的岗位责任制、操作规程及维护保养制度，建立相关的工作台帐记录运行情况。所有仪器设备的技术资料和检修维护记录等都要相应建立技术档案，并保存完整，供甲方检查。</w:t>
      </w:r>
    </w:p>
    <w:p w14:paraId="7A4F1381">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.日常运行所需试剂、日常运行维护易损易坏的耗材配件(不含核心部件)、交通及维护发生的费用由乙方承担。</w:t>
      </w:r>
    </w:p>
    <w:p w14:paraId="21C52BC3">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4.乙方承担水站日常运行维护，根据合同约定的内容开展水站仪器设备的检查校验、耗材更换、易损件更换、试剂补充、管路清洗等工作。</w:t>
      </w:r>
    </w:p>
    <w:p w14:paraId="39A4F02F">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5</w:t>
      </w:r>
      <w:r>
        <w:rPr>
          <w:rFonts w:hint="eastAsia" w:ascii="仿宋" w:hAnsi="仿宋" w:eastAsia="仿宋" w:cs="仿宋"/>
          <w:b w:val="0"/>
          <w:bCs w:val="0"/>
          <w:sz w:val="28"/>
          <w:szCs w:val="28"/>
        </w:rPr>
        <w:t>.乙方应认真做好甲方单独维修保养台账并做好异常情况登记记录，并定期供甲方人员查看。</w:t>
      </w:r>
    </w:p>
    <w:p w14:paraId="3EEF3C74">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6</w:t>
      </w:r>
      <w:r>
        <w:rPr>
          <w:rFonts w:hint="eastAsia" w:ascii="仿宋" w:hAnsi="仿宋" w:eastAsia="仿宋" w:cs="仿宋"/>
          <w:b w:val="0"/>
          <w:bCs w:val="0"/>
          <w:sz w:val="28"/>
          <w:szCs w:val="28"/>
        </w:rPr>
        <w:t>.合同到期或提前终止时，完整移交全部运维台账、设备资料，配合甲方完成整体验收。</w:t>
      </w:r>
    </w:p>
    <w:p w14:paraId="61273C35">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第</w:t>
      </w:r>
      <w:r>
        <w:rPr>
          <w:rFonts w:hint="eastAsia" w:ascii="仿宋" w:hAnsi="仿宋" w:eastAsia="仿宋" w:cs="仿宋"/>
          <w:b w:val="0"/>
          <w:bCs w:val="0"/>
          <w:sz w:val="28"/>
          <w:szCs w:val="28"/>
          <w:lang w:val="en-US" w:eastAsia="zh-CN"/>
        </w:rPr>
        <w:t>七</w:t>
      </w:r>
      <w:r>
        <w:rPr>
          <w:rFonts w:hint="eastAsia" w:ascii="仿宋" w:hAnsi="仿宋" w:eastAsia="仿宋" w:cs="仿宋"/>
          <w:b w:val="0"/>
          <w:bCs w:val="0"/>
          <w:sz w:val="28"/>
          <w:szCs w:val="28"/>
        </w:rPr>
        <w:t>条 合同价款及结算方式</w:t>
      </w:r>
    </w:p>
    <w:p w14:paraId="55E1544E">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1.本合同总价：人民币</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rPr>
        <w:t>元（大写：</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rPr>
        <w:t>元整），为固定总价包干，包含人工、设备、材料、安全防护、培训、保险</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管理费、税费等完成全部服务内容所需一切费用，甲方无需额外支付任何其他费用。</w:t>
      </w:r>
    </w:p>
    <w:p w14:paraId="4867AE69">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2.付款节点：</w:t>
      </w:r>
    </w:p>
    <w:p w14:paraId="56D48992">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合同签订后</w:t>
      </w:r>
      <w:r>
        <w:rPr>
          <w:rFonts w:hint="eastAsia" w:ascii="仿宋" w:hAnsi="仿宋" w:eastAsia="仿宋" w:cs="仿宋"/>
          <w:b w:val="0"/>
          <w:bCs w:val="0"/>
          <w:sz w:val="28"/>
          <w:szCs w:val="28"/>
          <w:lang w:eastAsia="zh-CN"/>
        </w:rPr>
        <w:t>且满足付款条件</w:t>
      </w:r>
      <w:r>
        <w:rPr>
          <w:rFonts w:hint="eastAsia" w:ascii="仿宋" w:hAnsi="仿宋" w:eastAsia="仿宋" w:cs="仿宋"/>
          <w:b w:val="0"/>
          <w:bCs w:val="0"/>
          <w:sz w:val="28"/>
          <w:szCs w:val="28"/>
        </w:rPr>
        <w:t>后10个工作日内，甲方向乙方支付合同总价款40%，即人民币</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rPr>
        <w:t>元；</w:t>
      </w:r>
    </w:p>
    <w:p w14:paraId="1E50C5F6">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服务期限届满，乙方完成全部运维工作、提交全套完整运维档案，经甲方验收合格</w:t>
      </w:r>
      <w:r>
        <w:rPr>
          <w:rFonts w:hint="eastAsia" w:ascii="仿宋" w:hAnsi="仿宋" w:eastAsia="仿宋" w:cs="仿宋"/>
          <w:b w:val="0"/>
          <w:bCs w:val="0"/>
          <w:sz w:val="28"/>
          <w:szCs w:val="28"/>
          <w:lang w:eastAsia="zh-CN"/>
        </w:rPr>
        <w:t>且满足付款条件</w:t>
      </w:r>
      <w:r>
        <w:rPr>
          <w:rFonts w:hint="eastAsia" w:ascii="仿宋" w:hAnsi="仿宋" w:eastAsia="仿宋" w:cs="仿宋"/>
          <w:b w:val="0"/>
          <w:bCs w:val="0"/>
          <w:sz w:val="28"/>
          <w:szCs w:val="28"/>
        </w:rPr>
        <w:t>后1</w:t>
      </w:r>
      <w:r>
        <w:rPr>
          <w:rFonts w:hint="eastAsia" w:ascii="仿宋" w:hAnsi="仿宋" w:eastAsia="仿宋" w:cs="仿宋"/>
          <w:b w:val="0"/>
          <w:bCs w:val="0"/>
          <w:sz w:val="28"/>
          <w:szCs w:val="28"/>
          <w:lang w:val="en-US" w:eastAsia="zh-CN"/>
        </w:rPr>
        <w:t>0</w:t>
      </w:r>
      <w:r>
        <w:rPr>
          <w:rFonts w:hint="eastAsia" w:ascii="仿宋" w:hAnsi="仿宋" w:eastAsia="仿宋" w:cs="仿宋"/>
          <w:b w:val="0"/>
          <w:bCs w:val="0"/>
          <w:sz w:val="28"/>
          <w:szCs w:val="28"/>
        </w:rPr>
        <w:t>个工作日内，支付剩余60%合同价款，即人民币</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rPr>
        <w:t>元。</w:t>
      </w:r>
    </w:p>
    <w:p w14:paraId="7DBAE1D2">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.付款方式：银行转账</w:t>
      </w:r>
    </w:p>
    <w:p w14:paraId="3AFDBCAE">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第</w:t>
      </w:r>
      <w:r>
        <w:rPr>
          <w:rFonts w:hint="eastAsia" w:ascii="仿宋" w:hAnsi="仿宋" w:eastAsia="仿宋" w:cs="仿宋"/>
          <w:b w:val="0"/>
          <w:bCs w:val="0"/>
          <w:sz w:val="28"/>
          <w:szCs w:val="28"/>
          <w:lang w:val="en-US" w:eastAsia="zh-CN"/>
        </w:rPr>
        <w:t>八</w:t>
      </w:r>
      <w:r>
        <w:rPr>
          <w:rFonts w:hint="eastAsia" w:ascii="仿宋" w:hAnsi="仿宋" w:eastAsia="仿宋" w:cs="仿宋"/>
          <w:b w:val="0"/>
          <w:bCs w:val="0"/>
          <w:sz w:val="28"/>
          <w:szCs w:val="28"/>
        </w:rPr>
        <w:t>条 履约验收</w:t>
      </w:r>
    </w:p>
    <w:p w14:paraId="566256B5">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1.阶段性核查：甲方</w:t>
      </w:r>
      <w:r>
        <w:rPr>
          <w:rFonts w:hint="eastAsia" w:ascii="仿宋" w:hAnsi="仿宋" w:eastAsia="仿宋" w:cs="仿宋"/>
          <w:b w:val="0"/>
          <w:bCs w:val="0"/>
          <w:sz w:val="28"/>
          <w:szCs w:val="28"/>
          <w:lang w:val="en-US" w:eastAsia="zh-CN"/>
        </w:rPr>
        <w:t>不定期</w:t>
      </w:r>
      <w:r>
        <w:rPr>
          <w:rFonts w:hint="eastAsia" w:ascii="仿宋" w:hAnsi="仿宋" w:eastAsia="仿宋" w:cs="仿宋"/>
          <w:b w:val="0"/>
          <w:bCs w:val="0"/>
          <w:sz w:val="28"/>
          <w:szCs w:val="28"/>
        </w:rPr>
        <w:t>核对乙方提交运维记录、现场照片</w:t>
      </w:r>
      <w:r>
        <w:rPr>
          <w:rFonts w:hint="eastAsia" w:ascii="仿宋" w:hAnsi="仿宋" w:eastAsia="仿宋" w:cs="仿宋"/>
          <w:b w:val="0"/>
          <w:bCs w:val="0"/>
          <w:sz w:val="28"/>
          <w:szCs w:val="28"/>
          <w:lang w:val="en-US" w:eastAsia="zh-CN"/>
        </w:rPr>
        <w:t>等</w:t>
      </w:r>
      <w:r>
        <w:rPr>
          <w:rFonts w:hint="eastAsia" w:ascii="仿宋" w:hAnsi="仿宋" w:eastAsia="仿宋" w:cs="仿宋"/>
          <w:b w:val="0"/>
          <w:bCs w:val="0"/>
          <w:sz w:val="28"/>
          <w:szCs w:val="28"/>
        </w:rPr>
        <w:t>，不定期现场抽查作业人员、防护设施、设备运行状态；</w:t>
      </w:r>
    </w:p>
    <w:p w14:paraId="482B3358">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2.整体竣工验收：服务期满后，乙方提交全套运维成果资料，甲方在收到资料后10个日内组织现场综合验收；</w:t>
      </w:r>
    </w:p>
    <w:p w14:paraId="01B35F78">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3.验收不合格处置：若验收存在不合格项，甲方应向乙方出具书面整改通知书，载明具体不合格内容及整改要求。乙方须在7日内完成整改并重新报验。若乙方无正当理由逾期未完成整改或经两次整改仍不合格的，甲方有权就该不合格项所对应的服务内容，按照合同约定的计价方式核减相应合同价款。整改产生的费用由乙方自行承担。</w:t>
      </w:r>
    </w:p>
    <w:p w14:paraId="18C205FA">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第</w:t>
      </w:r>
      <w:r>
        <w:rPr>
          <w:rFonts w:hint="eastAsia" w:ascii="仿宋" w:hAnsi="仿宋" w:eastAsia="仿宋" w:cs="仿宋"/>
          <w:b w:val="0"/>
          <w:bCs w:val="0"/>
          <w:sz w:val="28"/>
          <w:szCs w:val="28"/>
          <w:lang w:val="en-US" w:eastAsia="zh-CN"/>
        </w:rPr>
        <w:t>九</w:t>
      </w:r>
      <w:r>
        <w:rPr>
          <w:rFonts w:hint="eastAsia" w:ascii="仿宋" w:hAnsi="仿宋" w:eastAsia="仿宋" w:cs="仿宋"/>
          <w:b w:val="0"/>
          <w:bCs w:val="0"/>
          <w:sz w:val="28"/>
          <w:szCs w:val="28"/>
        </w:rPr>
        <w:t>条 违约责任</w:t>
      </w:r>
    </w:p>
    <w:p w14:paraId="4914BB8F">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1、按《民法典》中的相关条款执行。</w:t>
      </w:r>
    </w:p>
    <w:p w14:paraId="2B065DAA">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2、项目执行过程中如甲方未能提供运营条件，所造成的设备运转不正常等情况，乙方不负任何责任。</w:t>
      </w:r>
    </w:p>
    <w:p w14:paraId="6C3DCF1D">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3、如乙方因自身的问题,造成甲方设备损坏或者故障的，由乙方承担责任进行修复，无法修复的进行同等更换。</w:t>
      </w:r>
    </w:p>
    <w:p w14:paraId="1DC8863E">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4、除本合同约定，合同一经签订，不得擅自变更、中止或者终止合同。对确需变更、调整或者中止、终止合同的，应按规定行相应的手续。在运营服务中任何一方无特殊原因终止合同，另一方有权起诉，索取赔偿。</w:t>
      </w:r>
    </w:p>
    <w:p w14:paraId="2DD77B1E">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第</w:t>
      </w:r>
      <w:r>
        <w:rPr>
          <w:rFonts w:hint="eastAsia" w:ascii="仿宋" w:hAnsi="仿宋" w:eastAsia="仿宋" w:cs="仿宋"/>
          <w:b w:val="0"/>
          <w:bCs w:val="0"/>
          <w:sz w:val="28"/>
          <w:szCs w:val="28"/>
          <w:lang w:val="en-US" w:eastAsia="zh-CN"/>
        </w:rPr>
        <w:t>十</w:t>
      </w:r>
      <w:r>
        <w:rPr>
          <w:rFonts w:hint="eastAsia" w:ascii="仿宋" w:hAnsi="仿宋" w:eastAsia="仿宋" w:cs="仿宋"/>
          <w:b w:val="0"/>
          <w:bCs w:val="0"/>
          <w:sz w:val="28"/>
          <w:szCs w:val="28"/>
        </w:rPr>
        <w:t>条 争议解决</w:t>
      </w:r>
    </w:p>
    <w:p w14:paraId="226CBDF4">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本合同履行过程中发生争议，双方优先友好协商解决；协商不成的，按下列第</w:t>
      </w:r>
      <w:r>
        <w:rPr>
          <w:rFonts w:hint="eastAsia" w:ascii="仿宋" w:hAnsi="仿宋" w:eastAsia="仿宋" w:cs="仿宋"/>
          <w:b w:val="0"/>
          <w:bCs w:val="0"/>
          <w:sz w:val="28"/>
          <w:szCs w:val="28"/>
          <w:u w:val="single"/>
          <w:lang w:val="en-US" w:eastAsia="zh-CN"/>
        </w:rPr>
        <w:t xml:space="preserve"> 1 </w:t>
      </w:r>
      <w:r>
        <w:rPr>
          <w:rFonts w:hint="eastAsia" w:ascii="仿宋" w:hAnsi="仿宋" w:eastAsia="仿宋" w:cs="仿宋"/>
          <w:b w:val="0"/>
          <w:bCs w:val="0"/>
          <w:sz w:val="28"/>
          <w:szCs w:val="28"/>
        </w:rPr>
        <w:t>种方式处理：</w:t>
      </w:r>
    </w:p>
    <w:p w14:paraId="08F98ABD">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1.向</w:t>
      </w:r>
      <w:r>
        <w:rPr>
          <w:rFonts w:hint="eastAsia" w:ascii="仿宋" w:hAnsi="仿宋" w:eastAsia="仿宋" w:cs="仿宋"/>
          <w:b w:val="0"/>
          <w:bCs w:val="0"/>
          <w:sz w:val="28"/>
          <w:szCs w:val="28"/>
          <w:lang w:eastAsia="zh-CN"/>
        </w:rPr>
        <w:t>甲方</w:t>
      </w:r>
      <w:r>
        <w:rPr>
          <w:rFonts w:hint="eastAsia" w:ascii="仿宋" w:hAnsi="仿宋" w:eastAsia="仿宋" w:cs="仿宋"/>
          <w:b w:val="0"/>
          <w:bCs w:val="0"/>
          <w:sz w:val="28"/>
          <w:szCs w:val="28"/>
        </w:rPr>
        <w:t>所在地有管辖权的人民法院提起诉讼；</w:t>
      </w:r>
    </w:p>
    <w:p w14:paraId="301316EA">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2.向西安仲裁委员会申请仲裁。</w:t>
      </w:r>
    </w:p>
    <w:p w14:paraId="272B6DF1">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第十</w:t>
      </w:r>
      <w:r>
        <w:rPr>
          <w:rFonts w:hint="eastAsia" w:ascii="仿宋" w:hAnsi="仿宋" w:eastAsia="仿宋" w:cs="仿宋"/>
          <w:b w:val="0"/>
          <w:bCs w:val="0"/>
          <w:sz w:val="28"/>
          <w:szCs w:val="28"/>
          <w:lang w:val="en-US" w:eastAsia="zh-CN"/>
        </w:rPr>
        <w:t>一</w:t>
      </w:r>
      <w:r>
        <w:rPr>
          <w:rFonts w:hint="eastAsia" w:ascii="仿宋" w:hAnsi="仿宋" w:eastAsia="仿宋" w:cs="仿宋"/>
          <w:b w:val="0"/>
          <w:bCs w:val="0"/>
          <w:sz w:val="28"/>
          <w:szCs w:val="28"/>
        </w:rPr>
        <w:t>条 其他约定</w:t>
      </w:r>
    </w:p>
    <w:p w14:paraId="3617D2C2">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1.本合同所有附件、采购需求文件、乙方投标（响应）文件、中标（成交）通知书均为本合同有效组成部分，与本合同具有同等法律效力；内容冲突时，以本合同约定为准。</w:t>
      </w:r>
    </w:p>
    <w:p w14:paraId="0473E80F">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.乙方不得将本项目全部或主要运维服务转包、违法分包；未经甲方书面同意分包的，甲方有权解除合同并追究乙方违约责任。</w:t>
      </w:r>
    </w:p>
    <w:p w14:paraId="5BBE6E74">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.本合同一式</w:t>
      </w:r>
      <w:r>
        <w:rPr>
          <w:rFonts w:hint="eastAsia" w:ascii="仿宋" w:hAnsi="仿宋" w:eastAsia="仿宋" w:cs="仿宋"/>
          <w:b w:val="0"/>
          <w:bCs w:val="0"/>
          <w:sz w:val="28"/>
          <w:szCs w:val="28"/>
          <w:lang w:eastAsia="zh-CN"/>
        </w:rPr>
        <w:t>叁</w:t>
      </w:r>
      <w:r>
        <w:rPr>
          <w:rFonts w:hint="eastAsia" w:ascii="仿宋" w:hAnsi="仿宋" w:eastAsia="仿宋" w:cs="仿宋"/>
          <w:b w:val="0"/>
          <w:bCs w:val="0"/>
          <w:sz w:val="28"/>
          <w:szCs w:val="28"/>
        </w:rPr>
        <w:t>份，甲方执贰份，乙方执壹份，自甲乙双方签字盖章之日起生效。</w:t>
      </w:r>
    </w:p>
    <w:p w14:paraId="284D0697">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第十</w:t>
      </w:r>
      <w:r>
        <w:rPr>
          <w:rFonts w:hint="eastAsia" w:ascii="仿宋" w:hAnsi="仿宋" w:eastAsia="仿宋" w:cs="仿宋"/>
          <w:b w:val="0"/>
          <w:bCs w:val="0"/>
          <w:sz w:val="28"/>
          <w:szCs w:val="28"/>
          <w:lang w:val="en-US" w:eastAsia="zh-CN"/>
        </w:rPr>
        <w:t>二</w:t>
      </w:r>
      <w:r>
        <w:rPr>
          <w:rFonts w:hint="eastAsia" w:ascii="仿宋" w:hAnsi="仿宋" w:eastAsia="仿宋" w:cs="仿宋"/>
          <w:b w:val="0"/>
          <w:bCs w:val="0"/>
          <w:sz w:val="28"/>
          <w:szCs w:val="28"/>
        </w:rPr>
        <w:t>条 通知与送达</w:t>
      </w:r>
    </w:p>
    <w:p w14:paraId="6C42E25E">
      <w:pPr>
        <w:autoSpaceDE w:val="0"/>
        <w:autoSpaceDN w:val="0"/>
        <w:adjustRightInd w:val="0"/>
        <w:spacing w:line="5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本合同履行过程中，双方所有通知、函件、资料等应以书面形式按地址送达。任何一方变更地址的，应提前3个工作日书面通知对方。</w:t>
      </w:r>
    </w:p>
    <w:p w14:paraId="2F9BDFEF">
      <w:pPr>
        <w:rPr>
          <w:rFonts w:hint="eastAsia" w:ascii="仿宋" w:hAnsi="仿宋" w:eastAsia="仿宋" w:cs="仿宋"/>
          <w:b w:val="0"/>
          <w:bCs w:val="0"/>
          <w:sz w:val="21"/>
          <w:szCs w:val="24"/>
        </w:rPr>
      </w:pPr>
    </w:p>
    <w:p w14:paraId="268DAAA6">
      <w:pPr>
        <w:rPr>
          <w:rFonts w:hint="eastAsia" w:ascii="仿宋" w:hAnsi="仿宋" w:eastAsia="仿宋" w:cs="仿宋"/>
          <w:b w:val="0"/>
          <w:bCs w:val="0"/>
          <w:sz w:val="21"/>
          <w:szCs w:val="24"/>
        </w:rPr>
      </w:pPr>
    </w:p>
    <w:tbl>
      <w:tblPr>
        <w:tblStyle w:val="4"/>
        <w:tblW w:w="8403" w:type="dxa"/>
        <w:jc w:val="center"/>
        <w:tblLayout w:type="fixed"/>
        <w:tblCellMar>
          <w:top w:w="0" w:type="dxa"/>
          <w:left w:w="108" w:type="dxa"/>
          <w:bottom w:w="0" w:type="dxa"/>
          <w:right w:w="108" w:type="dxa"/>
        </w:tblCellMar>
      </w:tblPr>
      <w:tblGrid>
        <w:gridCol w:w="4210"/>
        <w:gridCol w:w="4193"/>
      </w:tblGrid>
      <w:tr w14:paraId="2020C1F8">
        <w:tblPrEx>
          <w:tblCellMar>
            <w:top w:w="0" w:type="dxa"/>
            <w:left w:w="108" w:type="dxa"/>
            <w:bottom w:w="0" w:type="dxa"/>
            <w:right w:w="108" w:type="dxa"/>
          </w:tblCellMar>
        </w:tblPrEx>
        <w:trPr>
          <w:trHeight w:val="704" w:hRule="atLeast"/>
          <w:jc w:val="center"/>
        </w:trPr>
        <w:tc>
          <w:tcPr>
            <w:tcW w:w="4210" w:type="dxa"/>
            <w:vAlign w:val="center"/>
          </w:tcPr>
          <w:p w14:paraId="547B83F7">
            <w:pPr>
              <w:autoSpaceDE w:val="0"/>
              <w:autoSpaceDN w:val="0"/>
              <w:adjustRightInd w:val="0"/>
              <w:spacing w:line="540" w:lineRule="exact"/>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甲  方：西安市李家河水源地环境保护管理站</w:t>
            </w:r>
          </w:p>
        </w:tc>
        <w:tc>
          <w:tcPr>
            <w:tcW w:w="4193" w:type="dxa"/>
            <w:vAlign w:val="center"/>
          </w:tcPr>
          <w:p w14:paraId="7CE50126">
            <w:pPr>
              <w:autoSpaceDE w:val="0"/>
              <w:autoSpaceDN w:val="0"/>
              <w:adjustRightInd w:val="0"/>
              <w:spacing w:line="540" w:lineRule="exact"/>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乙  方：</w:t>
            </w:r>
          </w:p>
        </w:tc>
      </w:tr>
      <w:tr w14:paraId="1FFC6183">
        <w:tblPrEx>
          <w:tblCellMar>
            <w:top w:w="0" w:type="dxa"/>
            <w:left w:w="108" w:type="dxa"/>
            <w:bottom w:w="0" w:type="dxa"/>
            <w:right w:w="108" w:type="dxa"/>
          </w:tblCellMar>
        </w:tblPrEx>
        <w:trPr>
          <w:trHeight w:val="704" w:hRule="atLeast"/>
          <w:jc w:val="center"/>
        </w:trPr>
        <w:tc>
          <w:tcPr>
            <w:tcW w:w="4210" w:type="dxa"/>
            <w:vAlign w:val="center"/>
          </w:tcPr>
          <w:p w14:paraId="221B5085">
            <w:pPr>
              <w:autoSpaceDE w:val="0"/>
              <w:autoSpaceDN w:val="0"/>
              <w:adjustRightInd w:val="0"/>
              <w:spacing w:line="540" w:lineRule="exact"/>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（盖章）</w:t>
            </w:r>
          </w:p>
        </w:tc>
        <w:tc>
          <w:tcPr>
            <w:tcW w:w="4193" w:type="dxa"/>
            <w:vAlign w:val="center"/>
          </w:tcPr>
          <w:p w14:paraId="34D95632">
            <w:pPr>
              <w:autoSpaceDE w:val="0"/>
              <w:autoSpaceDN w:val="0"/>
              <w:adjustRightInd w:val="0"/>
              <w:spacing w:line="540" w:lineRule="exact"/>
              <w:ind w:firstLine="960" w:firstLineChars="400"/>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（盖章）</w:t>
            </w:r>
          </w:p>
        </w:tc>
      </w:tr>
      <w:tr w14:paraId="0648F823">
        <w:tblPrEx>
          <w:tblCellMar>
            <w:top w:w="0" w:type="dxa"/>
            <w:left w:w="108" w:type="dxa"/>
            <w:bottom w:w="0" w:type="dxa"/>
            <w:right w:w="108" w:type="dxa"/>
          </w:tblCellMar>
        </w:tblPrEx>
        <w:trPr>
          <w:trHeight w:val="704" w:hRule="atLeast"/>
          <w:jc w:val="center"/>
        </w:trPr>
        <w:tc>
          <w:tcPr>
            <w:tcW w:w="4210" w:type="dxa"/>
            <w:vAlign w:val="center"/>
          </w:tcPr>
          <w:p w14:paraId="5BFAEA45">
            <w:pPr>
              <w:autoSpaceDE w:val="0"/>
              <w:autoSpaceDN w:val="0"/>
              <w:adjustRightInd w:val="0"/>
              <w:spacing w:line="540" w:lineRule="exact"/>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邮编：</w:t>
            </w:r>
          </w:p>
        </w:tc>
        <w:tc>
          <w:tcPr>
            <w:tcW w:w="4193" w:type="dxa"/>
            <w:vAlign w:val="center"/>
          </w:tcPr>
          <w:p w14:paraId="0988273F">
            <w:pPr>
              <w:autoSpaceDE w:val="0"/>
              <w:autoSpaceDN w:val="0"/>
              <w:adjustRightInd w:val="0"/>
              <w:spacing w:line="540" w:lineRule="exact"/>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邮编：</w:t>
            </w:r>
          </w:p>
        </w:tc>
      </w:tr>
      <w:tr w14:paraId="18D7CF92">
        <w:tblPrEx>
          <w:tblCellMar>
            <w:top w:w="0" w:type="dxa"/>
            <w:left w:w="108" w:type="dxa"/>
            <w:bottom w:w="0" w:type="dxa"/>
            <w:right w:w="108" w:type="dxa"/>
          </w:tblCellMar>
        </w:tblPrEx>
        <w:trPr>
          <w:trHeight w:val="704" w:hRule="atLeast"/>
          <w:jc w:val="center"/>
        </w:trPr>
        <w:tc>
          <w:tcPr>
            <w:tcW w:w="4210" w:type="dxa"/>
            <w:vAlign w:val="center"/>
          </w:tcPr>
          <w:p w14:paraId="7426D3EF">
            <w:pPr>
              <w:autoSpaceDE w:val="0"/>
              <w:autoSpaceDN w:val="0"/>
              <w:adjustRightInd w:val="0"/>
              <w:spacing w:line="540" w:lineRule="exact"/>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 xml:space="preserve">法定代表人： </w:t>
            </w:r>
          </w:p>
        </w:tc>
        <w:tc>
          <w:tcPr>
            <w:tcW w:w="4193" w:type="dxa"/>
            <w:vAlign w:val="center"/>
          </w:tcPr>
          <w:p w14:paraId="1BFE8B8F">
            <w:pPr>
              <w:autoSpaceDE w:val="0"/>
              <w:autoSpaceDN w:val="0"/>
              <w:adjustRightInd w:val="0"/>
              <w:spacing w:line="540" w:lineRule="exact"/>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法定代表人：</w:t>
            </w:r>
          </w:p>
        </w:tc>
      </w:tr>
      <w:tr w14:paraId="56D4321C">
        <w:tblPrEx>
          <w:tblCellMar>
            <w:top w:w="0" w:type="dxa"/>
            <w:left w:w="108" w:type="dxa"/>
            <w:bottom w:w="0" w:type="dxa"/>
            <w:right w:w="108" w:type="dxa"/>
          </w:tblCellMar>
        </w:tblPrEx>
        <w:trPr>
          <w:trHeight w:val="704" w:hRule="atLeast"/>
          <w:jc w:val="center"/>
        </w:trPr>
        <w:tc>
          <w:tcPr>
            <w:tcW w:w="4210" w:type="dxa"/>
            <w:vAlign w:val="center"/>
          </w:tcPr>
          <w:p w14:paraId="3F762C2F">
            <w:pPr>
              <w:autoSpaceDE w:val="0"/>
              <w:autoSpaceDN w:val="0"/>
              <w:adjustRightInd w:val="0"/>
              <w:spacing w:line="540" w:lineRule="exact"/>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被授权代表：</w:t>
            </w:r>
          </w:p>
        </w:tc>
        <w:tc>
          <w:tcPr>
            <w:tcW w:w="4193" w:type="dxa"/>
            <w:vAlign w:val="center"/>
          </w:tcPr>
          <w:p w14:paraId="159FBA9A">
            <w:pPr>
              <w:autoSpaceDE w:val="0"/>
              <w:autoSpaceDN w:val="0"/>
              <w:adjustRightInd w:val="0"/>
              <w:spacing w:line="540" w:lineRule="exact"/>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被授权代表：</w:t>
            </w:r>
          </w:p>
        </w:tc>
      </w:tr>
      <w:tr w14:paraId="1D074980">
        <w:tblPrEx>
          <w:tblCellMar>
            <w:top w:w="0" w:type="dxa"/>
            <w:left w:w="108" w:type="dxa"/>
            <w:bottom w:w="0" w:type="dxa"/>
            <w:right w:w="108" w:type="dxa"/>
          </w:tblCellMar>
        </w:tblPrEx>
        <w:trPr>
          <w:trHeight w:val="704" w:hRule="atLeast"/>
          <w:jc w:val="center"/>
        </w:trPr>
        <w:tc>
          <w:tcPr>
            <w:tcW w:w="4210" w:type="dxa"/>
            <w:vAlign w:val="center"/>
          </w:tcPr>
          <w:p w14:paraId="595213E2">
            <w:pPr>
              <w:autoSpaceDE w:val="0"/>
              <w:autoSpaceDN w:val="0"/>
              <w:adjustRightInd w:val="0"/>
              <w:spacing w:line="540" w:lineRule="exact"/>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电话：</w:t>
            </w:r>
          </w:p>
        </w:tc>
        <w:tc>
          <w:tcPr>
            <w:tcW w:w="4193" w:type="dxa"/>
            <w:vAlign w:val="center"/>
          </w:tcPr>
          <w:p w14:paraId="6602B56C">
            <w:pPr>
              <w:autoSpaceDE w:val="0"/>
              <w:autoSpaceDN w:val="0"/>
              <w:adjustRightInd w:val="0"/>
              <w:spacing w:line="540" w:lineRule="exact"/>
              <w:ind w:left="510" w:hanging="720" w:hangingChars="300"/>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电话：</w:t>
            </w:r>
          </w:p>
        </w:tc>
      </w:tr>
      <w:tr w14:paraId="7621D2F4">
        <w:tblPrEx>
          <w:tblCellMar>
            <w:top w:w="0" w:type="dxa"/>
            <w:left w:w="108" w:type="dxa"/>
            <w:bottom w:w="0" w:type="dxa"/>
            <w:right w:w="108" w:type="dxa"/>
          </w:tblCellMar>
        </w:tblPrEx>
        <w:trPr>
          <w:trHeight w:val="704" w:hRule="atLeast"/>
          <w:jc w:val="center"/>
        </w:trPr>
        <w:tc>
          <w:tcPr>
            <w:tcW w:w="4210" w:type="dxa"/>
            <w:vAlign w:val="center"/>
          </w:tcPr>
          <w:p w14:paraId="697E4470">
            <w:pPr>
              <w:autoSpaceDE w:val="0"/>
              <w:autoSpaceDN w:val="0"/>
              <w:adjustRightInd w:val="0"/>
              <w:spacing w:line="540" w:lineRule="exact"/>
              <w:rPr>
                <w:rFonts w:hint="eastAsia" w:ascii="仿宋" w:hAnsi="仿宋" w:eastAsia="仿宋" w:cs="仿宋"/>
                <w:b w:val="0"/>
                <w:bCs w:val="0"/>
                <w:spacing w:val="-20"/>
                <w:kern w:val="0"/>
                <w:sz w:val="28"/>
                <w:szCs w:val="28"/>
              </w:rPr>
            </w:pPr>
          </w:p>
        </w:tc>
        <w:tc>
          <w:tcPr>
            <w:tcW w:w="4193" w:type="dxa"/>
            <w:vAlign w:val="center"/>
          </w:tcPr>
          <w:p w14:paraId="4BA41D4C">
            <w:pPr>
              <w:autoSpaceDE w:val="0"/>
              <w:autoSpaceDN w:val="0"/>
              <w:adjustRightInd w:val="0"/>
              <w:spacing w:line="540" w:lineRule="exact"/>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开户银行：</w:t>
            </w:r>
            <w:r>
              <w:rPr>
                <w:rFonts w:hint="eastAsia" w:ascii="仿宋" w:hAnsi="仿宋" w:eastAsia="仿宋" w:cs="仿宋"/>
                <w:b w:val="0"/>
                <w:bCs w:val="0"/>
                <w:color w:val="000000"/>
                <w:sz w:val="28"/>
                <w:szCs w:val="28"/>
              </w:rPr>
              <w:t xml:space="preserve">  </w:t>
            </w:r>
          </w:p>
        </w:tc>
      </w:tr>
      <w:tr w14:paraId="2CCA477D">
        <w:tblPrEx>
          <w:tblCellMar>
            <w:top w:w="0" w:type="dxa"/>
            <w:left w:w="108" w:type="dxa"/>
            <w:bottom w:w="0" w:type="dxa"/>
            <w:right w:w="108" w:type="dxa"/>
          </w:tblCellMar>
        </w:tblPrEx>
        <w:trPr>
          <w:trHeight w:val="704" w:hRule="atLeast"/>
          <w:jc w:val="center"/>
        </w:trPr>
        <w:tc>
          <w:tcPr>
            <w:tcW w:w="4210" w:type="dxa"/>
            <w:vAlign w:val="center"/>
          </w:tcPr>
          <w:p w14:paraId="29D4AE37">
            <w:pPr>
              <w:autoSpaceDE w:val="0"/>
              <w:autoSpaceDN w:val="0"/>
              <w:adjustRightInd w:val="0"/>
              <w:spacing w:line="540" w:lineRule="exact"/>
              <w:rPr>
                <w:rFonts w:hint="eastAsia" w:ascii="仿宋" w:hAnsi="仿宋" w:eastAsia="仿宋" w:cs="仿宋"/>
                <w:b w:val="0"/>
                <w:bCs w:val="0"/>
                <w:spacing w:val="-20"/>
                <w:kern w:val="0"/>
                <w:sz w:val="28"/>
                <w:szCs w:val="28"/>
              </w:rPr>
            </w:pPr>
          </w:p>
        </w:tc>
        <w:tc>
          <w:tcPr>
            <w:tcW w:w="4193" w:type="dxa"/>
            <w:vAlign w:val="center"/>
          </w:tcPr>
          <w:p w14:paraId="0BBF55D0">
            <w:pPr>
              <w:autoSpaceDE w:val="0"/>
              <w:autoSpaceDN w:val="0"/>
              <w:adjustRightInd w:val="0"/>
              <w:spacing w:line="540" w:lineRule="exact"/>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开户行账号：</w:t>
            </w:r>
          </w:p>
        </w:tc>
      </w:tr>
      <w:tr w14:paraId="4D80B453">
        <w:tblPrEx>
          <w:tblCellMar>
            <w:top w:w="0" w:type="dxa"/>
            <w:left w:w="108" w:type="dxa"/>
            <w:bottom w:w="0" w:type="dxa"/>
            <w:right w:w="108" w:type="dxa"/>
          </w:tblCellMar>
        </w:tblPrEx>
        <w:trPr>
          <w:trHeight w:val="704" w:hRule="atLeast"/>
          <w:jc w:val="center"/>
        </w:trPr>
        <w:tc>
          <w:tcPr>
            <w:tcW w:w="4210" w:type="dxa"/>
            <w:vAlign w:val="center"/>
          </w:tcPr>
          <w:p w14:paraId="5B6F4B25">
            <w:pPr>
              <w:autoSpaceDE w:val="0"/>
              <w:autoSpaceDN w:val="0"/>
              <w:adjustRightInd w:val="0"/>
              <w:spacing w:line="540" w:lineRule="exact"/>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日期：</w:t>
            </w:r>
          </w:p>
        </w:tc>
        <w:tc>
          <w:tcPr>
            <w:tcW w:w="4193" w:type="dxa"/>
            <w:vAlign w:val="center"/>
          </w:tcPr>
          <w:p w14:paraId="266D5404">
            <w:pPr>
              <w:autoSpaceDE w:val="0"/>
              <w:autoSpaceDN w:val="0"/>
              <w:adjustRightInd w:val="0"/>
              <w:spacing w:line="540" w:lineRule="exact"/>
              <w:rPr>
                <w:rFonts w:hint="eastAsia" w:ascii="仿宋" w:hAnsi="仿宋" w:eastAsia="仿宋" w:cs="仿宋"/>
                <w:b w:val="0"/>
                <w:bCs w:val="0"/>
                <w:spacing w:val="-20"/>
                <w:kern w:val="0"/>
                <w:sz w:val="28"/>
                <w:szCs w:val="28"/>
              </w:rPr>
            </w:pPr>
            <w:r>
              <w:rPr>
                <w:rFonts w:hint="eastAsia" w:ascii="仿宋" w:hAnsi="仿宋" w:eastAsia="仿宋" w:cs="仿宋"/>
                <w:b w:val="0"/>
                <w:bCs w:val="0"/>
                <w:spacing w:val="-20"/>
                <w:kern w:val="0"/>
                <w:sz w:val="28"/>
                <w:szCs w:val="28"/>
              </w:rPr>
              <w:t>日期：</w:t>
            </w:r>
          </w:p>
        </w:tc>
      </w:tr>
    </w:tbl>
    <w:p w14:paraId="42BE7365">
      <w:pPr>
        <w:widowControl w:val="0"/>
        <w:spacing w:after="120"/>
        <w:jc w:val="both"/>
        <w:rPr>
          <w:rFonts w:hint="eastAsia" w:ascii="仿宋" w:hAnsi="仿宋" w:eastAsia="仿宋" w:cs="仿宋"/>
          <w:kern w:val="2"/>
          <w:sz w:val="21"/>
          <w:szCs w:val="24"/>
          <w:lang w:val="en-US" w:eastAsia="zh-CN" w:bidi="ar-SA"/>
        </w:rPr>
      </w:pPr>
    </w:p>
    <w:p w14:paraId="195354E0">
      <w:pPr>
        <w:rPr>
          <w:rFonts w:hint="eastAsia" w:ascii="仿宋" w:hAnsi="仿宋" w:eastAsia="仿宋" w:cs="仿宋"/>
          <w:lang w:val="en-US" w:eastAsia="zh-Hans"/>
        </w:rPr>
      </w:pPr>
    </w:p>
    <w:p w14:paraId="5B4B21C9">
      <w:pPr>
        <w:rPr>
          <w:rFonts w:hint="eastAsia" w:ascii="仿宋" w:hAnsi="仿宋" w:eastAsia="仿宋" w:cs="仿宋"/>
        </w:rPr>
      </w:pPr>
    </w:p>
    <w:sectPr>
      <w:footerReference r:id="rId3"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20DA7">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A7DC5"/>
    <w:rsid w:val="0BC82BEF"/>
    <w:rsid w:val="131D034D"/>
    <w:rsid w:val="38CD161E"/>
    <w:rsid w:val="3FA40CD6"/>
    <w:rsid w:val="54ED0C26"/>
    <w:rsid w:val="5FD34FD6"/>
    <w:rsid w:val="60304EBB"/>
    <w:rsid w:val="7A5F3AD3"/>
    <w:rsid w:val="7C883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b/>
      <w:bCs/>
      <w:kern w:val="2"/>
      <w:sz w:val="48"/>
      <w:szCs w:val="48"/>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4144</Words>
  <Characters>4218</Characters>
  <Lines>0</Lines>
  <Paragraphs>0</Paragraphs>
  <TotalTime>0</TotalTime>
  <ScaleCrop>false</ScaleCrop>
  <LinksUpToDate>false</LinksUpToDate>
  <CharactersWithSpaces>4364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2021-11-02T01:58:00Z</dcterms:created>
  <dc:creator>Administrator</dc:creator>
  <cp:lastModifiedBy>江格</cp:lastModifiedBy>
  <dcterms:modified xsi:type="dcterms:W3CDTF">2026-08-04T03:33:43Z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FE5D0CBD25704434A3B71A61B2828EB3</vt:lpwstr>
  </property>
  <property fmtid="{D5CDD505-2E9C-101B-9397-08002B2CF9AE}" pid="4" name="KSOTemplateDocerSaveRecord">
    <vt:lpwstr>eyJoZGlkIjoiNmUzNjYwYjliYTE5YjE1MjNlODUzMWZiYWE1ZGI0NDIiLCJ1c2VySWQiOiI0NjU2ODIyMzgifQ==</vt:lpwstr>
  </property>
</Properties>
</file>