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版本号：SCZB2026-ZB-0362-004R20260506001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桥隧工程检测设备采购项目（第二批）(二次)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SCZB2026-ZB-0362-004R</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桥隧工程检测设备采购项目（第二批）(二次)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SCZB2026-ZB-0362-004R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桥隧工程检测设备采购项目（第二批）(二次)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本项目主要采购桥隧工程结构无损检测设备，包括：砂浆桌面3D打印机1台。 功能目标：1.设备更新以培养适应企业发展需求的无损检测人员为出发点，利用拟采购桥隧工程结构无损检测设备可开出实训项目6项，实训学时24学时，开发混凝土及砂浆材料3D打印等相关培训资料；新增混凝土砂浆3D打印等对外培训项目;打造混凝土、砂浆材料设计与3D打印技术等社会培训项目包。开发职业院校教师3D打印能力培训，促进职业院校教师技术技能提升。 2.桥隧设备更新后有助于专业教师的桥隧无损检测能力提升，可拓展对外技术服务项目。同时助力桥隧工程试验与检测课程的理实一体化教学改革的深入推进，提高教学效果。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王嘉辉、刘艳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银行账号：103661558269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代理服务费收费标准：（1）中标金额为 400,000 元（不含）以上：依据《国家计委关于印发〈招标代理服务收费管理暂行办法〉的通知》（计价格[2002]1980号）及发改办价格（ [2003]857 号文件）下浮 20%收取（收费标准的 80%），由中标单位向招标代理机构支付。 （2）中标金额为 400,000 元（含） 以下：服务费采取定额收取，每个项目收费为 3000 元/项， 由中标单位向招标代理机构支付。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采购桥隧工程结构无损检测设备，包括：砂浆桌面3D打印机1台。功能目标：1.设备更新以培养适应企业发展需求的无损检测人员为出发点，利用拟采购桥隧工程结构无损检测设备可开出实训项目6项，实训学时24学时，开发混凝土及砂浆材料3D打印等相关培训资料；新增混凝土砂浆3D打印等对外培训项目;打造混凝土、砂浆材料设计与3D打印技术等社会培训项目包。开发职业院校教师3D打印能力培训，促进职业院校教师技术技能提升。 2.桥隧设备更新后有助于专业教师的桥隧无损检测能力提升，可拓展对外技术服务项目。同时助力桥隧工程试验与检测课程的理实一体化教学改革的深入推进，提高教学效果。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227,000.00</w:t>
      </w:r>
    </w:p>
    <w:p>
      <w:pPr>
        <w:pStyle w:val="null3"/>
      </w:pPr>
      <w:r>
        <w:rPr>
          <w:rFonts w:ascii="仿宋_GB2312" w:hAnsi="仿宋_GB2312" w:cs="仿宋_GB2312" w:eastAsia="仿宋_GB2312"/>
        </w:rPr>
        <w:t>采购包最高限价（元）: 227,000.00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桥隧工程检测设备采购项目（第二批）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227,000.00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标的名称：桥隧工程检测设备采购项目（第二批）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1"/>
              <w:gridCol w:w="324"/>
              <w:gridCol w:w="1784"/>
              <w:gridCol w:w="173"/>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1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主要技术参数</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桥隧集成化智能检测系统</w:t>
                  </w:r>
                </w:p>
              </w:tc>
              <w:tc>
                <w:tcPr>
                  <w:tcW w:type="dxa" w:w="1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砂浆桌面3D打印机（核心产品）</w:t>
                  </w:r>
                </w:p>
                <w:p>
                  <w:pPr>
                    <w:pStyle w:val="null3"/>
                    <w:jc w:val="both"/>
                  </w:pPr>
                  <w:r>
                    <w:rPr>
                      <w:rFonts w:ascii="仿宋_GB2312" w:hAnsi="仿宋_GB2312" w:cs="仿宋_GB2312" w:eastAsia="仿宋_GB2312"/>
                      <w:sz w:val="19"/>
                    </w:rPr>
                    <w:t>1.总功率：≥0.9kW；</w:t>
                  </w:r>
                </w:p>
                <w:p>
                  <w:pPr>
                    <w:pStyle w:val="null3"/>
                    <w:jc w:val="both"/>
                  </w:pPr>
                  <w:r>
                    <w:rPr>
                      <w:rFonts w:ascii="仿宋_GB2312" w:hAnsi="仿宋_GB2312" w:cs="仿宋_GB2312" w:eastAsia="仿宋_GB2312"/>
                      <w:sz w:val="19"/>
                    </w:rPr>
                    <w:t>▲2.打印头系统：具搅拌功能和挤出功能，支持正转、反转。配置圆形、方形、三角形、椭圆形打印喷嘴各1套（每套含直径φ10、φ20、φ30mm打印喷嘴各1个）；</w:t>
                  </w:r>
                </w:p>
                <w:p>
                  <w:pPr>
                    <w:pStyle w:val="null3"/>
                    <w:jc w:val="both"/>
                  </w:pPr>
                  <w:r>
                    <w:rPr>
                      <w:rFonts w:ascii="仿宋_GB2312" w:hAnsi="仿宋_GB2312" w:cs="仿宋_GB2312" w:eastAsia="仿宋_GB2312"/>
                      <w:sz w:val="19"/>
                    </w:rPr>
                    <w:t>3.打印：支持多图形不间断打印；</w:t>
                  </w:r>
                </w:p>
                <w:p>
                  <w:pPr>
                    <w:pStyle w:val="null3"/>
                    <w:jc w:val="both"/>
                  </w:pPr>
                  <w:r>
                    <w:rPr>
                      <w:rFonts w:ascii="仿宋_GB2312" w:hAnsi="仿宋_GB2312" w:cs="仿宋_GB2312" w:eastAsia="仿宋_GB2312"/>
                      <w:sz w:val="19"/>
                    </w:rPr>
                    <w:t xml:space="preserve">4.模型导入兼容性：   </w:t>
                  </w:r>
                </w:p>
                <w:p>
                  <w:pPr>
                    <w:pStyle w:val="null3"/>
                    <w:jc w:val="both"/>
                  </w:pPr>
                  <w:r>
                    <w:rPr>
                      <w:rFonts w:ascii="仿宋_GB2312" w:hAnsi="仿宋_GB2312" w:cs="仿宋_GB2312" w:eastAsia="仿宋_GB2312"/>
                      <w:sz w:val="19"/>
                    </w:rPr>
                    <w:t>（1）支持.stl格式三维模型文件的智能切片及打印路径规划；</w:t>
                  </w:r>
                </w:p>
                <w:p>
                  <w:pPr>
                    <w:pStyle w:val="null3"/>
                    <w:jc w:val="both"/>
                  </w:pPr>
                  <w:r>
                    <w:rPr>
                      <w:rFonts w:ascii="仿宋_GB2312" w:hAnsi="仿宋_GB2312" w:cs="仿宋_GB2312" w:eastAsia="仿宋_GB2312"/>
                      <w:sz w:val="19"/>
                    </w:rPr>
                    <w:t>（2）支持.svg格式二维模型的处理及打印路径规划；</w:t>
                  </w:r>
                </w:p>
                <w:p>
                  <w:pPr>
                    <w:pStyle w:val="null3"/>
                    <w:jc w:val="both"/>
                  </w:pPr>
                  <w:r>
                    <w:rPr>
                      <w:rFonts w:ascii="仿宋_GB2312" w:hAnsi="仿宋_GB2312" w:cs="仿宋_GB2312" w:eastAsia="仿宋_GB2312"/>
                      <w:sz w:val="19"/>
                    </w:rPr>
                    <w:t>（3）支持.G-code格式第三方开源软件切片代码的输入及控制；</w:t>
                  </w:r>
                </w:p>
                <w:p>
                  <w:pPr>
                    <w:pStyle w:val="null3"/>
                    <w:jc w:val="both"/>
                  </w:pPr>
                  <w:r>
                    <w:rPr>
                      <w:rFonts w:ascii="仿宋_GB2312" w:hAnsi="仿宋_GB2312" w:cs="仿宋_GB2312" w:eastAsia="仿宋_GB2312"/>
                      <w:sz w:val="19"/>
                    </w:rPr>
                    <w:t>（4）支持对CAD软件建模格式的兼容及打印路径规划。</w:t>
                  </w:r>
                </w:p>
                <w:p>
                  <w:pPr>
                    <w:pStyle w:val="null3"/>
                    <w:jc w:val="both"/>
                  </w:pPr>
                  <w:r>
                    <w:rPr>
                      <w:rFonts w:ascii="仿宋_GB2312" w:hAnsi="仿宋_GB2312" w:cs="仿宋_GB2312" w:eastAsia="仿宋_GB2312"/>
                      <w:sz w:val="19"/>
                    </w:rPr>
                    <w:t>5.模型显示：可切换二维、三维模型显示，模型智能切片及打印路径规划；</w:t>
                  </w:r>
                </w:p>
                <w:p>
                  <w:pPr>
                    <w:pStyle w:val="null3"/>
                    <w:jc w:val="both"/>
                  </w:pPr>
                  <w:r>
                    <w:rPr>
                      <w:rFonts w:ascii="仿宋_GB2312" w:hAnsi="仿宋_GB2312" w:cs="仿宋_GB2312" w:eastAsia="仿宋_GB2312"/>
                      <w:sz w:val="19"/>
                    </w:rPr>
                    <w:t>6.限位控制：三轴；</w:t>
                  </w:r>
                </w:p>
                <w:p>
                  <w:pPr>
                    <w:pStyle w:val="null3"/>
                    <w:jc w:val="both"/>
                  </w:pPr>
                  <w:r>
                    <w:rPr>
                      <w:rFonts w:ascii="仿宋_GB2312" w:hAnsi="仿宋_GB2312" w:cs="仿宋_GB2312" w:eastAsia="仿宋_GB2312"/>
                      <w:sz w:val="19"/>
                    </w:rPr>
                    <w:t>7.X、Y、Z 轴加速度：0～51200 脉冲/平方秒；</w:t>
                  </w:r>
                </w:p>
                <w:p>
                  <w:pPr>
                    <w:pStyle w:val="null3"/>
                    <w:jc w:val="both"/>
                  </w:pPr>
                  <w:r>
                    <w:rPr>
                      <w:rFonts w:ascii="仿宋_GB2312" w:hAnsi="仿宋_GB2312" w:cs="仿宋_GB2312" w:eastAsia="仿宋_GB2312"/>
                      <w:sz w:val="19"/>
                    </w:rPr>
                    <w:t>▲8.运动控制定位精度：≤0.08mm；</w:t>
                  </w:r>
                </w:p>
                <w:p>
                  <w:pPr>
                    <w:pStyle w:val="null3"/>
                    <w:jc w:val="both"/>
                  </w:pPr>
                  <w:r>
                    <w:rPr>
                      <w:rFonts w:ascii="仿宋_GB2312" w:hAnsi="仿宋_GB2312" w:cs="仿宋_GB2312" w:eastAsia="仿宋_GB2312"/>
                      <w:sz w:val="19"/>
                    </w:rPr>
                    <w:t>9.运动速度：X轴：3～120mm/s；Y轴：3～120mm/s；Z轴：3～120mm/s；</w:t>
                  </w:r>
                </w:p>
                <w:p>
                  <w:pPr>
                    <w:pStyle w:val="null3"/>
                    <w:jc w:val="both"/>
                  </w:pPr>
                  <w:r>
                    <w:rPr>
                      <w:rFonts w:ascii="仿宋_GB2312" w:hAnsi="仿宋_GB2312" w:cs="仿宋_GB2312" w:eastAsia="仿宋_GB2312"/>
                      <w:sz w:val="19"/>
                    </w:rPr>
                    <w:t>▲10.打印实物尺寸：100mm×100mm×100mm～700mm×700mm×650mm；</w:t>
                  </w:r>
                </w:p>
                <w:p>
                  <w:pPr>
                    <w:pStyle w:val="null3"/>
                    <w:jc w:val="both"/>
                  </w:pPr>
                  <w:r>
                    <w:rPr>
                      <w:rFonts w:ascii="仿宋_GB2312" w:hAnsi="仿宋_GB2312" w:cs="仿宋_GB2312" w:eastAsia="仿宋_GB2312"/>
                      <w:sz w:val="19"/>
                    </w:rPr>
                    <w:t>11.打印路径：实时填充显示；</w:t>
                  </w:r>
                </w:p>
                <w:p>
                  <w:pPr>
                    <w:pStyle w:val="null3"/>
                    <w:jc w:val="both"/>
                  </w:pPr>
                  <w:r>
                    <w:rPr>
                      <w:rFonts w:ascii="仿宋_GB2312" w:hAnsi="仿宋_GB2312" w:cs="仿宋_GB2312" w:eastAsia="仿宋_GB2312"/>
                      <w:sz w:val="19"/>
                    </w:rPr>
                    <w:t>12.3D打印系统控制软件升级方式：远程升级、U盘升级，终身免费升级；</w:t>
                  </w:r>
                </w:p>
                <w:p>
                  <w:pPr>
                    <w:pStyle w:val="null3"/>
                    <w:jc w:val="both"/>
                  </w:pPr>
                  <w:r>
                    <w:rPr>
                      <w:rFonts w:ascii="仿宋_GB2312" w:hAnsi="仿宋_GB2312" w:cs="仿宋_GB2312" w:eastAsia="仿宋_GB2312"/>
                      <w:sz w:val="19"/>
                    </w:rPr>
                    <w:t>13.配备供料搅拌系统一套（搅拌容量不低于15L）。</w:t>
                  </w:r>
                </w:p>
                <w:p>
                  <w:pPr>
                    <w:pStyle w:val="null3"/>
                    <w:jc w:val="both"/>
                  </w:pPr>
                  <w:r>
                    <w:rPr>
                      <w:rFonts w:ascii="仿宋_GB2312" w:hAnsi="仿宋_GB2312" w:cs="仿宋_GB2312" w:eastAsia="仿宋_GB2312"/>
                      <w:sz w:val="19"/>
                    </w:rPr>
                    <w:t>14.配备3D打印砂浆干混料至少30kg，并提供第三方检测报告，检测项目包括水泥胶砂强度 (3d、 7d、28d抗压强度 )、 胶砂流动度、凝结时间、氯离子含量 、收缩率 (28d)等指标。</w:t>
                  </w:r>
                </w:p>
                <w:p>
                  <w:pPr>
                    <w:pStyle w:val="null3"/>
                    <w:jc w:val="left"/>
                  </w:pPr>
                  <w:r>
                    <w:rPr>
                      <w:rFonts w:ascii="仿宋_GB2312" w:hAnsi="仿宋_GB2312" w:cs="仿宋_GB2312" w:eastAsia="仿宋_GB2312"/>
                      <w:sz w:val="19"/>
                    </w:rPr>
                    <w:t>15.配备工作台，正版中文win10 及以上操作系统；CPU≥6核，主频≥2.8GHz；内存≥16G；硬盘≥512GB SSD+1T HDD；显示器≥23.8英寸（触摸屏）；独显显存≥8G。</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陕西铁路工程职业技术学院高新校区 C1楼。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合同签订后，设备全部到场双方清点核对无误后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项目最终验收合格后，乙方持《终验合格单》原件并向甲方提供全额增值税专用发票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验收由采购方负责组织或者邀请有关专家、质检机构、采购代理机构共同进行验收。根据合同要求对产品进行验收、确认产品的产地、规格、型号和数量。验收依据为本合同文本、投标文件和国内相应的标准、规范。 2.需执行的国家相关标准、行业标准、地方标准或者其他标准、规范（如有最新标准，按照最新标准执行）： 《3D打印混凝土基本力学性能试验方法》T/CBMF183、《3D打印混凝土拌合物性能试验方法》T/CBMF184、《混凝土3D打印技术规程》T/CECS 786。 3.验收方法： （1）产品到货后，乙方负责安装调试，达到正常运行条件后书面通知甲方验收。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货物包装运输:供货方在生产完成后进行产品质检，并将合格产品进行包装和标识供货方将产品按照订单要求进行包装和装车，并安排合适的运输方式进行配送。</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1.技术保障:及时向采购方提供货物的运输信息，包括发货时间、预计到达时间等。货物到目的地后，供货方需进行设备安装调试（含水电线路改造），开展不少于3次技术培训，培训时长不少于20小时。 2.产品到货后，乙方负责安装调试，达到正常运行条件后书面通知甲方验收。供货方需提供制造厂家的检验测试报告或产品出厂检测报告。硬件产品质保期为36个月(保修起始日为验收合格之日起)，所有软件产品提供版本内免费升级。在质保期内，在接到用户对所购产品进行维修的要求后，供货方24小时内到用户现场进行维修服务，全部费用由供货方支付，若需将产品送回生产厂，由供货方支付维修产品所需的往返费用。保修期外，由供货方联系厂家维修，只收取单程的运保费及已维修的元器件成本费，未尽事宜由双方协商解决。为方便设备展放，需提供与实训室现有同尺寸的操作规程展板2个。提供所有产品如操作视频、PPT、说明书等电子版教学资料。</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产品的供应费及所发生的运输费、杂费（含保险）、商检费、搬运费、安装调试费、培训费等，包括从产品供应地点到交货地点所包含的一切费用。合同总价不可变更，不受市场价变化的影响，不受实际数量变化的影响。 2.若投标人采用保函形式缴纳投标保证金，请投标人在开标前一天告知代理机构并将保函扫描件发送到代理机构负责人邮箱（157567909@qq.com）。 3.根据《国务院办公厅关于在政府采购中实施本国产品标准及相关政策的通知》（国办发﹝2025﹞34号）和《陕西省财政厅关于在政府采购活动中实施本国产品标准及相关政策的通知》（陕财办采〔2026〕2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供应商对其提供的产品出具《关于符合本国产品标准的声明函》（格式详见招标文件）或财政部会同有关部门规定的有关证明文件，《声明函》或有关证明文件符合要求的，该产品视为本国产品。 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4异常低价审查 4.1评审中出现下列情形之一的，评标委员会应当启动异常低价投标审查程序：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投标保证金支付凭证或担保函.docx 业绩一览表.docx 关于符合本国产品标准的声明函.docx 中小企业声明函 投标方案或技术方案.docx 商务应答表 投标分项报价表.docx 投标函 残疾人福利性单位声明函 节能、环保产品.docx 标的清单 投标文件封面 资格证明材料.docx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投标保证金支付凭证或担保函.docx 业绩一览表.docx 关于符合本国产品标准的声明函.docx 中小企业声明函 投标方案或技术方案.docx 商务应答表 投标分项报价表.docx 投标函 残疾人福利性单位声明函 节能、环保产品.docx 标的清单 投标文件封面 资格证明材料.docx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投标保证金支付凭证或担保函.docx 业绩一览表.docx 关于符合本国产品标准的声明函.docx 中小企业声明函 投标方案或技术方案.docx 商务应答表 投标分项报价表.docx 投标函 残疾人福利性单位声明函 节能、环保产品.docx 标的清单 投标文件封面 资格证明材料.docx 产品技术参数表.docx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“▲”项产品技术参数每有一项负偏离的扣3分，满分9分，扣完为止；非“▲”项产品技术参数每有一项负偏离的扣1.5分，满分18分，扣完为止。 总分27分。注：须提供证明材料，不限于：制造商出具的产品规格表、产品宣传彩页、技术白皮书、制造商官方网站发布的产品信息、说明书、检测报告等相关证明材料。参数未提供有效证明文件的其参数评审按负偏离计。参数的技术支持资料需在产品技术参数表中标注页码。投标人/制造商提供自身产品的参数，投标文件不能完全复制招标参数。</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评审内容：所投产品供货渠道合法，无假货、水货、翻新货且无产权纠纷，根据投标单位提供产品来源渠道合法证明文件（不限于原厂授权、销售协议、代理协议等资料）。 ①来源渠道及技术证明材料完整，得3分； ②来源渠道及技术证明材料较完整，得2分； ③来源渠道及技术证明材料不全，得1分； ④不提供得0分。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评审内容:根据投标人针对本项目的总体实施方案，方案各部分内容全面详细、阐述条理清晰详尽、符合招标要求。 方案内容包含：①质量保证措施；②供货进度计划；③物流保障措施及安装调试方案；④管理制度和协调方案；⑤项目验收方案；⑥项目团队配备方案（包括但不限于项目负责人、安装调试人员、配送人员、培训人员、售后服务技术人员等能力证明材料）。 评审标准:上述每项方案内容无缺陷得2分，满分为12分。方案内容每存在1处缺陷：扣0.5分，扣完为止。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评审内容:投标人针对本项目提出具体的产品培训方案，方案各部分内容全面详细、阐述条理清晰详尽、符合招标要求。 方案内容包含:①线下培训计划；②提供产品操作视频、PPT、说明书等培训资料及后期咨询服务方案。 评审标准:上述每项方案内容无缺陷得1.5分，满分为3分。方案内容每存在1处缺陷：扣0.5分，扣完为止；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 ①方案完整全面，承诺完全满足得2分； ②方案较全面，承诺基本满足得1分； ③方案和承诺不全面得0.5分。 ④未提供方案和承诺得0分。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评审内容:投标人针对本项目提出具体的售后服务方案，方案各部分内容全面详细、阐述条理清晰详尽、符合招标要求。 方案内容包含:①售后服务机构地址，电话联系人；②售后服务保障措施（含软件维护升级方案、硬件设施维修调试方案等）；③售后响应时间及补货换货解决方案；④质保期外服务方案；⑤售后增值服务承诺。 评审标准:上述每项方案内容无缺陷得1分，满分为5分。方案内容每存在1处缺陷：扣0.5分，扣完为止；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硬件产品在3年质保期的基础上每延长一年质保计0.5分，最高计1分。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投标人具有所投产品类似合同业绩（2023年1月至今，以合同签订时间为准)，每提供一份得2分，满分6分。 注：以加盖公章的完整合同复印件及项目付款发票复印件作为评审依据，未提供或提供不全不得分。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 40。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 ②（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