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B7ED95">
      <w:pPr>
        <w:kinsoku w:val="0"/>
        <w:spacing w:line="360" w:lineRule="auto"/>
        <w:jc w:val="center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  </w:t>
      </w:r>
      <w:bookmarkStart w:id="2" w:name="_GoBack"/>
      <w:bookmarkEnd w:id="2"/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/>
        </w:rPr>
        <w:t xml:space="preserve">桥隧工程检测设备采购项目（第二批）(二次）  </w:t>
      </w:r>
      <w:r>
        <w:rPr>
          <w:rFonts w:hint="eastAsia" w:ascii="仿宋" w:hAnsi="仿宋" w:eastAsia="仿宋" w:cs="仿宋"/>
          <w:sz w:val="24"/>
          <w:highlight w:val="none"/>
        </w:rPr>
        <w:t>项目采购合同</w:t>
      </w:r>
    </w:p>
    <w:p w14:paraId="7D6A9C48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</w:p>
    <w:p w14:paraId="3CB7B132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甲方：陕西铁路工程职业技术学院</w:t>
      </w:r>
    </w:p>
    <w:p w14:paraId="4EBB0697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乙方： </w:t>
      </w:r>
    </w:p>
    <w:p w14:paraId="0A49F73E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根据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《中华人民共和国</w:t>
      </w:r>
      <w:r>
        <w:rPr>
          <w:rFonts w:hint="eastAsia" w:ascii="仿宋" w:hAnsi="仿宋" w:eastAsia="仿宋" w:cs="仿宋"/>
          <w:sz w:val="24"/>
          <w:highlight w:val="none"/>
        </w:rPr>
        <w:t>民法典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>》、《中华人民共和国政府采购法》</w:t>
      </w:r>
      <w:r>
        <w:rPr>
          <w:rFonts w:hint="eastAsia" w:ascii="仿宋" w:hAnsi="仿宋" w:eastAsia="仿宋" w:cs="仿宋"/>
          <w:sz w:val="24"/>
          <w:highlight w:val="none"/>
        </w:rPr>
        <w:t>等法律法规，甲方通过公开招标，选定乙方为成交单位。甲、乙双方在平等基础上协商一致，达成如下合同条款:</w:t>
      </w:r>
    </w:p>
    <w:p w14:paraId="3150009B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一、</w:t>
      </w:r>
      <w:r>
        <w:rPr>
          <w:rFonts w:hint="eastAsia" w:ascii="仿宋" w:hAnsi="仿宋" w:eastAsia="仿宋" w:cs="仿宋"/>
          <w:b/>
          <w:sz w:val="24"/>
          <w:highlight w:val="none"/>
        </w:rPr>
        <w:t>合同内容    项目编号/包号：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 w14:paraId="539D1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noWrap w:val="0"/>
            <w:vAlign w:val="center"/>
          </w:tcPr>
          <w:p w14:paraId="3274D3F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序号</w:t>
            </w:r>
          </w:p>
        </w:tc>
        <w:tc>
          <w:tcPr>
            <w:tcW w:w="1620" w:type="dxa"/>
            <w:noWrap w:val="0"/>
            <w:vAlign w:val="center"/>
          </w:tcPr>
          <w:p w14:paraId="1EE79402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产品名称</w:t>
            </w:r>
          </w:p>
        </w:tc>
        <w:tc>
          <w:tcPr>
            <w:tcW w:w="1260" w:type="dxa"/>
            <w:noWrap w:val="0"/>
            <w:vAlign w:val="center"/>
          </w:tcPr>
          <w:p w14:paraId="4A5031D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型号</w:t>
            </w:r>
          </w:p>
        </w:tc>
        <w:tc>
          <w:tcPr>
            <w:tcW w:w="900" w:type="dxa"/>
            <w:noWrap w:val="0"/>
            <w:vAlign w:val="center"/>
          </w:tcPr>
          <w:p w14:paraId="1E9B7FC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产地</w:t>
            </w:r>
          </w:p>
        </w:tc>
        <w:tc>
          <w:tcPr>
            <w:tcW w:w="900" w:type="dxa"/>
            <w:noWrap w:val="0"/>
            <w:vAlign w:val="center"/>
          </w:tcPr>
          <w:p w14:paraId="1051A021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数量</w:t>
            </w:r>
          </w:p>
        </w:tc>
        <w:tc>
          <w:tcPr>
            <w:tcW w:w="900" w:type="dxa"/>
            <w:noWrap w:val="0"/>
            <w:vAlign w:val="center"/>
          </w:tcPr>
          <w:p w14:paraId="5C627FC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单价</w:t>
            </w:r>
          </w:p>
        </w:tc>
        <w:tc>
          <w:tcPr>
            <w:tcW w:w="894" w:type="dxa"/>
            <w:noWrap w:val="0"/>
            <w:vAlign w:val="center"/>
          </w:tcPr>
          <w:p w14:paraId="27C4E74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总价</w:t>
            </w:r>
          </w:p>
        </w:tc>
        <w:tc>
          <w:tcPr>
            <w:tcW w:w="839" w:type="dxa"/>
            <w:noWrap w:val="0"/>
            <w:vAlign w:val="center"/>
          </w:tcPr>
          <w:p w14:paraId="47FAC75C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备注</w:t>
            </w:r>
          </w:p>
        </w:tc>
      </w:tr>
      <w:tr w14:paraId="1D641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noWrap w:val="0"/>
            <w:vAlign w:val="center"/>
          </w:tcPr>
          <w:p w14:paraId="3586F6D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1620" w:type="dxa"/>
            <w:noWrap w:val="0"/>
            <w:vAlign w:val="center"/>
          </w:tcPr>
          <w:p w14:paraId="57E330F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5DA296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4F0034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F45FDD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6CCCFB4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94" w:type="dxa"/>
            <w:noWrap w:val="0"/>
            <w:vAlign w:val="center"/>
          </w:tcPr>
          <w:p w14:paraId="228D8998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9" w:type="dxa"/>
            <w:noWrap w:val="0"/>
            <w:vAlign w:val="center"/>
          </w:tcPr>
          <w:p w14:paraId="29740F25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E5E7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noWrap w:val="0"/>
            <w:vAlign w:val="center"/>
          </w:tcPr>
          <w:p w14:paraId="30E4CCD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1A41F63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CEE7F2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E7B128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732750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F67830E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94" w:type="dxa"/>
            <w:noWrap w:val="0"/>
            <w:vAlign w:val="center"/>
          </w:tcPr>
          <w:p w14:paraId="76D4746F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9" w:type="dxa"/>
            <w:noWrap w:val="0"/>
            <w:vAlign w:val="center"/>
          </w:tcPr>
          <w:p w14:paraId="2444D62B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737B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noWrap w:val="0"/>
            <w:vAlign w:val="center"/>
          </w:tcPr>
          <w:p w14:paraId="39A0C6A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316F00F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DD2972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0005BE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BD68A7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00" w:type="dxa"/>
            <w:noWrap w:val="0"/>
            <w:vAlign w:val="center"/>
          </w:tcPr>
          <w:p w14:paraId="0640433C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94" w:type="dxa"/>
            <w:noWrap w:val="0"/>
            <w:vAlign w:val="center"/>
          </w:tcPr>
          <w:p w14:paraId="07B9A039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839" w:type="dxa"/>
            <w:noWrap w:val="0"/>
            <w:vAlign w:val="center"/>
          </w:tcPr>
          <w:p w14:paraId="71892458">
            <w:pPr>
              <w:autoSpaceDN w:val="0"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1967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noWrap w:val="0"/>
            <w:vAlign w:val="center"/>
          </w:tcPr>
          <w:p w14:paraId="1DFD6FF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总计（人民币/元）</w:t>
            </w:r>
          </w:p>
        </w:tc>
        <w:tc>
          <w:tcPr>
            <w:tcW w:w="5693" w:type="dxa"/>
            <w:gridSpan w:val="6"/>
            <w:noWrap w:val="0"/>
            <w:vAlign w:val="center"/>
          </w:tcPr>
          <w:p w14:paraId="4857389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highlight w:val="none"/>
              </w:rPr>
              <w:t>¥：       （大写）</w:t>
            </w:r>
          </w:p>
        </w:tc>
      </w:tr>
    </w:tbl>
    <w:p w14:paraId="4570CAEC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（参数较多可以附件说明）</w:t>
      </w:r>
    </w:p>
    <w:p w14:paraId="54A9F21A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乙方负责按以上确定的产品规格、型号及配套内容进行供货，及时运到甲方指定交货地点安装调试，确保所有产品达到最佳运行状态，负责对甲方操作、维护人员进行培训，指导操作、使用和维修保养，做好售后服务工作。</w:t>
      </w:r>
    </w:p>
    <w:p w14:paraId="1D25BC33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二、合同价格</w:t>
      </w:r>
    </w:p>
    <w:p w14:paraId="7D6BF35D">
      <w:pPr>
        <w:kinsoku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合同总价：人民币大写：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b/>
          <w:sz w:val="24"/>
          <w:highlight w:val="none"/>
        </w:rPr>
        <w:t>元整；¥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  <w:highlight w:val="none"/>
        </w:rPr>
        <w:t>元。</w:t>
      </w:r>
    </w:p>
    <w:p w14:paraId="0721500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合同总价包括：产品的供应费及所发生的运输费、杂费（含保险）、商检费、搬运费、安装调试费、培训费等，包括从产品供应地点到交货地点所包含的一切费用。合同总价不可变更，不受市场价变化的影响，不受实际数量变化的影响。</w:t>
      </w:r>
    </w:p>
    <w:p w14:paraId="7639A4B5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三、款项支付</w:t>
      </w:r>
    </w:p>
    <w:p w14:paraId="68475539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①合同签订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后，设备全部到场双方清点核对无误后，</w:t>
      </w:r>
      <w:r>
        <w:rPr>
          <w:rFonts w:hint="eastAsia" w:ascii="仿宋" w:hAnsi="仿宋" w:eastAsia="仿宋" w:cs="仿宋"/>
          <w:sz w:val="24"/>
          <w:highlight w:val="none"/>
        </w:rPr>
        <w:t>10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个</w:t>
      </w:r>
      <w:r>
        <w:rPr>
          <w:rFonts w:hint="eastAsia" w:ascii="仿宋" w:hAnsi="仿宋" w:eastAsia="仿宋" w:cs="仿宋"/>
          <w:sz w:val="24"/>
          <w:highlight w:val="none"/>
        </w:rPr>
        <w:t>日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历日</w:t>
      </w:r>
      <w:r>
        <w:rPr>
          <w:rFonts w:hint="eastAsia" w:ascii="仿宋" w:hAnsi="仿宋" w:eastAsia="仿宋" w:cs="仿宋"/>
          <w:sz w:val="24"/>
          <w:highlight w:val="none"/>
        </w:rPr>
        <w:t>内支付合同总金额的 80.00%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；</w:t>
      </w:r>
    </w:p>
    <w:p w14:paraId="7B071181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②项目最终验收合格后，乙方持《终验合格单》原件并向甲方提供全额增值税专用发票，1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0</w:t>
      </w:r>
      <w:r>
        <w:rPr>
          <w:rFonts w:hint="eastAsia" w:ascii="仿宋" w:hAnsi="仿宋" w:eastAsia="仿宋" w:cs="仿宋"/>
          <w:sz w:val="24"/>
          <w:highlight w:val="none"/>
        </w:rPr>
        <w:t>个日历日内支付合同总金额的20%。</w:t>
      </w:r>
    </w:p>
    <w:p w14:paraId="714F5D7A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四、完工条件</w:t>
      </w:r>
    </w:p>
    <w:p w14:paraId="7E969DDC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1、项目实施地点：陕西铁路工程职业技术学院高新校区 C1楼。</w:t>
      </w:r>
    </w:p>
    <w:p w14:paraId="03AD0D39">
      <w:pPr>
        <w:kinsoku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2、完工日期：合同签订后10个日历日。</w:t>
      </w:r>
    </w:p>
    <w:p w14:paraId="0DBA22F0">
      <w:pPr>
        <w:kinsoku w:val="0"/>
        <w:spacing w:line="360" w:lineRule="auto"/>
        <w:ind w:firstLine="600" w:firstLineChars="25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交付条件：最终验收合格。</w:t>
      </w:r>
    </w:p>
    <w:p w14:paraId="7FAE002D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五、运输方式：</w:t>
      </w:r>
      <w:r>
        <w:rPr>
          <w:rFonts w:hint="eastAsia" w:ascii="仿宋" w:hAnsi="仿宋" w:eastAsia="仿宋" w:cs="仿宋"/>
          <w:sz w:val="24"/>
          <w:highlight w:val="none"/>
        </w:rPr>
        <w:t>根据产品特性，由乙方在保证产品质量的前提下，自行选择运输及包装方式，发生的一切费用全部由乙方承担。</w:t>
      </w:r>
    </w:p>
    <w:p w14:paraId="2C9ECFC7">
      <w:pPr>
        <w:spacing w:line="360" w:lineRule="auto"/>
        <w:ind w:firstLine="482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六、质量保证</w:t>
      </w:r>
    </w:p>
    <w:p w14:paraId="2503399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硬件</w:t>
      </w:r>
      <w:r>
        <w:rPr>
          <w:rFonts w:hint="eastAsia" w:ascii="仿宋" w:hAnsi="仿宋" w:eastAsia="仿宋" w:cs="仿宋"/>
          <w:sz w:val="24"/>
          <w:highlight w:val="none"/>
        </w:rPr>
        <w:t>产品的质量保证期为: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none"/>
          <w:lang w:val="en-US" w:eastAsia="zh-CN"/>
        </w:rPr>
        <w:t>，所有软件产品提供版本内免费升级</w:t>
      </w:r>
      <w:r>
        <w:rPr>
          <w:rFonts w:hint="eastAsia" w:ascii="仿宋" w:hAnsi="仿宋" w:eastAsia="仿宋" w:cs="仿宋"/>
          <w:sz w:val="24"/>
          <w:highlight w:val="none"/>
        </w:rPr>
        <w:t>。</w:t>
      </w:r>
    </w:p>
    <w:p w14:paraId="72FCFCD5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2、乙方保证所提供的产品质量可靠，进货渠道正常，配置合理，技术性能完全满足招标文件要求；</w:t>
      </w:r>
    </w:p>
    <w:p w14:paraId="3AEB32AA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3、若产品所用原材料或加工工艺造成的质量和内外观缺陷问题，由乙方负责解决并承担费用。（乙方保证货物是全新的、未曾使用过的、以优质工艺及材料制造，并保证所供产品的完整性，本合同产品为成套供货，合同总价中已包括满足产品完整运行的附件，备件，配套件等，产品质量应符合国标标准和本合同附件的要求,乙方应随机提供产品检验报告。）</w:t>
      </w:r>
    </w:p>
    <w:p w14:paraId="392435F5">
      <w:pPr>
        <w:adjustRightInd w:val="0"/>
        <w:snapToGrid w:val="0"/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4、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硬件</w:t>
      </w:r>
      <w:r>
        <w:rPr>
          <w:rFonts w:hint="eastAsia" w:ascii="仿宋" w:hAnsi="仿宋" w:eastAsia="仿宋" w:cs="仿宋"/>
          <w:sz w:val="24"/>
          <w:highlight w:val="none"/>
        </w:rPr>
        <w:t>产品的质保期为产品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highlight w:val="none"/>
        </w:rPr>
        <w:t>质保期内若发生产品质量问题，乙方应立即免费解决；超过质保期的，按照厂家承诺进行。</w:t>
      </w:r>
    </w:p>
    <w:p w14:paraId="1DC60DCD">
      <w:pPr>
        <w:adjustRightInd w:val="0"/>
        <w:snapToGrid w:val="0"/>
        <w:spacing w:line="360" w:lineRule="auto"/>
        <w:ind w:firstLine="600" w:firstLineChars="250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5、产品</w:t>
      </w:r>
      <w:r>
        <w:rPr>
          <w:rFonts w:hint="eastAsia" w:ascii="仿宋" w:hAnsi="仿宋" w:eastAsia="仿宋" w:cs="仿宋"/>
          <w:bCs/>
          <w:sz w:val="24"/>
          <w:highlight w:val="none"/>
        </w:rPr>
        <w:t>性能未达到技术要求的，乙方限期内进行整改；整改仍达不到要求的，甲方有权解除合同，保留依法索赔的权利。</w:t>
      </w:r>
    </w:p>
    <w:p w14:paraId="6C4F0082">
      <w:pPr>
        <w:adjustRightInd w:val="0"/>
        <w:snapToGrid w:val="0"/>
        <w:spacing w:line="360" w:lineRule="auto"/>
        <w:ind w:firstLine="600" w:firstLineChars="250"/>
        <w:rPr>
          <w:rFonts w:hint="eastAsia" w:ascii="仿宋" w:hAnsi="仿宋" w:eastAsia="仿宋" w:cs="仿宋"/>
          <w:bCs/>
          <w:sz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highlight w:val="none"/>
        </w:rPr>
        <w:t>6、知识产权：即乙方应保证甲方在使用成交货物时，不承担任何涉及知识产权法律诉讼的责任。</w:t>
      </w:r>
    </w:p>
    <w:p w14:paraId="67D7E959">
      <w:pPr>
        <w:adjustRightInd w:val="0"/>
        <w:snapToGrid w:val="0"/>
        <w:spacing w:line="360" w:lineRule="auto"/>
        <w:ind w:firstLine="600" w:firstLineChars="250"/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7.</w:t>
      </w:r>
      <w:r>
        <w:rPr>
          <w:rFonts w:hint="eastAsia" w:ascii="仿宋" w:hAnsi="仿宋" w:eastAsia="仿宋" w:cs="仿宋"/>
          <w:bCs/>
          <w:sz w:val="24"/>
          <w:highlight w:val="none"/>
        </w:rPr>
        <w:t>需执行的国家相关标准、行业标准、地方标准或者其他标准、规范</w:t>
      </w: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>：《3D打印混凝土基本力学性能试验方法》T/CBMF183-2022、《3D打印混凝土拌合物性能试验方法》T/CBMF184-2022、《混凝土3D打印技术规程》T/CECS 786-2020。</w:t>
      </w:r>
    </w:p>
    <w:p w14:paraId="414E6007">
      <w:pPr>
        <w:adjustRightInd w:val="0"/>
        <w:snapToGrid w:val="0"/>
        <w:spacing w:line="360" w:lineRule="auto"/>
        <w:ind w:firstLine="359" w:firstLineChars="149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七、安装、调试及技术服务</w:t>
      </w:r>
    </w:p>
    <w:p w14:paraId="0070179E">
      <w:pPr>
        <w:spacing w:line="360" w:lineRule="auto"/>
        <w:ind w:firstLine="496" w:firstLineChars="207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1、技术资料包括：出厂检测报告、产品使用说明书、合格证等其它相关资料。</w:t>
      </w:r>
    </w:p>
    <w:p w14:paraId="475B443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在质保期内（保修起始日为货到验收合格之日起），乙方在接到用户对所购产品进行维修的要求后，24小时内到用户现场进行维修服务，全部费用由乙方支付，若需将产品送回生产厂，由乙方支付维修产品所需的往返费用。</w:t>
      </w:r>
    </w:p>
    <w:p w14:paraId="2878B4CA">
      <w:pPr>
        <w:spacing w:line="360" w:lineRule="auto"/>
        <w:ind w:firstLine="360" w:firstLineChars="1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3、乙方保证产品完全按招标要求提供，若达不到要求，乙方须及时跟甲方沟通协商更换产品，并按照再次验收合格时间相应延长该产品保修期。</w:t>
      </w:r>
    </w:p>
    <w:p w14:paraId="21077B4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4、技术培训</w:t>
      </w:r>
    </w:p>
    <w:p w14:paraId="3866CA72">
      <w:pPr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1）内容：包括产品原理、使用操作、保养维修技术等，使受训人员达到独立使用、熟练操作的程度。</w:t>
      </w:r>
    </w:p>
    <w:p w14:paraId="6FB05EDB">
      <w:pPr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2）培训准备：每台仪器培训主要操作人员2-3人。</w:t>
      </w:r>
    </w:p>
    <w:p w14:paraId="27D86579">
      <w:pPr>
        <w:spacing w:line="360" w:lineRule="auto"/>
        <w:ind w:firstLine="600" w:firstLineChars="25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3）地点：仪器安装地点（陕西铁路工程职业技术学院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指定地点</w:t>
      </w:r>
      <w:r>
        <w:rPr>
          <w:rFonts w:hint="eastAsia" w:ascii="仿宋" w:hAnsi="仿宋" w:eastAsia="仿宋" w:cs="仿宋"/>
          <w:sz w:val="24"/>
          <w:highlight w:val="none"/>
        </w:rPr>
        <w:t>）</w:t>
      </w:r>
    </w:p>
    <w:p w14:paraId="73D34710">
      <w:pPr>
        <w:spacing w:line="360" w:lineRule="auto"/>
        <w:ind w:firstLine="600" w:firstLineChars="250"/>
        <w:rPr>
          <w:rFonts w:hint="default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4）时间：在收到甲方通知后一周内安排。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培训时长不少于20小时。</w:t>
      </w:r>
    </w:p>
    <w:p w14:paraId="0CD04829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5、服务承诺：按投标文件中的服务承诺执行。</w:t>
      </w:r>
    </w:p>
    <w:p w14:paraId="24AE0300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6、安装调试过程中出现的安全责任问题由乙方全权负责。</w:t>
      </w:r>
    </w:p>
    <w:p w14:paraId="5EE8FA25">
      <w:pPr>
        <w:tabs>
          <w:tab w:val="left" w:pos="5355"/>
        </w:tabs>
        <w:spacing w:line="360" w:lineRule="auto"/>
        <w:ind w:firstLine="506" w:firstLineChars="210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八、违约责任：</w:t>
      </w:r>
    </w:p>
    <w:p w14:paraId="7C901AD4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color w:val="0000FF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1、按《中华人民共和国民法典》中合同部分的相关条款执行。</w:t>
      </w:r>
    </w:p>
    <w:p w14:paraId="73E9EAF5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2、未按合同要求提供产品或产品质量不能满足技术要求，甲方有权终止合同，并保留追究乙方违约责任的权利。</w:t>
      </w:r>
    </w:p>
    <w:p w14:paraId="45A000F6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3、时间迟延的，违约方按照每天1‰向对方承担违约责任。产品质量问题违约的，除了按照迟延时间计算违约金外，另可以采取退货、换货等方式，由供方承担一切费用。</w:t>
      </w:r>
    </w:p>
    <w:p w14:paraId="20BE415D">
      <w:pPr>
        <w:adjustRightInd w:val="0"/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4、乙方不得进行债权转让。</w:t>
      </w:r>
    </w:p>
    <w:p w14:paraId="6B828EFF">
      <w:pPr>
        <w:spacing w:line="360" w:lineRule="auto"/>
        <w:ind w:firstLine="532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九、产品验收</w:t>
      </w:r>
    </w:p>
    <w:p w14:paraId="09A847A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1、产品到货后，乙方负责安装调试，达到正常运行条件后书面通知甲方验收。</w:t>
      </w:r>
    </w:p>
    <w:p w14:paraId="1A4BAEB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2、安装完成后应提供详细的安装报告，并详细记录各种指示的实测数据。</w:t>
      </w:r>
    </w:p>
    <w:p w14:paraId="66A15324">
      <w:pPr>
        <w:spacing w:line="360" w:lineRule="auto"/>
        <w:ind w:firstLine="480" w:firstLineChars="200"/>
        <w:rPr>
          <w:rFonts w:hint="default" w:ascii="仿宋" w:hAnsi="仿宋" w:eastAsia="仿宋" w:cs="仿宋"/>
          <w:sz w:val="24"/>
          <w:highlight w:val="none"/>
          <w:lang w:val="en-US"/>
        </w:rPr>
      </w:pPr>
      <w:r>
        <w:rPr>
          <w:rFonts w:hint="eastAsia" w:ascii="仿宋" w:hAnsi="仿宋" w:eastAsia="仿宋" w:cs="仿宋"/>
          <w:sz w:val="24"/>
          <w:highlight w:val="none"/>
        </w:rPr>
        <w:t>3、提供完整的操作手册和安装、调试、维修手册；提供制造厂家的检验测试报告或产品出厂检测报告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；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提供仪器操作视频</w:t>
      </w:r>
      <w:r>
        <w:rPr>
          <w:rFonts w:hint="eastAsia" w:ascii="仿宋" w:hAnsi="仿宋" w:eastAsia="仿宋" w:cs="仿宋"/>
          <w:b w:val="0"/>
          <w:bCs w:val="0"/>
          <w:sz w:val="24"/>
          <w:highlight w:val="none"/>
          <w:lang w:val="en-US" w:eastAsia="zh-CN"/>
        </w:rPr>
        <w:t>（形式：二维码</w:t>
      </w:r>
      <w:r>
        <w:rPr>
          <w:rFonts w:hint="eastAsia" w:ascii="仿宋" w:hAnsi="仿宋" w:eastAsia="仿宋" w:cs="仿宋"/>
          <w:b w:val="0"/>
          <w:bCs w:val="0"/>
          <w:sz w:val="24"/>
          <w:highlight w:val="none"/>
          <w:lang w:eastAsia="zh-CN"/>
        </w:rPr>
        <w:t>），</w:t>
      </w:r>
      <w:r>
        <w:rPr>
          <w:rFonts w:hint="eastAsia" w:ascii="仿宋" w:hAnsi="仿宋" w:eastAsia="仿宋" w:cs="仿宋"/>
          <w:b w:val="0"/>
          <w:bCs w:val="0"/>
          <w:sz w:val="24"/>
          <w:highlight w:val="none"/>
          <w:lang w:val="en-US" w:eastAsia="zh-CN"/>
        </w:rPr>
        <w:t>仪器状态卡。</w:t>
      </w:r>
    </w:p>
    <w:p w14:paraId="1614029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4、甲方根据合同要求对产品进行验收、确认产品的产地、规格、型号和数量。验收依据为</w:t>
      </w:r>
      <w:bookmarkStart w:id="0" w:name="_Toc337393760"/>
      <w:r>
        <w:rPr>
          <w:rFonts w:hint="eastAsia" w:ascii="仿宋" w:hAnsi="仿宋" w:eastAsia="仿宋" w:cs="仿宋"/>
          <w:sz w:val="24"/>
          <w:highlight w:val="none"/>
        </w:rPr>
        <w:t>本合同文本、招标文件和国内相应的标准、规范</w:t>
      </w:r>
      <w:bookmarkEnd w:id="0"/>
      <w:bookmarkStart w:id="1" w:name="_Toc337393761"/>
      <w:r>
        <w:rPr>
          <w:rFonts w:hint="eastAsia" w:ascii="仿宋" w:hAnsi="仿宋" w:eastAsia="仿宋" w:cs="仿宋"/>
          <w:sz w:val="24"/>
          <w:highlight w:val="none"/>
        </w:rPr>
        <w:t>。</w:t>
      </w:r>
      <w:bookmarkEnd w:id="1"/>
    </w:p>
    <w:p w14:paraId="3F9AD5D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5、验收合格后，填写产品验收单，并向甲方提交产品所包含的所有资料，以便甲方日后管理和维护。</w:t>
      </w:r>
    </w:p>
    <w:p w14:paraId="1315FE55">
      <w:pPr>
        <w:spacing w:line="360" w:lineRule="auto"/>
        <w:ind w:firstLine="480" w:firstLineChars="200"/>
        <w:rPr>
          <w:rFonts w:hint="default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6、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验收标准：验收由采购方负责组织或者邀请有关专家、质检机构、采购代理机构共同进行验收。根据合同要求对产品进行验收、确认产品的产地、规格、型号和数量。验收依据为本合同文本、投标文件和国内相应的标准、规范。</w:t>
      </w:r>
    </w:p>
    <w:p w14:paraId="35B339F0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</w:rPr>
        <w:t>十、售后服务：</w:t>
      </w:r>
      <w:r>
        <w:rPr>
          <w:rFonts w:hint="eastAsia" w:ascii="仿宋" w:hAnsi="仿宋" w:eastAsia="仿宋" w:cs="仿宋"/>
          <w:b w:val="0"/>
          <w:bCs w:val="0"/>
          <w:sz w:val="24"/>
          <w:highlight w:val="none"/>
        </w:rPr>
        <w:t>产品到货后，乙方负责安装调试，达到正常运行条件后书面通知甲方验收。供货方需提供制造厂家的检验测试报告或产品出厂检测报告。硬件产品质保期为</w:t>
      </w:r>
      <w:r>
        <w:rPr>
          <w:rFonts w:hint="eastAsia" w:ascii="仿宋" w:hAnsi="仿宋" w:eastAsia="仿宋" w:cs="仿宋"/>
          <w:b w:val="0"/>
          <w:bCs w:val="0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 w:val="0"/>
          <w:bCs w:val="0"/>
          <w:sz w:val="24"/>
          <w:highlight w:val="none"/>
        </w:rPr>
        <w:t>个月(保修起始日为验收合格之日起)，所有软件产品提供版本内免费升级。在质保期内，在接到用户对所购产品进行维修的要求后，供货方24小时内到用户现场进行维修服务，全部费用由供货方支付，若需将产品送回生产厂，由供货方支付维修产品所需的往返费用。保修期外，由供货方联系厂家维修，只收取单程的运保费及已维修的元器件成本费，未尽事宜由双方协商解决。为方便设备展放，需提供与实训室现有同尺寸的</w:t>
      </w:r>
      <w:r>
        <w:rPr>
          <w:rFonts w:hint="eastAsia" w:ascii="仿宋" w:hAnsi="仿宋" w:eastAsia="仿宋" w:cs="仿宋"/>
          <w:b w:val="0"/>
          <w:bCs w:val="0"/>
          <w:sz w:val="24"/>
          <w:highlight w:val="none"/>
          <w:lang w:val="en-US" w:eastAsia="zh-CN"/>
        </w:rPr>
        <w:t>操作规程</w:t>
      </w:r>
      <w:r>
        <w:rPr>
          <w:rFonts w:hint="eastAsia" w:ascii="仿宋" w:hAnsi="仿宋" w:eastAsia="仿宋" w:cs="仿宋"/>
          <w:b w:val="0"/>
          <w:bCs w:val="0"/>
          <w:sz w:val="24"/>
          <w:highlight w:val="none"/>
        </w:rPr>
        <w:t>展板2个。提供所有产品如操作视频、PPT、说明书等</w:t>
      </w:r>
      <w:r>
        <w:rPr>
          <w:rFonts w:hint="eastAsia" w:ascii="仿宋" w:hAnsi="仿宋" w:eastAsia="仿宋" w:cs="仿宋"/>
          <w:b w:val="0"/>
          <w:bCs w:val="0"/>
          <w:sz w:val="24"/>
          <w:highlight w:val="none"/>
          <w:lang w:val="en-US" w:eastAsia="zh-CN"/>
        </w:rPr>
        <w:t>电子版</w:t>
      </w:r>
      <w:r>
        <w:rPr>
          <w:rFonts w:hint="eastAsia" w:ascii="仿宋" w:hAnsi="仿宋" w:eastAsia="仿宋" w:cs="仿宋"/>
          <w:b w:val="0"/>
          <w:bCs w:val="0"/>
          <w:sz w:val="24"/>
          <w:highlight w:val="none"/>
        </w:rPr>
        <w:t>教学资料。</w:t>
      </w:r>
    </w:p>
    <w:p w14:paraId="4584BFB4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十一、合同争议的解决：</w:t>
      </w:r>
    </w:p>
    <w:p w14:paraId="7CCF8EA6">
      <w:pPr>
        <w:tabs>
          <w:tab w:val="left" w:pos="5355"/>
        </w:tabs>
        <w:spacing w:line="360" w:lineRule="auto"/>
        <w:ind w:firstLine="480" w:firstLineChars="200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合同一经签订，不得随意变更、中止或终止。对确需变更、调整或者中止、终止合同的，应按规定履行相应的手续。</w:t>
      </w:r>
    </w:p>
    <w:p w14:paraId="263E78F1">
      <w:pPr>
        <w:tabs>
          <w:tab w:val="left" w:pos="5355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合同执行中发生争议的，甲、乙双方应协商解决，协商达不成一致时，可向甲方所在地人民法院提请诉讼。</w:t>
      </w:r>
    </w:p>
    <w:p w14:paraId="2593113F">
      <w:pPr>
        <w:tabs>
          <w:tab w:val="left" w:pos="980"/>
        </w:tabs>
        <w:spacing w:line="360" w:lineRule="auto"/>
        <w:ind w:firstLine="482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十二、本合同一式</w:t>
      </w:r>
      <w:r>
        <w:rPr>
          <w:rFonts w:hint="eastAsia" w:ascii="仿宋" w:hAnsi="仿宋" w:eastAsia="仿宋" w:cs="仿宋"/>
          <w:b/>
          <w:sz w:val="24"/>
          <w:highlight w:val="none"/>
          <w:lang w:val="en-US" w:eastAsia="zh-CN"/>
        </w:rPr>
        <w:t>玖</w:t>
      </w:r>
      <w:r>
        <w:rPr>
          <w:rFonts w:hint="eastAsia" w:ascii="仿宋" w:hAnsi="仿宋" w:eastAsia="仿宋" w:cs="仿宋"/>
          <w:b/>
          <w:sz w:val="24"/>
          <w:highlight w:val="none"/>
        </w:rPr>
        <w:t>份，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甲方</w:t>
      </w:r>
      <w:r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  <w:t>柒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份，乙方贰份。签字盖章后生效，合同执行完</w:t>
      </w:r>
      <w:r>
        <w:rPr>
          <w:rFonts w:hint="eastAsia" w:ascii="仿宋" w:hAnsi="仿宋" w:eastAsia="仿宋" w:cs="仿宋"/>
          <w:sz w:val="24"/>
          <w:highlight w:val="none"/>
        </w:rPr>
        <w:t>毕自动失效。（合同的服务承诺则长期有效）。</w:t>
      </w:r>
    </w:p>
    <w:p w14:paraId="4C731F39">
      <w:pPr>
        <w:spacing w:line="360" w:lineRule="auto"/>
        <w:ind w:firstLine="482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十三、其它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t>（乙方信息全部为必填项）</w:t>
      </w:r>
      <w:r>
        <w:rPr>
          <w:rFonts w:hint="eastAsia" w:ascii="仿宋" w:hAnsi="仿宋" w:eastAsia="仿宋" w:cs="仿宋"/>
          <w:b/>
          <w:bCs/>
          <w:sz w:val="24"/>
          <w:highlight w:val="none"/>
        </w:rPr>
        <w:br w:type="page"/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8"/>
        <w:gridCol w:w="4629"/>
      </w:tblGrid>
      <w:tr w14:paraId="352DF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9F9578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甲  方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68B055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乙  方</w:t>
            </w:r>
          </w:p>
        </w:tc>
      </w:tr>
      <w:tr w14:paraId="50B0B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C630D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（盖章）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A09BCB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成交单位全称</w:t>
            </w:r>
          </w:p>
          <w:p w14:paraId="32050B78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（盖章）</w:t>
            </w:r>
          </w:p>
        </w:tc>
      </w:tr>
      <w:tr w14:paraId="6383C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302DE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地址：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F74A2">
            <w:pPr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地址：</w:t>
            </w:r>
          </w:p>
        </w:tc>
      </w:tr>
      <w:tr w14:paraId="7789F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21CDB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邮编：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2F97E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邮编：</w:t>
            </w:r>
          </w:p>
        </w:tc>
      </w:tr>
      <w:tr w14:paraId="49A22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9CFAA8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法定代表人：（签字）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ED1B6D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法定代表人：</w:t>
            </w:r>
          </w:p>
        </w:tc>
      </w:tr>
      <w:tr w14:paraId="5B5CC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C474A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3E95B2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被授权代表：（签字）</w:t>
            </w:r>
          </w:p>
        </w:tc>
      </w:tr>
      <w:tr w14:paraId="3E226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E332A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电话：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B5CD02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电话：</w:t>
            </w:r>
          </w:p>
        </w:tc>
      </w:tr>
      <w:tr w14:paraId="20F59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2D6C44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传真：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804B24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传真：</w:t>
            </w:r>
          </w:p>
        </w:tc>
      </w:tr>
      <w:tr w14:paraId="4B757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E9358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开户银行：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D7DD50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开户银行：</w:t>
            </w:r>
          </w:p>
        </w:tc>
      </w:tr>
      <w:tr w14:paraId="51FC1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8A4C18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账号：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C98A3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账号:</w:t>
            </w:r>
          </w:p>
        </w:tc>
      </w:tr>
      <w:tr w14:paraId="30395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F18C4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CEC4A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开户名称：</w:t>
            </w:r>
          </w:p>
        </w:tc>
      </w:tr>
      <w:tr w14:paraId="23370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903302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8C619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企业规模：</w:t>
            </w:r>
          </w:p>
        </w:tc>
      </w:tr>
      <w:tr w14:paraId="02A41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596E79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FB374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纳税人识别号：</w:t>
            </w:r>
          </w:p>
        </w:tc>
      </w:tr>
      <w:tr w14:paraId="0E00F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46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D44C90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日期：  年   月   日</w:t>
            </w:r>
          </w:p>
        </w:tc>
        <w:tc>
          <w:tcPr>
            <w:tcW w:w="4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9C533"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日期：  年   月   日</w:t>
            </w:r>
          </w:p>
        </w:tc>
      </w:tr>
    </w:tbl>
    <w:p w14:paraId="447613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32101E"/>
    <w:rsid w:val="201E0008"/>
    <w:rsid w:val="7332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2609</Words>
  <Characters>2669</Characters>
  <Lines>0</Lines>
  <Paragraphs>0</Paragraphs>
  <TotalTime>0</TotalTime>
  <ScaleCrop>false</ScaleCrop>
  <LinksUpToDate>false</LinksUpToDate>
  <CharactersWithSpaces>2740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2026-04-09T11:25:00Z</dcterms:created>
  <dc:creator>叶子</dc:creator>
  <cp:lastModifiedBy>叶子</cp:lastModifiedBy>
  <dcterms:modified xsi:type="dcterms:W3CDTF">2026-05-06T01:22:15Z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234F3A9F2F2746F091FCB1788760CCF5_11</vt:lpwstr>
  </property>
  <property fmtid="{D5CDD505-2E9C-101B-9397-08002B2CF9AE}" pid="4" name="KSOTemplateDocerSaveRecord">
    <vt:lpwstr>eyJoZGlkIjoiZjE1YjQ4NWY2MWE2Y2ZiNzE4NTU1MjQ3YTY1ZWQwZjAiLCJ1c2VySWQiOiIzMjkyNDM1OTcifQ==</vt:lpwstr>
  </property>
</Properties>
</file>