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版本号：HZJ2026-CS-01720260820001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三原县陂西镇雁北村外立面及绿化改造项目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HZJ2026-CS-017</w:t>
      </w:r>
      <w:r>
        <w:br/>
      </w:r>
      <w:r>
        <w:br/>
      </w:r>
      <w:r>
        <w:br/>
      </w:r>
    </w:p>
    <w:p>
      <w:pPr>
        <w:pStyle w:val="null3"/>
        <w:jc w:val="center"/>
        <w:outlineLvl w:val="2"/>
      </w:pPr>
      <w:r>
        <w:rPr>
          <w:rFonts w:ascii="仿宋_GB2312" w:hAnsi="仿宋_GB2312" w:cs="仿宋_GB2312" w:eastAsia="仿宋_GB2312"/>
          <w:sz w:val="28"/>
          <w:b/>
        </w:rPr>
        <w:t>三原县陂西镇人民政府</w:t>
      </w:r>
    </w:p>
    <w:p>
      <w:pPr>
        <w:pStyle w:val="null3"/>
        <w:jc w:val="center"/>
        <w:outlineLvl w:val="2"/>
      </w:pPr>
      <w:r>
        <w:rPr>
          <w:rFonts w:ascii="仿宋_GB2312" w:hAnsi="仿宋_GB2312" w:cs="仿宋_GB2312" w:eastAsia="仿宋_GB2312"/>
          <w:sz w:val="28"/>
          <w:b/>
        </w:rPr>
        <w:t>华智建项目管理有限公司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华智建项目管理有限公司</w:t>
      </w:r>
      <w:r>
        <w:rPr>
          <w:rFonts w:ascii="仿宋_GB2312" w:hAnsi="仿宋_GB2312" w:cs="仿宋_GB2312" w:eastAsia="仿宋_GB2312"/>
        </w:rPr>
        <w:t>（以下简称“代理机构”）受</w:t>
      </w:r>
      <w:r>
        <w:rPr>
          <w:rFonts w:ascii="仿宋_GB2312" w:hAnsi="仿宋_GB2312" w:cs="仿宋_GB2312" w:eastAsia="仿宋_GB2312"/>
        </w:rPr>
        <w:t>三原县陂西镇人民政府</w:t>
      </w:r>
      <w:r>
        <w:rPr>
          <w:rFonts w:ascii="仿宋_GB2312" w:hAnsi="仿宋_GB2312" w:cs="仿宋_GB2312" w:eastAsia="仿宋_GB2312"/>
        </w:rPr>
        <w:t>委托，拟对</w:t>
      </w:r>
      <w:r>
        <w:rPr>
          <w:rFonts w:ascii="仿宋_GB2312" w:hAnsi="仿宋_GB2312" w:cs="仿宋_GB2312" w:eastAsia="仿宋_GB2312"/>
        </w:rPr>
        <w:t>三原县陂西镇雁北村外立面及绿化改造项目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HZJ2026-CS-017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三原县陂西镇雁北村外立面及绿化改造项目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分为土建外立面改造与村内绿化两大工程，土建主要开展农户外墙抹灰、真石漆涂装施工，绿化包含场地清理、种植土回填、多类乔灌木栽植，为改善雁北村民居外观风貌，补齐村庄人居环境短板，统一规范农户房屋外立面，消除墙面破旧、观感杂乱问题；同步完善村内绿化景观，整治空地杂物、提升乡村绿化覆盖率，打造整洁美观的村容村貌，满足群众宜居需求，助力美丽乡村建设，因此本项目实施十分必要。</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采购包1（三原县陂西镇雁北村外立面及绿化改造项目）：属于专门面向中小企业采购。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1、响应主体：独立承担民事责任的法人或其他组织有效的营业执照（或统一社会信用代码的营业执照）等相应证明文件，自然人的提供身份证明文件</w:t>
      </w:r>
    </w:p>
    <w:p>
      <w:pPr>
        <w:pStyle w:val="null3"/>
      </w:pPr>
      <w:r>
        <w:rPr>
          <w:rFonts w:ascii="仿宋_GB2312" w:hAnsi="仿宋_GB2312" w:cs="仿宋_GB2312" w:eastAsia="仿宋_GB2312"/>
        </w:rPr>
        <w:t>2、法定代表人授权委托书：法定代表人授权委托书（附法定代表人身份证复印件及被授权人身份证复印件）；法定代表 人直接参加投标只须提供法定代表人资格证明书（附法定代表人身份证复印件）；采购文件凡是法定代表人之处，非法人单位的负责人均参照执行；</w:t>
      </w:r>
    </w:p>
    <w:p>
      <w:pPr>
        <w:pStyle w:val="null3"/>
      </w:pPr>
      <w:r>
        <w:rPr>
          <w:rFonts w:ascii="仿宋_GB2312" w:hAnsi="仿宋_GB2312" w:cs="仿宋_GB2312" w:eastAsia="仿宋_GB2312"/>
        </w:rPr>
        <w:t>3、公司资质：供应商具备建设行政主管部门颁发的建筑工程施工总承包三级（含三级）以上资质（或调整后的同等资质等级）并具有有效的安全生产许可证</w:t>
      </w:r>
    </w:p>
    <w:p>
      <w:pPr>
        <w:pStyle w:val="null3"/>
      </w:pPr>
      <w:r>
        <w:rPr>
          <w:rFonts w:ascii="仿宋_GB2312" w:hAnsi="仿宋_GB2312" w:cs="仿宋_GB2312" w:eastAsia="仿宋_GB2312"/>
        </w:rPr>
        <w:t>4、项目经理资质：拟派往项目经理须具备建筑工程专业二级及以上注册建造师执业资格，并持有有效的安全生产考核合格证书（B证），且未担任其他在建工程项目的项目经理。</w:t>
      </w:r>
    </w:p>
    <w:p>
      <w:pPr>
        <w:pStyle w:val="null3"/>
      </w:pPr>
      <w:r>
        <w:rPr>
          <w:rFonts w:ascii="仿宋_GB2312" w:hAnsi="仿宋_GB2312" w:cs="仿宋_GB2312" w:eastAsia="仿宋_GB2312"/>
        </w:rPr>
        <w:t>5、财务状况报告：提供2024年度或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6、税收缴纳证明：提供截止开标日期以前六个月以内已缴纳的任意一个月的纳税证明或完税证明（时间以税款所属日期为准、税种须包含增值税或企业所得税），依法免税的单位应提供相关证明材料。</w:t>
      </w:r>
    </w:p>
    <w:p>
      <w:pPr>
        <w:pStyle w:val="null3"/>
      </w:pPr>
      <w:r>
        <w:rPr>
          <w:rFonts w:ascii="仿宋_GB2312" w:hAnsi="仿宋_GB2312" w:cs="仿宋_GB2312" w:eastAsia="仿宋_GB2312"/>
        </w:rPr>
        <w:t>7、社会保障资金缴纳证明：提供截止开标日期以前六个月以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8、专业技术能力：提供具有履行本合同所必需的设备和专业技术能力的声明</w:t>
      </w:r>
    </w:p>
    <w:p>
      <w:pPr>
        <w:pStyle w:val="null3"/>
      </w:pPr>
      <w:r>
        <w:rPr>
          <w:rFonts w:ascii="仿宋_GB2312" w:hAnsi="仿宋_GB2312" w:cs="仿宋_GB2312" w:eastAsia="仿宋_GB2312"/>
        </w:rPr>
        <w:t>9、信用中国：不得为“信用中国”网站(http://www.creditchina.gov.cn)列入“失信被执行人（ 页面跳转至“中国执行信息公开网”http://zxgk.court.gov.cn/shixin/）、重大税 收违法失信主体、政府采购严重违法失信行为记录名单”的供应商；不得为中国政府采购网(http://www.ccgp.gov.cn)“政府采购严重违法失信行为记录名单”中的供应商；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10、无重大违法声明：供应商参加采购活动近3年内经营活动中没有重大违法记录声明，以及未被列入失信被执行人、重大税收违法案件当事人名单、政府采购严重违法失信行为记录名单的书面声明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11、非联合体声明：本项目不接受联合体投标，单位负责人为同一人或者存在直接控股、管理关系的不 同投标人，不得参加同一合同项下的政府采购活动（提供非联合体投标声明，包括 控股管理声明）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三原县陂西镇人民政府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三原县陂西镇陂西街道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13689181940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华智建项目管理有限公司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陕西省西安市莲湖区陕西省西安市莲湖区丰庆路48号1幢308室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13325304067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席先生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029-32268653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采购包1：3,814,629.65元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代理服务费收费标准：国家计委《关于印发〈招标代理服务收费管理暂行办法〉的通知》（计价格〔2002〕1980号）及国家发展改革委办公厅《关于招标代理服务收费有关问题的通知》（发改办价格〔2003〕857号）</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三原县陂西镇人民政府</w:t>
      </w:r>
      <w:r>
        <w:rPr>
          <w:rFonts w:ascii="仿宋_GB2312" w:hAnsi="仿宋_GB2312" w:cs="仿宋_GB2312" w:eastAsia="仿宋_GB2312"/>
        </w:rPr>
        <w:t>和</w:t>
      </w:r>
      <w:r>
        <w:rPr>
          <w:rFonts w:ascii="仿宋_GB2312" w:hAnsi="仿宋_GB2312" w:cs="仿宋_GB2312" w:eastAsia="仿宋_GB2312"/>
        </w:rPr>
        <w:t>华智建项目管理有限公司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三原县陂西镇人民政府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华智建项目管理有限公司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三原县陂西镇人民政府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华智建项目管理有限公司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知识产权归采购方所有，双方共同承担保密义务</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工程施工符合图纸清单及现行规范，质量合格；按期完工、资料齐全，各项商务承诺全部落实。</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华智建项目管理有限公司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华智建项目管理有限公司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华智建项目管理有限公司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联系人：吴工</w:t>
      </w:r>
    </w:p>
    <w:p>
      <w:pPr>
        <w:pStyle w:val="null3"/>
      </w:pPr>
      <w:r>
        <w:rPr>
          <w:rFonts w:ascii="仿宋_GB2312" w:hAnsi="仿宋_GB2312" w:cs="仿宋_GB2312" w:eastAsia="仿宋_GB2312"/>
        </w:rPr>
        <w:t>联系电话：13325304067</w:t>
      </w:r>
    </w:p>
    <w:p>
      <w:pPr>
        <w:pStyle w:val="null3"/>
      </w:pPr>
      <w:r>
        <w:rPr>
          <w:rFonts w:ascii="仿宋_GB2312" w:hAnsi="仿宋_GB2312" w:cs="仿宋_GB2312" w:eastAsia="仿宋_GB2312"/>
        </w:rPr>
        <w:t>地址：陕西省西安市莲湖区陕西省西安市莲湖区丰庆路48号1幢308室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3,814,629.65</w:t>
      </w:r>
    </w:p>
    <w:p>
      <w:pPr>
        <w:pStyle w:val="null3"/>
      </w:pPr>
      <w:r>
        <w:rPr>
          <w:rFonts w:ascii="仿宋_GB2312" w:hAnsi="仿宋_GB2312" w:cs="仿宋_GB2312" w:eastAsia="仿宋_GB2312"/>
        </w:rPr>
        <w:t>采购包最高限价（元）: 3,814,629.65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三原县陂西镇雁北村外立面及绿化改造项目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3,814,629.65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标的名称：三原县陂西镇雁北村外立面及绿化改造项目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1、本项目全部施工作业须严格遵从国家及行业现行施工、质量验收相关规范标准，依据施工图纸、工程量清单并结合现场实际勘查条件组织实施，不得擅自变更设计内容，严禁降低工程建设质量标准。</w:t>
            </w:r>
          </w:p>
          <w:p>
            <w:pPr>
              <w:pStyle w:val="null3"/>
            </w:pPr>
            <w:r>
              <w:rPr>
                <w:rFonts w:ascii="仿宋_GB2312" w:hAnsi="仿宋_GB2312" w:cs="仿宋_GB2312" w:eastAsia="仿宋_GB2312"/>
              </w:rPr>
              <w:t>2、所有进场材料、构配件品质性能应当满足项目设计及现行规范要求，具备完整有效的合格证明与质量检测资料，进场完成复检核验确认合格后方可投入现场使用，杜绝不合格物料进场施工。各类物料按照材质特性落实防护措施，易受潮损耗物料做好密闭防护，液态涂装材料做好密封防渗漏处置，构件做好防磕碰、防锈蚀保护，各类物料转运过程做好防护，避免出现污染、损坏。</w:t>
            </w:r>
          </w:p>
          <w:p>
            <w:pPr>
              <w:pStyle w:val="null3"/>
            </w:pPr>
            <w:r>
              <w:rPr>
                <w:rFonts w:ascii="仿宋_GB2312" w:hAnsi="仿宋_GB2312" w:cs="仿宋_GB2312" w:eastAsia="仿宋_GB2312"/>
              </w:rPr>
              <w:t>3、农户外墙抹灰及真石漆涂装施工，原有基层处置到位，基层粘结牢固，抹灰层、涂装面层平整均匀，无空鼓、起壳、开裂、脱落等质量缺陷；整体外观观感协调统一，契合乡村整体风貌定位；施工过程产生的建筑垃圾做到及时归集清运。</w:t>
            </w:r>
          </w:p>
          <w:p>
            <w:pPr>
              <w:pStyle w:val="null3"/>
            </w:pPr>
            <w:r>
              <w:rPr>
                <w:rFonts w:ascii="仿宋_GB2312" w:hAnsi="仿宋_GB2312" w:cs="仿宋_GB2312" w:eastAsia="仿宋_GB2312"/>
              </w:rPr>
              <w:t>4、村内绿化作业，开展场地清理整治，妥善清理场地杂物垃圾；种植土回填处置到位，土质条件适配苗木生长需要；乔灌木栽植工艺合规，栽植稳固，做好栽植后养护管护，保障苗木生长存活；绿化布局完整协调，景观效果整洁美观。</w:t>
            </w:r>
          </w:p>
          <w:p>
            <w:pPr>
              <w:pStyle w:val="null3"/>
            </w:pPr>
            <w:r>
              <w:rPr>
                <w:rFonts w:ascii="仿宋_GB2312" w:hAnsi="仿宋_GB2312" w:cs="仿宋_GB2312" w:eastAsia="仿宋_GB2312"/>
              </w:rPr>
              <w:t>5、各分部分项工程完工后外观完整，各项使用功能完好，整体建设成效达成村庄人居环境提升目标，适配村民日常居住生活使用需求。</w:t>
            </w:r>
          </w:p>
          <w:p>
            <w:pPr>
              <w:pStyle w:val="null3"/>
            </w:pPr>
            <w:r>
              <w:rPr>
                <w:rFonts w:ascii="仿宋_GB2312" w:hAnsi="仿宋_GB2312" w:cs="仿宋_GB2312" w:eastAsia="仿宋_GB2312"/>
              </w:rPr>
              <w:t>6、项目竣工后完整归集移交全套竣工档案资料，包含全过程施工影像资料、材料质量证明文件、隐蔽工程记录、各类验收记录以及归档所需全部资料，资料完整规范，满足档案归档、项目结算及审计相关工作要求。</w:t>
            </w:r>
          </w:p>
          <w:p>
            <w:pPr>
              <w:pStyle w:val="null3"/>
            </w:pPr>
            <w:r>
              <w:rPr>
                <w:rFonts w:ascii="仿宋_GB2312" w:hAnsi="仿宋_GB2312" w:cs="仿宋_GB2312" w:eastAsia="仿宋_GB2312"/>
              </w:rPr>
              <w:t>7、项目交付后，在质保服务周期内，因施工工艺、材料本身质量原因造成的破损、故障问题，提供免费维修更换服务；接到报修诉求及时响应，安排人员赴现场处置；质保周期内开展定期巡检回访；质保服务期满后持续提供相关技术支持。</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本项目施工须严格执行国家及行业现行技术规范标准，工程质量须达到国家及行业现行验收合格标准，满足设计及采购人要求，质量不合格的须无条件整改返工直至合格，相关费用及工期责任由供应商自行承担。</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方案说明书(1).docx 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XXXX或XXXX年度经审计的财务报告（包含审计报告和审计报告中所涉及的财务报表和报表附注），②可提供XXXX或XXXX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独立承担民事责任的法人或其他组织有效的营业执照（或统一社会信用代码的营业执照）等相应证明文件，自然人的提供身份证明文件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 人直接参加投标只须提供法定代表人资格证明书（附法定代表人身份证复印件）；采购文件凡是法定代表人之处，非法人单位的负责人均参照执行；</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公司资质</w:t>
            </w:r>
          </w:p>
        </w:tc>
        <w:tc>
          <w:tcPr>
            <w:tcW w:type="dxa" w:w="3322"/>
          </w:tcPr>
          <w:p>
            <w:pPr>
              <w:pStyle w:val="null3"/>
            </w:pPr>
            <w:r>
              <w:rPr>
                <w:rFonts w:ascii="仿宋_GB2312" w:hAnsi="仿宋_GB2312" w:cs="仿宋_GB2312" w:eastAsia="仿宋_GB2312"/>
              </w:rPr>
              <w:t>供应商具备建设行政主管部门颁发的建筑工程施工总承包三级（含三级）以上资质（或调整后的同等资质等级）并具有有效的安全生产许可证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拟派往项目经理须具备建筑工程专业二级及以上注册建造师执业资格，并持有有效的安全生产考核合格证书（B证），且未担任其他在建工程项目的项目经理。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提供截止开标日期以前六个月以内已缴纳的任意一个月的纳税证明或完税证明（时间以税款所属日期为准、税种须包含增值税或企业所得税），依法免税的单位应提供相关证明材料。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提供截止开标日期以前六个月以内已缴存的任意一个月的社会保障资金缴存单据或社保机构开具的社会保险参保缴费情况证明，依法不需要缴纳社会保障资金的单位应提供相关证明材料。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不得为“信用中国”网站(http://www.creditchina.gov.cn)列入“失信被执行人（ 页面跳转至“中国执行信息公开网”http://zxgk.court.gov.cn/shixin/）、重大税 收违法失信主体、政府采购严重违法失信行为记录名单”的供应商；不得为中国政府采购网(http://www.ccgp.gov.cn)“政府采购严重违法失信行为记录名单”中的供应商；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无重大违法声明</w:t>
            </w:r>
          </w:p>
        </w:tc>
        <w:tc>
          <w:tcPr>
            <w:tcW w:type="dxa" w:w="3322"/>
          </w:tcPr>
          <w:p>
            <w:pPr>
              <w:pStyle w:val="null3"/>
            </w:pPr>
            <w:r>
              <w:rPr>
                <w:rFonts w:ascii="仿宋_GB2312" w:hAnsi="仿宋_GB2312" w:cs="仿宋_GB2312" w:eastAsia="仿宋_GB2312"/>
              </w:rPr>
              <w:t>供应商参加采购活动近3年内经营活动中没有重大违法记录声明，以及未被列入失信被执行人、重大税收违法案件当事人名单、政府采购严重违法失信行为记录名单的书面声明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 同投标人，不得参加同一合同项下的政府采购活动（提供非联合体投标声明，包括 控股管理声明）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限价</w:t>
            </w:r>
          </w:p>
        </w:tc>
        <w:tc>
          <w:tcPr>
            <w:tcW w:type="dxa" w:w="3322"/>
          </w:tcPr>
          <w:p>
            <w:pPr>
              <w:pStyle w:val="null3"/>
            </w:pPr>
            <w:r>
              <w:rPr>
                <w:rFonts w:ascii="仿宋_GB2312" w:hAnsi="仿宋_GB2312" w:cs="仿宋_GB2312" w:eastAsia="仿宋_GB2312"/>
              </w:rPr>
              <w:t>磋商报价不超过采购预算/限价</w:t>
            </w:r>
          </w:p>
        </w:tc>
        <w:tc>
          <w:tcPr>
            <w:tcW w:type="dxa" w:w="1661"/>
          </w:tcPr>
          <w:p>
            <w:pPr>
              <w:pStyle w:val="null3"/>
            </w:pPr>
            <w:r>
              <w:rPr>
                <w:rFonts w:ascii="仿宋_GB2312" w:hAnsi="仿宋_GB2312" w:cs="仿宋_GB2312" w:eastAsia="仿宋_GB2312"/>
              </w:rPr>
              <w:t>响应文件封面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磋商有效期符合磋商文件的要求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w:t>
            </w:r>
          </w:p>
        </w:tc>
        <w:tc>
          <w:tcPr>
            <w:tcW w:type="dxa" w:w="3322"/>
          </w:tcPr>
          <w:p>
            <w:pPr>
              <w:pStyle w:val="null3"/>
            </w:pPr>
            <w:r>
              <w:rPr>
                <w:rFonts w:ascii="仿宋_GB2312" w:hAnsi="仿宋_GB2312" w:cs="仿宋_GB2312" w:eastAsia="仿宋_GB2312"/>
              </w:rPr>
              <w:t>对磋商文件技术要求作出明确响应，对不得偏离的要求是否作了实质性响应</w:t>
            </w:r>
          </w:p>
        </w:tc>
        <w:tc>
          <w:tcPr>
            <w:tcW w:type="dxa" w:w="1661"/>
          </w:tcPr>
          <w:p>
            <w:pPr>
              <w:pStyle w:val="null3"/>
            </w:pPr>
            <w:r>
              <w:rPr>
                <w:rFonts w:ascii="仿宋_GB2312" w:hAnsi="仿宋_GB2312" w:cs="仿宋_GB2312" w:eastAsia="仿宋_GB2312"/>
              </w:rPr>
              <w:t>方案说明书(1).docx 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法律、法规和磋商文件规定的其他无效响应情形</w:t>
            </w:r>
          </w:p>
        </w:tc>
        <w:tc>
          <w:tcPr>
            <w:tcW w:type="dxa" w:w="1661"/>
          </w:tcPr>
          <w:p>
            <w:pPr>
              <w:pStyle w:val="null3"/>
            </w:pPr>
            <w:r>
              <w:rPr>
                <w:rFonts w:ascii="仿宋_GB2312" w:hAnsi="仿宋_GB2312" w:cs="仿宋_GB2312" w:eastAsia="仿宋_GB2312"/>
              </w:rPr>
              <w:t>方案说明书(1).docx 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针对本项目提供的项目施工方案，内容包括但不限于①前期筹备全面部署②施工流程科学规划及成本控制精准高③安全管理全程覆盖 ④工程质量保证措施⑤施工机械设备配备 ⑥劳动力计划及主要材料供应计划计划效评审标准：方案内容详细完整、针对性强、可行性高，符合项目实际要求。每项满分2分，缺项不得分，每项内容存在缺陷扣1分。 缺陷是指内容不合理、虽有内容但不完善、内容表述前后不一致、套用其他项目方案或 与项目需求不匹配及其他不利于项目实施的任意一种情形。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项目管理机构及项目经理部组成</w:t>
            </w:r>
          </w:p>
        </w:tc>
        <w:tc>
          <w:tcPr>
            <w:tcW w:type="dxa" w:w="2492"/>
          </w:tcPr>
          <w:p>
            <w:pPr>
              <w:pStyle w:val="null3"/>
            </w:pPr>
            <w:r>
              <w:rPr>
                <w:rFonts w:ascii="仿宋_GB2312" w:hAnsi="仿宋_GB2312" w:cs="仿宋_GB2312" w:eastAsia="仿宋_GB2312"/>
              </w:rPr>
              <w:t>针对本项目提供的项目管理机构及项目经理部组成，内容包括但不限于①项目管理机构 ②项目经理部组成③专业化项目经理部组建原则评审标准：方案内容详细完整、针对性强、可行性高，符合项目实际要求。每项满分2分，缺项不得分，每项内容存在缺陷扣 1分。缺陷是指内容不合理、虽有内容但不完善、内容表述前后不一致、套用其他项目 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确保安全生产的技术组织措施及应急预案</w:t>
            </w:r>
          </w:p>
        </w:tc>
        <w:tc>
          <w:tcPr>
            <w:tcW w:type="dxa" w:w="2492"/>
          </w:tcPr>
          <w:p>
            <w:pPr>
              <w:pStyle w:val="null3"/>
            </w:pPr>
            <w:r>
              <w:rPr>
                <w:rFonts w:ascii="仿宋_GB2312" w:hAnsi="仿宋_GB2312" w:cs="仿宋_GB2312" w:eastAsia="仿宋_GB2312"/>
              </w:rPr>
              <w:t>针对本项目确保安全生产的技术组织措施及应急预案，内容包括但不限于①确保安全生产的技术组织措施②应急预案③危险源分级管控与技术防护体系④安全防护与文明施工 措施⑤多场景应急处置预案与演练机制评审标准：方案内容详细完整、针对性强、可行 性高，符合项目实际要求。每项满分2分，缺项不得分，每项内容存在缺陷扣1分。缺 陷是指内容不合理、虽有内容但不完善、内容表述前后不一致、套用其他项目方案或与 项目需求不匹配及其他不利于项目实施的任意一种情形。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确保文明施工的技术措施及环境保护措施</w:t>
            </w:r>
          </w:p>
        </w:tc>
        <w:tc>
          <w:tcPr>
            <w:tcW w:type="dxa" w:w="2492"/>
          </w:tcPr>
          <w:p>
            <w:pPr>
              <w:pStyle w:val="null3"/>
            </w:pPr>
            <w:r>
              <w:rPr>
                <w:rFonts w:ascii="仿宋_GB2312" w:hAnsi="仿宋_GB2312" w:cs="仿宋_GB2312" w:eastAsia="仿宋_GB2312"/>
              </w:rPr>
              <w:t>针对本项目确保文明施工的技术措施及环境保护措施，内容包括但不限于①确保文明施工的技术措施②环境保护措施③施工区域标准化封闭管理措施④精细化扬尘与噪音防控 技术方案⑤施工废弃物分类处理与资源化利用措施评审标准：方案内容详细完整、针对性强、可行性高，符合项目实际要求。每项满分2分，缺项不得分，每项内容存在缺陷 扣1分。缺陷是指内容不合理、虽有内容但不完善、内容表述前后不一致、套用其他项 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施工进度计划及确保工期的技术措施</w:t>
            </w:r>
          </w:p>
        </w:tc>
        <w:tc>
          <w:tcPr>
            <w:tcW w:type="dxa" w:w="2492"/>
          </w:tcPr>
          <w:p>
            <w:pPr>
              <w:pStyle w:val="null3"/>
            </w:pPr>
            <w:r>
              <w:rPr>
                <w:rFonts w:ascii="仿宋_GB2312" w:hAnsi="仿宋_GB2312" w:cs="仿宋_GB2312" w:eastAsia="仿宋_GB2312"/>
              </w:rPr>
              <w:t>针对本项目施工进度计划及确保工期的技术措施，内容包括但不限于①施工进度计划② 确保工期的技术措施③分阶段精细化施工进度计划编制评审标准：方案内容详细完整、 针对性强、可行性高，符合项目实际要求。每项满分2分，缺项不得分，每项内容存在 缺陷扣1分。缺陷是指内容不合理、虽有内容但不完善、内容表述前后不一致、套用其 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季节性施工管理防范措施</w:t>
            </w:r>
          </w:p>
        </w:tc>
        <w:tc>
          <w:tcPr>
            <w:tcW w:type="dxa" w:w="2492"/>
          </w:tcPr>
          <w:p>
            <w:pPr>
              <w:pStyle w:val="null3"/>
            </w:pPr>
            <w:r>
              <w:rPr>
                <w:rFonts w:ascii="仿宋_GB2312" w:hAnsi="仿宋_GB2312" w:cs="仿宋_GB2312" w:eastAsia="仿宋_GB2312"/>
              </w:rPr>
              <w:t>针对本项目季节性施工管理防范措施，内容包括但不限于①场地适配系统升级与动态监测措施②工序优化与季节适配作业保障机制③季节性施工管理防范综合措施评审标准：方案内容详 细完整、针对性强、可行性高，符合项目实际要求。每项满分2分，缺项不得分，每项 内容存在缺陷扣1分。缺陷是指内容不合理、虽有内容但不完善、内容表述前后不一致 、套用其他项目方案或与项目需求不匹配及其他不利于项目实施的任意一种情形。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垃圾清运方案</w:t>
            </w:r>
          </w:p>
        </w:tc>
        <w:tc>
          <w:tcPr>
            <w:tcW w:type="dxa" w:w="2492"/>
          </w:tcPr>
          <w:p>
            <w:pPr>
              <w:pStyle w:val="null3"/>
            </w:pPr>
            <w:r>
              <w:rPr>
                <w:rFonts w:ascii="仿宋_GB2312" w:hAnsi="仿宋_GB2312" w:cs="仿宋_GB2312" w:eastAsia="仿宋_GB2312"/>
              </w:rPr>
              <w:t>针对本项目垃圾清运方案，内容包括但不限于①清运管控与环境防护措施②垃圾清运方案评审标准：方案内容详细完整、针对性强、可行性高，符合项目实际要求。每项满 分2分，缺项不得分，每项内容存在缺陷扣1分。缺陷是指内容不合理、虽有内容但不完善、内容表述前后不一致、套用其他项目方案或与项目需求不匹配及其他不利于项目实施的任意一种情形。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针对本项目服务承诺，内容包括但不限于①服务过程中的相关承诺②投入材料质量承诺 ③质量保修期内的服务承诺④合理化建议评审标准：方案内容详细完整、针对性强、可 行性高，符合项目实际要求。每项满分2分，缺项不得分，每项内容存在缺陷扣1分。 缺陷是指内容不合理、虽有内容但不完善、内容表述前后不一致、套用其他项目方案或 与项目需求不匹配及其他不利于项目实施的任意一种情形。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提供供应商近三年内(2023年1月-至今)至今类似项目业绩，每提供1个有效业绩得2分，满分8分。(附完整合同复印件并加盖供应商公章，未提供或提供不完整或不清晰均不得分。)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 他供应商的价格分统一按照下列公式计算： 磋商报价得分=（磋商基准价/最终磋商报 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详见附件：方案说明书(1).docx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