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版本号：ZCTH2026-08-11620260813001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耐腐蚀实验危废暂存柜建设项目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ZCTH2026-08-116</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耐腐蚀实验危废暂存柜建设项目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ZCTH2026-08-116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耐腐蚀实验危废暂存柜建设项目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拟采购耐腐蚀实验危废暂存柜一套，包含但不限于危化品组合式操控台（订制）、智能危化品柜（订制）、防爆暂存柜（订制）等1批，具体内容详见采购文件。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1、法定代表人身份证明/法定代表人授权书：法定代表人直接参加谈判的，须出具法定代表人身份证明及法人身份证；法定代表人授权代表参加谈判的，须出具法定代表人授权书及法人和授权代表身份证</w:t>
      </w:r>
    </w:p>
    <w:p>
      <w:pPr>
        <w:pStyle w:val="null3"/>
      </w:pPr>
      <w:r>
        <w:rPr>
          <w:rFonts w:ascii="仿宋_GB2312" w:hAnsi="仿宋_GB2312" w:cs="仿宋_GB2312" w:eastAsia="仿宋_GB2312"/>
        </w:rPr>
        <w:t>2、符合《财政部关于在政府采购活动中查询及使用信用记录有关问题的通知》（财库【2016】125号）文件中信用查询的要求：不得为“信用中国”网站（www.creditchina.gov.cn）中列入失信被执行人和重大税收违法失信主体的供应商，不得为中国政府采购网（www.ccgp.gov.cn）政府采购严重违法失信行为记录名单中被财政部门禁止参加政府采购活动的供应商，以谈判后的网站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029-88258528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柏维娜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交费金额参照国家计委颁布的《招标代理服务收费管理暂行办法》（计价格[2002]1980号）及发改办价格[2003]857号文件的规定标准执行。本项目代理服务费按货物计取。 招标代理服务费账户 户名：陕西中诚天和项目管理有限公司 开户行：中国建设银行股份有限公司西安高新自贸区支行 账号：61050110066700001164 代理费不足陆仟元按陆仟元收取。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西安文理学院（本级）</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陕西中诚天和项目管理有限公司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采购人享有本项目实施过程中产生的知识成果及知识产权.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详见最终签订的合同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联系人：冯妮</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地址：西安市高新区锦业一路52号宝德云谷国际-B座14层1406-6室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拟采购耐腐蚀实验危废暂存柜一套，包含但不限于危化品组合式操控台（订制）、智能危化品柜（订制）、防爆暂存柜（订制）等1批，具体内容详见采购文件。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西安文理学院耐腐蚀实验危废暂存柜建设项目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标的名称：西安文理学院耐腐蚀实验危废暂存柜建设项目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采购内容：实验室耐腐蚀危废暂存柜一套</w:t>
            </w:r>
          </w:p>
          <w:p>
            <w:pPr>
              <w:pStyle w:val="null3"/>
            </w:pPr>
            <w:r>
              <w:rPr>
                <w:rFonts w:ascii="仿宋_GB2312" w:hAnsi="仿宋_GB2312" w:cs="仿宋_GB2312" w:eastAsia="仿宋_GB2312"/>
              </w:rPr>
              <w:t>具体配置清单</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设备名称</w:t>
                  </w:r>
                </w:p>
              </w:tc>
              <w:tc>
                <w:tcPr>
                  <w:tcW w:type="dxa" w:w="851"/>
                </w:tcPr>
                <w:p>
                  <w:pPr>
                    <w:pStyle w:val="null3"/>
                  </w:pPr>
                  <w:r>
                    <w:rPr>
                      <w:rFonts w:ascii="仿宋_GB2312" w:hAnsi="仿宋_GB2312" w:cs="仿宋_GB2312" w:eastAsia="仿宋_GB2312"/>
                    </w:rPr>
                    <w:t>数量</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危化品组合式操控台（订制）</w:t>
                  </w:r>
                </w:p>
              </w:tc>
              <w:tc>
                <w:tcPr>
                  <w:tcW w:type="dxa" w:w="851"/>
                </w:tcPr>
                <w:p>
                  <w:pPr>
                    <w:pStyle w:val="null3"/>
                  </w:pPr>
                  <w:r>
                    <w:rPr>
                      <w:rFonts w:ascii="仿宋_GB2312" w:hAnsi="仿宋_GB2312" w:cs="仿宋_GB2312" w:eastAsia="仿宋_GB2312"/>
                    </w:rPr>
                    <w:t>1台</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智能危化品柜（订制）（核心产品）</w:t>
                  </w:r>
                </w:p>
              </w:tc>
              <w:tc>
                <w:tcPr>
                  <w:tcW w:type="dxa" w:w="851"/>
                </w:tcPr>
                <w:p>
                  <w:pPr>
                    <w:pStyle w:val="null3"/>
                  </w:pPr>
                  <w:r>
                    <w:rPr>
                      <w:rFonts w:ascii="仿宋_GB2312" w:hAnsi="仿宋_GB2312" w:cs="仿宋_GB2312" w:eastAsia="仿宋_GB2312"/>
                    </w:rPr>
                    <w:t>2台</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防爆暂存柜（订制）</w:t>
                  </w:r>
                </w:p>
              </w:tc>
              <w:tc>
                <w:tcPr>
                  <w:tcW w:type="dxa" w:w="851"/>
                </w:tcPr>
                <w:p>
                  <w:pPr>
                    <w:pStyle w:val="null3"/>
                  </w:pPr>
                  <w:r>
                    <w:rPr>
                      <w:rFonts w:ascii="仿宋_GB2312" w:hAnsi="仿宋_GB2312" w:cs="仿宋_GB2312" w:eastAsia="仿宋_GB2312"/>
                    </w:rPr>
                    <w:t>1套</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危废液暂存箱（订制）</w:t>
                  </w:r>
                </w:p>
              </w:tc>
              <w:tc>
                <w:tcPr>
                  <w:tcW w:type="dxa" w:w="851"/>
                </w:tcPr>
                <w:p>
                  <w:pPr>
                    <w:pStyle w:val="null3"/>
                  </w:pPr>
                  <w:r>
                    <w:rPr>
                      <w:rFonts w:ascii="仿宋_GB2312" w:hAnsi="仿宋_GB2312" w:cs="仿宋_GB2312" w:eastAsia="仿宋_GB2312"/>
                    </w:rPr>
                    <w:t>2台</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危废操控终端（订制）</w:t>
                  </w:r>
                </w:p>
              </w:tc>
              <w:tc>
                <w:tcPr>
                  <w:tcW w:type="dxa" w:w="851"/>
                </w:tcPr>
                <w:p>
                  <w:pPr>
                    <w:pStyle w:val="null3"/>
                  </w:pPr>
                  <w:r>
                    <w:rPr>
                      <w:rFonts w:ascii="仿宋_GB2312" w:hAnsi="仿宋_GB2312" w:cs="仿宋_GB2312" w:eastAsia="仿宋_GB2312"/>
                    </w:rPr>
                    <w:t>1台</w:t>
                  </w:r>
                </w:p>
              </w:tc>
            </w:tr>
            <w:tr>
              <w:tc>
                <w:tcPr>
                  <w:tcW w:type="dxa" w:w="851"/>
                </w:tcPr>
                <w:p>
                  <w:pPr>
                    <w:pStyle w:val="null3"/>
                  </w:pPr>
                  <w:r>
                    <w:rPr>
                      <w:rFonts w:ascii="仿宋_GB2312" w:hAnsi="仿宋_GB2312" w:cs="仿宋_GB2312" w:eastAsia="仿宋_GB2312"/>
                    </w:rPr>
                    <w:t>6</w:t>
                  </w:r>
                </w:p>
              </w:tc>
              <w:tc>
                <w:tcPr>
                  <w:tcW w:type="dxa" w:w="851"/>
                </w:tcPr>
                <w:p>
                  <w:pPr>
                    <w:pStyle w:val="null3"/>
                  </w:pPr>
                  <w:r>
                    <w:rPr>
                      <w:rFonts w:ascii="仿宋_GB2312" w:hAnsi="仿宋_GB2312" w:cs="仿宋_GB2312" w:eastAsia="仿宋_GB2312"/>
                    </w:rPr>
                    <w:t>危废防爆地秤</w:t>
                  </w:r>
                </w:p>
              </w:tc>
              <w:tc>
                <w:tcPr>
                  <w:tcW w:type="dxa" w:w="851"/>
                </w:tcPr>
                <w:p>
                  <w:pPr>
                    <w:pStyle w:val="null3"/>
                  </w:pPr>
                  <w:r>
                    <w:rPr>
                      <w:rFonts w:ascii="仿宋_GB2312" w:hAnsi="仿宋_GB2312" w:cs="仿宋_GB2312" w:eastAsia="仿宋_GB2312"/>
                    </w:rPr>
                    <w:t>1台</w:t>
                  </w:r>
                </w:p>
              </w:tc>
            </w:tr>
            <w:tr>
              <w:tc>
                <w:tcPr>
                  <w:tcW w:type="dxa" w:w="851"/>
                </w:tcPr>
                <w:p>
                  <w:pPr>
                    <w:pStyle w:val="null3"/>
                  </w:pPr>
                  <w:r>
                    <w:rPr>
                      <w:rFonts w:ascii="仿宋_GB2312" w:hAnsi="仿宋_GB2312" w:cs="仿宋_GB2312" w:eastAsia="仿宋_GB2312"/>
                    </w:rPr>
                    <w:t>7</w:t>
                  </w:r>
                </w:p>
              </w:tc>
              <w:tc>
                <w:tcPr>
                  <w:tcW w:type="dxa" w:w="851"/>
                </w:tcPr>
                <w:p>
                  <w:pPr>
                    <w:pStyle w:val="null3"/>
                  </w:pPr>
                  <w:r>
                    <w:rPr>
                      <w:rFonts w:ascii="仿宋_GB2312" w:hAnsi="仿宋_GB2312" w:cs="仿宋_GB2312" w:eastAsia="仿宋_GB2312"/>
                    </w:rPr>
                    <w:t>危废标签打印机</w:t>
                  </w:r>
                </w:p>
              </w:tc>
              <w:tc>
                <w:tcPr>
                  <w:tcW w:type="dxa" w:w="851"/>
                </w:tcPr>
                <w:p>
                  <w:pPr>
                    <w:pStyle w:val="null3"/>
                  </w:pPr>
                  <w:r>
                    <w:rPr>
                      <w:rFonts w:ascii="仿宋_GB2312" w:hAnsi="仿宋_GB2312" w:cs="仿宋_GB2312" w:eastAsia="仿宋_GB2312"/>
                    </w:rPr>
                    <w:t>1台</w:t>
                  </w:r>
                </w:p>
              </w:tc>
            </w:tr>
            <w:tr>
              <w:tc>
                <w:tcPr>
                  <w:tcW w:type="dxa" w:w="851"/>
                </w:tcPr>
                <w:p>
                  <w:pPr>
                    <w:pStyle w:val="null3"/>
                  </w:pPr>
                  <w:r>
                    <w:rPr>
                      <w:rFonts w:ascii="仿宋_GB2312" w:hAnsi="仿宋_GB2312" w:cs="仿宋_GB2312" w:eastAsia="仿宋_GB2312"/>
                    </w:rPr>
                    <w:t>8</w:t>
                  </w:r>
                </w:p>
              </w:tc>
              <w:tc>
                <w:tcPr>
                  <w:tcW w:type="dxa" w:w="851"/>
                </w:tcPr>
                <w:p>
                  <w:pPr>
                    <w:pStyle w:val="null3"/>
                  </w:pPr>
                  <w:r>
                    <w:rPr>
                      <w:rFonts w:ascii="仿宋_GB2312" w:hAnsi="仿宋_GB2312" w:cs="仿宋_GB2312" w:eastAsia="仿宋_GB2312"/>
                    </w:rPr>
                    <w:t>危废管理系统</w:t>
                  </w:r>
                </w:p>
              </w:tc>
              <w:tc>
                <w:tcPr>
                  <w:tcW w:type="dxa" w:w="851"/>
                </w:tcPr>
                <w:p>
                  <w:pPr>
                    <w:pStyle w:val="null3"/>
                  </w:pPr>
                  <w:r>
                    <w:rPr>
                      <w:rFonts w:ascii="仿宋_GB2312" w:hAnsi="仿宋_GB2312" w:cs="仿宋_GB2312" w:eastAsia="仿宋_GB2312"/>
                    </w:rPr>
                    <w:t>1套</w:t>
                  </w:r>
                </w:p>
              </w:tc>
            </w:tr>
            <w:tr>
              <w:tc>
                <w:tcPr>
                  <w:tcW w:type="dxa" w:w="851"/>
                </w:tcPr>
                <w:p>
                  <w:pPr>
                    <w:pStyle w:val="null3"/>
                  </w:pPr>
                  <w:r>
                    <w:rPr>
                      <w:rFonts w:ascii="仿宋_GB2312" w:hAnsi="仿宋_GB2312" w:cs="仿宋_GB2312" w:eastAsia="仿宋_GB2312"/>
                    </w:rPr>
                    <w:t>9</w:t>
                  </w:r>
                </w:p>
              </w:tc>
              <w:tc>
                <w:tcPr>
                  <w:tcW w:type="dxa" w:w="851"/>
                </w:tcPr>
                <w:p>
                  <w:pPr>
                    <w:pStyle w:val="null3"/>
                  </w:pPr>
                  <w:r>
                    <w:rPr>
                      <w:rFonts w:ascii="仿宋_GB2312" w:hAnsi="仿宋_GB2312" w:cs="仿宋_GB2312" w:eastAsia="仿宋_GB2312"/>
                    </w:rPr>
                    <w:t>应用服务器</w:t>
                  </w:r>
                </w:p>
              </w:tc>
              <w:tc>
                <w:tcPr>
                  <w:tcW w:type="dxa" w:w="851"/>
                </w:tcPr>
                <w:p>
                  <w:pPr>
                    <w:pStyle w:val="null3"/>
                  </w:pPr>
                  <w:r>
                    <w:rPr>
                      <w:rFonts w:ascii="仿宋_GB2312" w:hAnsi="仿宋_GB2312" w:cs="仿宋_GB2312" w:eastAsia="仿宋_GB2312"/>
                    </w:rPr>
                    <w:t>1台</w:t>
                  </w:r>
                </w:p>
              </w:tc>
            </w:tr>
            <w:tr>
              <w:tc>
                <w:tcPr>
                  <w:tcW w:type="dxa" w:w="851"/>
                </w:tcPr>
                <w:p>
                  <w:pPr>
                    <w:pStyle w:val="null3"/>
                  </w:pPr>
                  <w:r>
                    <w:rPr>
                      <w:rFonts w:ascii="仿宋_GB2312" w:hAnsi="仿宋_GB2312" w:cs="仿宋_GB2312" w:eastAsia="仿宋_GB2312"/>
                    </w:rPr>
                    <w:t>10</w:t>
                  </w:r>
                </w:p>
              </w:tc>
              <w:tc>
                <w:tcPr>
                  <w:tcW w:type="dxa" w:w="851"/>
                </w:tcPr>
                <w:p>
                  <w:pPr>
                    <w:pStyle w:val="null3"/>
                  </w:pPr>
                  <w:r>
                    <w:rPr>
                      <w:rFonts w:ascii="仿宋_GB2312" w:hAnsi="仿宋_GB2312" w:cs="仿宋_GB2312" w:eastAsia="仿宋_GB2312"/>
                    </w:rPr>
                    <w:t>备用发电机组</w:t>
                  </w:r>
                </w:p>
              </w:tc>
              <w:tc>
                <w:tcPr>
                  <w:tcW w:type="dxa" w:w="851"/>
                </w:tcPr>
                <w:p>
                  <w:pPr>
                    <w:pStyle w:val="null3"/>
                  </w:pPr>
                  <w:r>
                    <w:rPr>
                      <w:rFonts w:ascii="仿宋_GB2312" w:hAnsi="仿宋_GB2312" w:cs="仿宋_GB2312" w:eastAsia="仿宋_GB2312"/>
                    </w:rPr>
                    <w:t>1台</w:t>
                  </w:r>
                </w:p>
              </w:tc>
            </w:tr>
            <w:tr>
              <w:tc>
                <w:tcPr>
                  <w:tcW w:type="dxa" w:w="851"/>
                </w:tcPr>
                <w:p>
                  <w:pPr>
                    <w:pStyle w:val="null3"/>
                  </w:pPr>
                  <w:r>
                    <w:rPr>
                      <w:rFonts w:ascii="仿宋_GB2312" w:hAnsi="仿宋_GB2312" w:cs="仿宋_GB2312" w:eastAsia="仿宋_GB2312"/>
                    </w:rPr>
                    <w:t>11</w:t>
                  </w:r>
                </w:p>
              </w:tc>
              <w:tc>
                <w:tcPr>
                  <w:tcW w:type="dxa" w:w="851"/>
                </w:tcPr>
                <w:p>
                  <w:pPr>
                    <w:pStyle w:val="null3"/>
                  </w:pPr>
                  <w:r>
                    <w:rPr>
                      <w:rFonts w:ascii="仿宋_GB2312" w:hAnsi="仿宋_GB2312" w:cs="仿宋_GB2312" w:eastAsia="仿宋_GB2312"/>
                    </w:rPr>
                    <w:t>废液暂存区地面硬化</w:t>
                  </w:r>
                </w:p>
              </w:tc>
              <w:tc>
                <w:tcPr>
                  <w:tcW w:type="dxa" w:w="851"/>
                </w:tcPr>
                <w:p>
                  <w:pPr>
                    <w:pStyle w:val="null3"/>
                  </w:pPr>
                  <w:r>
                    <w:rPr>
                      <w:rFonts w:ascii="仿宋_GB2312" w:hAnsi="仿宋_GB2312" w:cs="仿宋_GB2312" w:eastAsia="仿宋_GB2312"/>
                    </w:rPr>
                    <w:t>1项</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一、耐腐蚀实验危废暂存柜（订制）                                   数量：1套</w:t>
            </w:r>
          </w:p>
          <w:p>
            <w:pPr>
              <w:pStyle w:val="null3"/>
              <w:numPr>
                <w:ilvl w:val="0"/>
                <w:numId w:val="1"/>
              </w:numPr>
            </w:pPr>
            <w:r>
              <w:rPr>
                <w:rFonts w:ascii="仿宋_GB2312" w:hAnsi="仿宋_GB2312" w:cs="仿宋_GB2312" w:eastAsia="仿宋_GB2312"/>
              </w:rPr>
              <w:t>外形尺寸：外形符合人体工学设计，落地整体安装整体尺寸H1240×W336×D518 mm，允许偏离±5%。</w:t>
            </w:r>
          </w:p>
          <w:p>
            <w:pPr>
              <w:pStyle w:val="null3"/>
            </w:pPr>
            <w:r>
              <w:rPr>
                <w:rFonts w:ascii="仿宋_GB2312" w:hAnsi="仿宋_GB2312" w:cs="仿宋_GB2312" w:eastAsia="仿宋_GB2312"/>
              </w:rPr>
              <w:t>柜体材质：柜体及柜门采用镀锌钢板或者冷轧钢板，钢板厚度不小于1 mm，钢板做双面防腐喷涂，柜体及柜门内外表面经酸洗，钢板涂层测试项目为乙酸盐雾实验，测试设备为气流式盐雾腐蚀试验箱，依照GB/T 10125-2021国家标准要求，测试时间≥100 h，测试结果为外观达到10级要求，符合GB/T 6461-2002国家标准。</w:t>
            </w:r>
          </w:p>
          <w:p>
            <w:pPr>
              <w:pStyle w:val="null3"/>
              <w:numPr>
                <w:ilvl w:val="0"/>
                <w:numId w:val="1"/>
              </w:numPr>
            </w:pPr>
            <w:r>
              <w:rPr>
                <w:rFonts w:ascii="仿宋_GB2312" w:hAnsi="仿宋_GB2312" w:cs="仿宋_GB2312" w:eastAsia="仿宋_GB2312"/>
              </w:rPr>
              <w:t>多功能唯一性标识识别器：搭载640×480 CMOS图像传感器，支持一维码、二维码，扫描读取，支持USB，RS232接口，打印对比度≥25%，条码精度≥4 mil。</w:t>
            </w:r>
          </w:p>
          <w:p>
            <w:pPr>
              <w:pStyle w:val="null3"/>
              <w:numPr>
                <w:ilvl w:val="0"/>
                <w:numId w:val="1"/>
              </w:numPr>
            </w:pPr>
            <w:r>
              <w:rPr>
                <w:rFonts w:ascii="仿宋_GB2312" w:hAnsi="仿宋_GB2312" w:cs="仿宋_GB2312" w:eastAsia="仿宋_GB2312"/>
              </w:rPr>
              <w:t>人脸识别摄像头：集成人脸识别设备（旋转式可调摄像头），摄像头配备角度调节结构，可任意调节拍摄角度，可在任意调节位置时锁定，确保不同身高人员在进入识别区域时，均能获得清晰、完整的面部图像，有效保障人脸识别系统的识别准确率与稳定性。</w:t>
            </w:r>
          </w:p>
          <w:p>
            <w:pPr>
              <w:pStyle w:val="null3"/>
              <w:numPr>
                <w:ilvl w:val="0"/>
                <w:numId w:val="1"/>
              </w:numPr>
            </w:pPr>
            <w:r>
              <w:rPr>
                <w:rFonts w:ascii="仿宋_GB2312" w:hAnsi="仿宋_GB2312" w:cs="仿宋_GB2312" w:eastAsia="仿宋_GB2312"/>
              </w:rPr>
              <w:t>屏幕：搭载≥10寸智能触摸屏，分辨率800×1280，内置CPU：RK3288/4核A17主频1.6 GHz，操作系统Android7.1及以上，运行内存2GB，GPU：ARM Mali-T764，4路 RS232，2路 RS485接口，6路USB HOST，1路USBDEVICE支持4G/WIFI、AP6212蓝牙、WIFI二合一模块，支持蓝牙4.2协议。支持一键入库、领用、归还等操作；可以关联试剂柜温湿度监控模块，实时获取柜子温湿度情况。</w:t>
            </w:r>
          </w:p>
          <w:p>
            <w:pPr>
              <w:pStyle w:val="null3"/>
              <w:numPr>
                <w:ilvl w:val="0"/>
                <w:numId w:val="1"/>
              </w:numPr>
            </w:pPr>
            <w:r>
              <w:rPr>
                <w:rFonts w:ascii="仿宋_GB2312" w:hAnsi="仿宋_GB2312" w:cs="仿宋_GB2312" w:eastAsia="仿宋_GB2312"/>
              </w:rPr>
              <w:t>功能看板：搭载试剂危化品管理软件，可实现试剂的查询领取、查询SDS、归还、快速开锁、入库、送处等管理功能。（须提供软件界面截图作为证明材料）</w:t>
            </w:r>
          </w:p>
          <w:p>
            <w:pPr>
              <w:pStyle w:val="null3"/>
              <w:numPr>
                <w:ilvl w:val="0"/>
                <w:numId w:val="1"/>
              </w:numPr>
            </w:pPr>
            <w:r>
              <w:rPr>
                <w:rFonts w:ascii="仿宋_GB2312" w:hAnsi="仿宋_GB2312" w:cs="仿宋_GB2312" w:eastAsia="仿宋_GB2312"/>
              </w:rPr>
              <w:t>入库功能：图形化显示各柜体及各存储单元内物品存放情况、位置、状态等信息，支持手动编辑/快速选择/批量导入等多种入库方式；可批量生成各物品唯一性标识、批量完成入库，自动绑定所有物品信息及人员操作信息。（须提供软件界面截图作为证明材料）</w:t>
            </w:r>
          </w:p>
          <w:p>
            <w:pPr>
              <w:pStyle w:val="null3"/>
              <w:numPr>
                <w:ilvl w:val="0"/>
                <w:numId w:val="1"/>
              </w:numPr>
            </w:pPr>
            <w:r>
              <w:rPr>
                <w:rFonts w:ascii="仿宋_GB2312" w:hAnsi="仿宋_GB2312" w:cs="仿宋_GB2312" w:eastAsia="仿宋_GB2312"/>
              </w:rPr>
              <w:t>领用功能：支持模糊搜索、多条件组合搜索等多重检索功能，一键查询库内物品信息、位置；支持物联智能锁控功能，一键开锁；可通过扫描窗口进行扫码领用，可记录用途，自动生成对应领用台账；可通过查看各试剂的SDS信息。（须提供软件界面截图作为证明材料）</w:t>
            </w:r>
          </w:p>
          <w:p>
            <w:pPr>
              <w:pStyle w:val="null3"/>
              <w:numPr>
                <w:ilvl w:val="0"/>
                <w:numId w:val="1"/>
              </w:numPr>
            </w:pPr>
            <w:r>
              <w:rPr>
                <w:rFonts w:ascii="仿宋_GB2312" w:hAnsi="仿宋_GB2312" w:cs="仿宋_GB2312" w:eastAsia="仿宋_GB2312"/>
              </w:rPr>
              <w:t>归还功能：针对需归还的物品，采用责任到人的管理模式，实验人员只可归还本人领用物品，具备扫码归还功能，需记录使用量，生成对应台账。（须提供软件界面截图作为证明材料）</w:t>
            </w:r>
          </w:p>
          <w:p>
            <w:pPr>
              <w:pStyle w:val="null3"/>
              <w:numPr>
                <w:ilvl w:val="0"/>
                <w:numId w:val="1"/>
              </w:numPr>
            </w:pPr>
            <w:r>
              <w:rPr>
                <w:rFonts w:ascii="仿宋_GB2312" w:hAnsi="仿宋_GB2312" w:cs="仿宋_GB2312" w:eastAsia="仿宋_GB2312"/>
              </w:rPr>
              <w:t>配伍禁忌：入库时须自动查验用户所选区域是否已存有与之有严重配伍禁忌的化学品，如有则建议用户更换所选区域，否则无法完成入库（化学品存放配伍禁忌数据库至少须涵盖全部危化品）。（须提供软件界面截图作为证明材料）</w:t>
            </w:r>
          </w:p>
          <w:p>
            <w:pPr>
              <w:pStyle w:val="null3"/>
              <w:numPr>
                <w:ilvl w:val="0"/>
                <w:numId w:val="1"/>
              </w:numPr>
            </w:pPr>
            <w:r>
              <w:rPr>
                <w:rFonts w:ascii="仿宋_GB2312" w:hAnsi="仿宋_GB2312" w:cs="仿宋_GB2312" w:eastAsia="仿宋_GB2312"/>
              </w:rPr>
              <w:t>查询功能：支持多类型的在库试剂查询，如按品名、CAS等，用户查询到目标试剂后有按钮可直接开锁（权限范围内）或查询相应的SDS信息。（须提供软件界面截图作为证明材料）</w:t>
            </w:r>
          </w:p>
          <w:p>
            <w:pPr>
              <w:pStyle w:val="null3"/>
              <w:numPr>
                <w:ilvl w:val="0"/>
                <w:numId w:val="1"/>
              </w:numPr>
            </w:pPr>
            <w:r>
              <w:rPr>
                <w:rFonts w:ascii="仿宋_GB2312" w:hAnsi="仿宋_GB2312" w:cs="仿宋_GB2312" w:eastAsia="仿宋_GB2312"/>
              </w:rPr>
              <w:t>统计功能：具有多样化统计功能，记录危化品的入库台账、使用台账、库存台账。（须提供软件界面截图作为证明材料）</w:t>
            </w:r>
          </w:p>
          <w:p>
            <w:pPr>
              <w:pStyle w:val="null3"/>
              <w:numPr>
                <w:ilvl w:val="0"/>
                <w:numId w:val="1"/>
              </w:numPr>
            </w:pPr>
            <w:r>
              <w:rPr>
                <w:rFonts w:ascii="仿宋_GB2312" w:hAnsi="仿宋_GB2312" w:cs="仿宋_GB2312" w:eastAsia="仿宋_GB2312"/>
              </w:rPr>
              <w:t>称量系统：采用专业品牌分析天平，为不影响准确性不得采用称重模块或内嵌式称重传感器，以满足后续维护、计量校准。实现试剂危化品用量的自动称量，称量数据实时上传系统，量程不小于6 kg，可读性不小于0.1 g，天平称重台面需做防腐蚀处理。称重策略可在后台设置。</w:t>
            </w:r>
          </w:p>
          <w:p>
            <w:pPr>
              <w:pStyle w:val="null3"/>
              <w:numPr>
                <w:ilvl w:val="0"/>
                <w:numId w:val="1"/>
              </w:numPr>
            </w:pPr>
            <w:r>
              <w:rPr>
                <w:rFonts w:ascii="仿宋_GB2312" w:hAnsi="仿宋_GB2312" w:cs="仿宋_GB2312" w:eastAsia="仿宋_GB2312"/>
              </w:rPr>
              <w:t>天平放置台：采用创新层叠式抽拉设计，通过模块化结构实现空间集约化利用，缩小占地面积。隐藏式多维度防脱落抽屉滑轨，称重作业时，滑轨可实现顺滑抽拉操作；当拉出至工作位后，内置机械锁止组件自动触发，防震动阻尼设计，形成稳定连接，保障天平平稳。（须提供天平放置台抽拉式设计实物照片）</w:t>
            </w:r>
          </w:p>
          <w:p>
            <w:pPr>
              <w:pStyle w:val="null3"/>
              <w:numPr>
                <w:ilvl w:val="0"/>
                <w:numId w:val="1"/>
              </w:numPr>
            </w:pPr>
            <w:r>
              <w:rPr>
                <w:rFonts w:ascii="仿宋_GB2312" w:hAnsi="仿宋_GB2312" w:cs="仿宋_GB2312" w:eastAsia="仿宋_GB2312"/>
              </w:rPr>
              <w:t>塑料外壳零件：采用抗紫外线（UV）专用工程塑料材质，其抗紫外性能符合GB/T 16422.3-2022《塑料实验室光源暴露试验方法第3部分：荧光紫外灯》标准要求。通过荧光紫外灯暴露试验验证，无明显泛黄、粉化、开裂等老化现象，确保设备在户外强光、实验室紫外环境等场景下长期使用时，外观保持度与结构稳定性满足严苛要求，有效提升设备使用寿命与环境适应性。</w:t>
            </w:r>
          </w:p>
          <w:p>
            <w:pPr>
              <w:pStyle w:val="null3"/>
              <w:numPr>
                <w:ilvl w:val="0"/>
                <w:numId w:val="1"/>
              </w:numPr>
            </w:pPr>
            <w:r>
              <w:rPr>
                <w:rFonts w:ascii="仿宋_GB2312" w:hAnsi="仿宋_GB2312" w:cs="仿宋_GB2312" w:eastAsia="仿宋_GB2312"/>
              </w:rPr>
              <w:t>身份验证和锁控管理功能：可通过操控台内置的软件实现单人、双人脸识别进行身份验证，支持在后台设置开锁权限及双人双锁管理模式，支持操作记录以及各类智能锁联动，以满足公安对管制品及试剂危化品管控的不同需求。（须提供双人脸识别的实物图片作为证明材料）</w:t>
            </w:r>
          </w:p>
          <w:p>
            <w:pPr>
              <w:pStyle w:val="null3"/>
              <w:numPr>
                <w:ilvl w:val="0"/>
                <w:numId w:val="1"/>
              </w:numPr>
            </w:pPr>
            <w:r>
              <w:rPr>
                <w:rFonts w:ascii="仿宋_GB2312" w:hAnsi="仿宋_GB2312" w:cs="仿宋_GB2312" w:eastAsia="仿宋_GB2312"/>
              </w:rPr>
              <w:t>播报功能：具备语音播报和拾音功能，支持离线语音识别。</w:t>
            </w:r>
          </w:p>
          <w:p>
            <w:pPr>
              <w:pStyle w:val="null3"/>
              <w:numPr>
                <w:ilvl w:val="0"/>
                <w:numId w:val="1"/>
              </w:numPr>
            </w:pPr>
            <w:r>
              <w:rPr>
                <w:rFonts w:ascii="仿宋_GB2312" w:hAnsi="仿宋_GB2312" w:cs="仿宋_GB2312" w:eastAsia="仿宋_GB2312"/>
              </w:rPr>
              <w:t>管理功能：搭载试剂危化品管理软件，可实现试剂的出库、入库、领用、归还、统计、查询SDS、入库校验以及配伍禁忌等管理功能。</w:t>
            </w:r>
          </w:p>
          <w:p>
            <w:pPr>
              <w:pStyle w:val="null3"/>
              <w:numPr>
                <w:ilvl w:val="0"/>
                <w:numId w:val="1"/>
              </w:numPr>
            </w:pPr>
            <w:r>
              <w:rPr>
                <w:rFonts w:ascii="仿宋_GB2312" w:hAnsi="仿宋_GB2312" w:cs="仿宋_GB2312" w:eastAsia="仿宋_GB2312"/>
              </w:rPr>
              <w:t>打印功能：关联打印机，打印物品标签，支持入库阶段打印和标签补打，可打印多种标签样式和规格，标签包含CAS、品名、规格、包装、采购人、地点等信息。</w:t>
            </w:r>
          </w:p>
          <w:p>
            <w:pPr>
              <w:pStyle w:val="null3"/>
            </w:pPr>
            <w:r>
              <w:rPr>
                <w:rFonts w:ascii="仿宋_GB2312" w:hAnsi="仿宋_GB2312" w:cs="仿宋_GB2312" w:eastAsia="仿宋_GB2312"/>
              </w:rPr>
              <w:t>二、智能危化品柜（订制）                                                  数量：2台</w:t>
            </w:r>
          </w:p>
          <w:p>
            <w:pPr>
              <w:pStyle w:val="null3"/>
              <w:numPr>
                <w:ilvl w:val="0"/>
                <w:numId w:val="1"/>
              </w:numPr>
            </w:pPr>
            <w:r>
              <w:rPr>
                <w:rFonts w:ascii="仿宋_GB2312" w:hAnsi="仿宋_GB2312" w:cs="仿宋_GB2312" w:eastAsia="仿宋_GB2312"/>
              </w:rPr>
              <w:t>柜体规格：柜体尺寸及容量：尺寸不大于H1800×W900×D600 mm，容量储存不小于160瓶500 mL试剂。</w:t>
            </w:r>
          </w:p>
          <w:p>
            <w:pPr>
              <w:pStyle w:val="null3"/>
              <w:numPr>
                <w:ilvl w:val="0"/>
                <w:numId w:val="1"/>
              </w:numPr>
            </w:pPr>
            <w:r>
              <w:rPr>
                <w:rFonts w:ascii="仿宋_GB2312" w:hAnsi="仿宋_GB2312" w:cs="仿宋_GB2312" w:eastAsia="仿宋_GB2312"/>
              </w:rPr>
              <w:t>柜体材质：柜体及柜门采用两层镀锌钢板或者冷轧钢板，双层钢板间隙不少于35 mm，钢板厚度不小于1.2 mm，钢板做双面防腐喷涂，单面做不少于2种工艺的防腐处理。柜体及柜门内外表面经酸洗，钢板涂层测试项目为乙酸盐雾实验，测试设备为气流式盐雾腐蚀试验箱，依照GB/T 10125-2021国家标准要求，测试时间≥100 h，测试结果为外观达到10级要求，符合GB/T 6461-2002国家标准。</w:t>
            </w:r>
          </w:p>
          <w:p>
            <w:pPr>
              <w:pStyle w:val="null3"/>
              <w:numPr>
                <w:ilvl w:val="0"/>
                <w:numId w:val="1"/>
              </w:numPr>
            </w:pPr>
            <w:r>
              <w:rPr>
                <w:rFonts w:ascii="仿宋_GB2312" w:hAnsi="仿宋_GB2312" w:cs="仿宋_GB2312" w:eastAsia="仿宋_GB2312"/>
              </w:rPr>
              <w:t>柜体及柜门内外表面材质：柜体内部包覆PP内胆（上下左右前后衬板），PP板材厚度不少于2 mm。各柜门有可更换标签设计（如标签嵌入小型硬质透明塑料夹、标签嵌入金属背板卡槽等），用于用户根据实际情况标记柜内物品所属种类（如酸或有机溶剂等），可通过黏贴或磁吸等方式固定。柜门不设进气孔，柜门与柜体之间安装防火膨胀密封件，密封件应符合GB16807-2009的要求。承重能力：柜体分二个独立分区，每个分区内的层板及柜内底板上配有大小匹配的防漏液PP托盘，托盘边缘高度不小于35 mm，托盘所用PP厚度不小于4 mm。托盘底部设有金属层板，保障安全；且托盘承重在50kg以上，满载4/5 L装标准塑料桶试剂及满载500 mL装标准试剂时PP层板无肉眼可见形变；柜内可根据空间高度需求对PP托盘进行不同高度的调节，水平方向不能直接抽出，以免滑落发生意外。（须提供防漏液PP托盘（包括金属层板）实物照片作为证明材料）</w:t>
            </w:r>
          </w:p>
          <w:p>
            <w:pPr>
              <w:pStyle w:val="null3"/>
              <w:numPr>
                <w:ilvl w:val="0"/>
                <w:numId w:val="1"/>
              </w:numPr>
            </w:pPr>
            <w:r>
              <w:rPr>
                <w:rFonts w:ascii="仿宋_GB2312" w:hAnsi="仿宋_GB2312" w:cs="仿宋_GB2312" w:eastAsia="仿宋_GB2312"/>
              </w:rPr>
              <w:t>风道设计：柜后设隐藏式排风管道（管道不超过柜体后边缘），柜内科学合理设置独立的进气孔和排气孔，进气孔处装有消焰器，排气孔为完整的一体式密封通道，以防柜内气体进入隔层，可选配内置消焰网。（须提供实物照片和柜内进排风风道示意图作为证明材料）</w:t>
            </w:r>
          </w:p>
          <w:p>
            <w:pPr>
              <w:pStyle w:val="null3"/>
              <w:numPr>
                <w:ilvl w:val="0"/>
                <w:numId w:val="1"/>
              </w:numPr>
            </w:pPr>
            <w:r>
              <w:rPr>
                <w:rFonts w:ascii="仿宋_GB2312" w:hAnsi="仿宋_GB2312" w:cs="仿宋_GB2312" w:eastAsia="仿宋_GB2312"/>
              </w:rPr>
              <w:t>机械结构设计：柜顶上装饰盖采用翻盖结构，应急断电开关、电源保护独立分开并前置，用于快速检修；电源线、信号线与柜体外部设有电缆防水接头，柜内金属裸露件需全隐藏，且经防酸碱腐蚀处理，外露紧固件(如螺丝)宜采用塑胶材质。</w:t>
            </w:r>
          </w:p>
          <w:p>
            <w:pPr>
              <w:pStyle w:val="null3"/>
              <w:numPr>
                <w:ilvl w:val="0"/>
                <w:numId w:val="1"/>
              </w:numPr>
            </w:pPr>
            <w:r>
              <w:rPr>
                <w:rFonts w:ascii="仿宋_GB2312" w:hAnsi="仿宋_GB2312" w:cs="仿宋_GB2312" w:eastAsia="仿宋_GB2312"/>
              </w:rPr>
              <w:t>排风模块：内置扁平PP风道，隐藏式分布排风管道，风管厚度≤45 mm、截面积≥12 cm²，以提高柜体空间利用率。（须提供柜内排风管路结构示意图及PP风道实物图作为证明材料）。排风管道使用V0级阻燃材质，管道一端与分区内排气孔相连，另一端与顶部气体混合箱相连，柜内各分区设独立排风口。</w:t>
            </w:r>
          </w:p>
          <w:p>
            <w:pPr>
              <w:pStyle w:val="null3"/>
              <w:numPr>
                <w:ilvl w:val="0"/>
                <w:numId w:val="1"/>
              </w:numPr>
            </w:pPr>
            <w:r>
              <w:rPr>
                <w:rFonts w:ascii="仿宋_GB2312" w:hAnsi="仿宋_GB2312" w:cs="仿宋_GB2312" w:eastAsia="仿宋_GB2312"/>
              </w:rPr>
              <w:t>锁具：柜体分二个独立分区，各分区配独立机械锁、电控锁及应急锁。电控锁、机械锁采用耐磨耐酸碱316不锈钢，电控锁体经防酸碱腐蚀处理，耐酸碱气体腐蚀。机械锁符合GA/T 73标准；电控锁满足浇封型防爆认证，符合GB/T 3836.1-2021、GB/T 3836.9-2021，电控锁可单独控制任一分区解锁，未解锁的保持上锁，解锁未开门到时间自动上锁，紧急情况可通过应急钥匙开启。</w:t>
            </w:r>
          </w:p>
          <w:p>
            <w:pPr>
              <w:pStyle w:val="null3"/>
              <w:numPr>
                <w:ilvl w:val="0"/>
                <w:numId w:val="1"/>
              </w:numPr>
            </w:pPr>
            <w:r>
              <w:rPr>
                <w:rFonts w:ascii="仿宋_GB2312" w:hAnsi="仿宋_GB2312" w:cs="仿宋_GB2312" w:eastAsia="仿宋_GB2312"/>
              </w:rPr>
              <w:t>开关门状态指示功能：柜门开关状态，如开门、关门、超时未关门时，提供不同灯光、声音或屏幕文字提醒。（须提供柜门开关时灯光指示的实物照片）</w:t>
            </w:r>
          </w:p>
          <w:p>
            <w:pPr>
              <w:pStyle w:val="null3"/>
              <w:numPr>
                <w:ilvl w:val="0"/>
                <w:numId w:val="1"/>
              </w:numPr>
            </w:pPr>
            <w:r>
              <w:rPr>
                <w:rFonts w:ascii="仿宋_GB2312" w:hAnsi="仿宋_GB2312" w:cs="仿宋_GB2312" w:eastAsia="仿宋_GB2312"/>
              </w:rPr>
              <w:t>网络模块：集成网络通讯模块，提供100/1000 M有线、WIFI无线等网络接入方式，可以无缝接入所使用的指定网络环境内。</w:t>
            </w:r>
          </w:p>
          <w:p>
            <w:pPr>
              <w:pStyle w:val="null3"/>
              <w:numPr>
                <w:ilvl w:val="0"/>
                <w:numId w:val="1"/>
              </w:numPr>
            </w:pPr>
            <w:r>
              <w:rPr>
                <w:rFonts w:ascii="仿宋_GB2312" w:hAnsi="仿宋_GB2312" w:cs="仿宋_GB2312" w:eastAsia="仿宋_GB2312"/>
              </w:rPr>
              <w:t>供电设计：受控柜控制与供电采用非明线设计，防止电火花等引燃柜内试剂，导致安全事故，具体措施包含但不限于如下控制区与化学品存放区隔离，柜体内所有线路采用隐藏式设计，配置防静电装置，用导线夹将常备接地与安全柜可靠连接，将静电导入大地，防止静电火花造成火灾和爆炸事故，试剂存放空间与电气设施物理隔离，柜门和箱体之间无线路连接。（须提供非明线设计图图纸）</w:t>
            </w:r>
          </w:p>
          <w:p>
            <w:pPr>
              <w:pStyle w:val="null3"/>
              <w:numPr>
                <w:ilvl w:val="0"/>
                <w:numId w:val="1"/>
              </w:numPr>
            </w:pPr>
            <w:r>
              <w:rPr>
                <w:rFonts w:ascii="仿宋_GB2312" w:hAnsi="仿宋_GB2312" w:cs="仿宋_GB2312" w:eastAsia="仿宋_GB2312"/>
              </w:rPr>
              <w:t>柜体显示屏：每个柜体顶部配置至少10寸触摸智能屏，支持查看柜内存储试剂信息和数据展示，设备屏幕支持显示试剂柜体内部温湿度情况，具备温度异常报警以及超时未归还报警功能，同时支持查看库存详情包括当前库存、各类库存占比、当前化学品使用情况等。</w:t>
            </w:r>
          </w:p>
          <w:p>
            <w:pPr>
              <w:pStyle w:val="null3"/>
              <w:numPr>
                <w:ilvl w:val="0"/>
                <w:numId w:val="1"/>
              </w:numPr>
            </w:pPr>
            <w:r>
              <w:rPr>
                <w:rFonts w:ascii="仿宋_GB2312" w:hAnsi="仿宋_GB2312" w:cs="仿宋_GB2312" w:eastAsia="仿宋_GB2312"/>
              </w:rPr>
              <w:t>监测参数：内置温湿传感器，实时显示柜内温湿度，超出阈值预警；与后台报警系统联动，实时给出操作提示，对不规范行为进行记录并预警。</w:t>
            </w:r>
          </w:p>
          <w:p>
            <w:pPr>
              <w:pStyle w:val="null3"/>
            </w:pPr>
            <w:r>
              <w:rPr>
                <w:rFonts w:ascii="仿宋_GB2312" w:hAnsi="仿宋_GB2312" w:cs="仿宋_GB2312" w:eastAsia="仿宋_GB2312"/>
              </w:rPr>
              <w:t>三、防爆暂存柜（订制）                                    数量：1套</w:t>
            </w:r>
          </w:p>
          <w:p>
            <w:pPr>
              <w:pStyle w:val="null3"/>
              <w:numPr>
                <w:ilvl w:val="0"/>
                <w:numId w:val="1"/>
              </w:numPr>
            </w:pPr>
            <w:r>
              <w:rPr>
                <w:rFonts w:ascii="仿宋_GB2312" w:hAnsi="仿宋_GB2312" w:cs="仿宋_GB2312" w:eastAsia="仿宋_GB2312"/>
              </w:rPr>
              <w:t>柜体：长*宽*高：3900mm×2400mm×2900mm； 1.5mm 碳钢板；柜体厚度 78mm，内衬防火岩棉；防爆门 1 套；高 2000mm*宽 1100mm*深 80mm；板材厚度 2.0mm；顶部设置防雨罩；防爆观察窗：300mm*300mm，防爆钢化玻璃。内嵌式电气控制组合窗。双色防腐喷涂。</w:t>
            </w:r>
          </w:p>
          <w:p>
            <w:pPr>
              <w:pStyle w:val="null3"/>
              <w:numPr>
                <w:ilvl w:val="0"/>
                <w:numId w:val="1"/>
              </w:numPr>
            </w:pPr>
            <w:r>
              <w:rPr>
                <w:rFonts w:ascii="仿宋_GB2312" w:hAnsi="仿宋_GB2312" w:cs="仿宋_GB2312" w:eastAsia="仿宋_GB2312"/>
              </w:rPr>
              <w:t>防爆供电系统：防爆配电箱；额定电压: AC220/380V；进线额定电流：≤200/100A；分支回路电流:≤63/32A。</w:t>
            </w:r>
          </w:p>
          <w:p>
            <w:pPr>
              <w:pStyle w:val="null3"/>
              <w:numPr>
                <w:ilvl w:val="0"/>
                <w:numId w:val="1"/>
              </w:numPr>
            </w:pPr>
            <w:r>
              <w:rPr>
                <w:rFonts w:ascii="仿宋_GB2312" w:hAnsi="仿宋_GB2312" w:cs="仿宋_GB2312" w:eastAsia="仿宋_GB2312"/>
              </w:rPr>
              <w:t>电气防爆线路：采用防爆镀锌管和防爆绕性软管保护，柜内外部无任何明线可见。</w:t>
            </w:r>
          </w:p>
          <w:p>
            <w:pPr>
              <w:pStyle w:val="null3"/>
              <w:numPr>
                <w:ilvl w:val="0"/>
                <w:numId w:val="1"/>
              </w:numPr>
            </w:pPr>
            <w:r>
              <w:rPr>
                <w:rFonts w:ascii="仿宋_GB2312" w:hAnsi="仿宋_GB2312" w:cs="仿宋_GB2312" w:eastAsia="仿宋_GB2312"/>
              </w:rPr>
              <w:t>防爆温控系统：1台1.5P原机防爆空调。</w:t>
            </w:r>
          </w:p>
          <w:p>
            <w:pPr>
              <w:pStyle w:val="null3"/>
              <w:numPr>
                <w:ilvl w:val="0"/>
                <w:numId w:val="1"/>
              </w:numPr>
            </w:pPr>
            <w:r>
              <w:rPr>
                <w:rFonts w:ascii="仿宋_GB2312" w:hAnsi="仿宋_GB2312" w:cs="仿宋_GB2312" w:eastAsia="仿宋_GB2312"/>
              </w:rPr>
              <w:t>防爆照明系统：1只1.2米，双管，36W的防爆照明灯；防爆应急照明灯1套；</w:t>
            </w:r>
          </w:p>
          <w:p>
            <w:pPr>
              <w:pStyle w:val="null3"/>
              <w:numPr>
                <w:ilvl w:val="0"/>
                <w:numId w:val="1"/>
              </w:numPr>
            </w:pPr>
            <w:r>
              <w:rPr>
                <w:rFonts w:ascii="仿宋_GB2312" w:hAnsi="仿宋_GB2312" w:cs="仿宋_GB2312" w:eastAsia="仿宋_GB2312"/>
              </w:rPr>
              <w:t>防爆监测系统：防爆可燃气体报警仪；防爆温湿度报警仪；防爆烟感报警器；</w:t>
            </w:r>
          </w:p>
          <w:p>
            <w:pPr>
              <w:pStyle w:val="null3"/>
              <w:numPr>
                <w:ilvl w:val="0"/>
                <w:numId w:val="1"/>
              </w:numPr>
            </w:pPr>
            <w:r>
              <w:rPr>
                <w:rFonts w:ascii="仿宋_GB2312" w:hAnsi="仿宋_GB2312" w:cs="仿宋_GB2312" w:eastAsia="仿宋_GB2312"/>
              </w:rPr>
              <w:t>防爆排风扇：风速档位：1档。</w:t>
            </w:r>
          </w:p>
          <w:p>
            <w:pPr>
              <w:pStyle w:val="null3"/>
              <w:numPr>
                <w:ilvl w:val="0"/>
                <w:numId w:val="1"/>
              </w:numPr>
            </w:pPr>
            <w:r>
              <w:rPr>
                <w:rFonts w:ascii="仿宋_GB2312" w:hAnsi="仿宋_GB2312" w:cs="仿宋_GB2312" w:eastAsia="仿宋_GB2312"/>
              </w:rPr>
              <w:t>防爆声光报警灯：超高分贝鸣响器，110式声响，声光结合；</w:t>
            </w:r>
          </w:p>
          <w:p>
            <w:pPr>
              <w:pStyle w:val="null3"/>
              <w:numPr>
                <w:ilvl w:val="0"/>
                <w:numId w:val="1"/>
              </w:numPr>
            </w:pPr>
            <w:r>
              <w:rPr>
                <w:rFonts w:ascii="仿宋_GB2312" w:hAnsi="仿宋_GB2312" w:cs="仿宋_GB2312" w:eastAsia="仿宋_GB2312"/>
              </w:rPr>
              <w:t>泄压泄爆片：柜体顶部设计有1个690*690mm 泄压泄爆片；</w:t>
            </w:r>
          </w:p>
          <w:p>
            <w:pPr>
              <w:pStyle w:val="null3"/>
              <w:numPr>
                <w:ilvl w:val="0"/>
                <w:numId w:val="1"/>
              </w:numPr>
            </w:pPr>
            <w:r>
              <w:rPr>
                <w:rFonts w:ascii="仿宋_GB2312" w:hAnsi="仿宋_GB2312" w:cs="仿宋_GB2312" w:eastAsia="仿宋_GB2312"/>
              </w:rPr>
              <w:t>废气净化系统：废气净化活性炭吸附箱独立安装于柜体外部；觃格：1300*500*600mm；</w:t>
            </w:r>
          </w:p>
          <w:p>
            <w:pPr>
              <w:pStyle w:val="null3"/>
              <w:numPr>
                <w:ilvl w:val="0"/>
                <w:numId w:val="1"/>
              </w:numPr>
            </w:pPr>
            <w:r>
              <w:rPr>
                <w:rFonts w:ascii="仿宋_GB2312" w:hAnsi="仿宋_GB2312" w:cs="仿宋_GB2312" w:eastAsia="仿宋_GB2312"/>
              </w:rPr>
              <w:t>漏液回收系统：柜体内部底部设计有收集漏液的集液槽；</w:t>
            </w:r>
          </w:p>
          <w:p>
            <w:pPr>
              <w:pStyle w:val="null3"/>
              <w:numPr>
                <w:ilvl w:val="0"/>
                <w:numId w:val="1"/>
              </w:numPr>
            </w:pPr>
            <w:r>
              <w:rPr>
                <w:rFonts w:ascii="仿宋_GB2312" w:hAnsi="仿宋_GB2312" w:cs="仿宋_GB2312" w:eastAsia="仿宋_GB2312"/>
              </w:rPr>
              <w:t>自动消防灭火系统：柜体内部设置自动灭火装置七氟丙烷，4kg/个，共2个；</w:t>
            </w:r>
          </w:p>
          <w:p>
            <w:pPr>
              <w:pStyle w:val="null3"/>
              <w:numPr>
                <w:ilvl w:val="0"/>
                <w:numId w:val="1"/>
              </w:numPr>
            </w:pPr>
            <w:r>
              <w:rPr>
                <w:rFonts w:ascii="仿宋_GB2312" w:hAnsi="仿宋_GB2312" w:cs="仿宋_GB2312" w:eastAsia="仿宋_GB2312"/>
              </w:rPr>
              <w:t>系统：网络高清防爆摄像仪；1TB硬盘约存储 30 天；显示器；8寸；1080P；</w:t>
            </w:r>
          </w:p>
          <w:p>
            <w:pPr>
              <w:pStyle w:val="null3"/>
              <w:numPr>
                <w:ilvl w:val="0"/>
                <w:numId w:val="1"/>
              </w:numPr>
            </w:pPr>
            <w:r>
              <w:rPr>
                <w:rFonts w:ascii="仿宋_GB2312" w:hAnsi="仿宋_GB2312" w:cs="仿宋_GB2312" w:eastAsia="仿宋_GB2312"/>
              </w:rPr>
              <w:t>柜体静电接地、防雷系统：柜体设有静电接地传导端口；柜体外装设独立避雷针1套，带有防雷保护器；</w:t>
            </w:r>
          </w:p>
          <w:p>
            <w:pPr>
              <w:pStyle w:val="null3"/>
              <w:numPr>
                <w:ilvl w:val="0"/>
                <w:numId w:val="1"/>
              </w:numPr>
            </w:pPr>
            <w:r>
              <w:rPr>
                <w:rFonts w:ascii="仿宋_GB2312" w:hAnsi="仿宋_GB2312" w:cs="仿宋_GB2312" w:eastAsia="仿宋_GB2312"/>
              </w:rPr>
              <w:t>人体静电消除系统：柜体门口设置防爆级静电释放器 1 套及以上，防爆型，声光报警；</w:t>
            </w:r>
          </w:p>
          <w:p>
            <w:pPr>
              <w:pStyle w:val="null3"/>
              <w:numPr>
                <w:ilvl w:val="0"/>
                <w:numId w:val="1"/>
              </w:numPr>
            </w:pPr>
            <w:r>
              <w:rPr>
                <w:rFonts w:ascii="仿宋_GB2312" w:hAnsi="仿宋_GB2312" w:cs="仿宋_GB2312" w:eastAsia="仿宋_GB2312"/>
              </w:rPr>
              <w:t>安全标识：国家统一安全标识，专业觃范的反光警示胶带，警示标签显而易见；</w:t>
            </w:r>
          </w:p>
          <w:p>
            <w:pPr>
              <w:pStyle w:val="null3"/>
            </w:pPr>
            <w:r>
              <w:rPr>
                <w:rFonts w:ascii="仿宋_GB2312" w:hAnsi="仿宋_GB2312" w:cs="仿宋_GB2312" w:eastAsia="仿宋_GB2312"/>
              </w:rPr>
              <w:t>四、危废液暂存箱（订制）                                  数量：2台</w:t>
            </w:r>
          </w:p>
          <w:p>
            <w:pPr>
              <w:pStyle w:val="null3"/>
              <w:numPr>
                <w:ilvl w:val="0"/>
                <w:numId w:val="1"/>
              </w:numPr>
            </w:pPr>
            <w:r>
              <w:rPr>
                <w:rFonts w:ascii="仿宋_GB2312" w:hAnsi="仿宋_GB2312" w:cs="仿宋_GB2312" w:eastAsia="仿宋_GB2312"/>
              </w:rPr>
              <w:t>双层柜体防火防爆，防腐蚀双锁。</w:t>
            </w:r>
          </w:p>
          <w:p>
            <w:pPr>
              <w:pStyle w:val="null3"/>
              <w:numPr>
                <w:ilvl w:val="0"/>
                <w:numId w:val="1"/>
              </w:numPr>
            </w:pPr>
            <w:r>
              <w:rPr>
                <w:rFonts w:ascii="仿宋_GB2312" w:hAnsi="仿宋_GB2312" w:cs="仿宋_GB2312" w:eastAsia="仿宋_GB2312"/>
              </w:rPr>
              <w:t>设有高于50mm的防漏液槽，符合OSHA规范。</w:t>
            </w:r>
          </w:p>
          <w:p>
            <w:pPr>
              <w:pStyle w:val="null3"/>
              <w:numPr>
                <w:ilvl w:val="0"/>
                <w:numId w:val="1"/>
              </w:numPr>
            </w:pPr>
            <w:r>
              <w:rPr>
                <w:rFonts w:ascii="仿宋_GB2312" w:hAnsi="仿宋_GB2312" w:cs="仿宋_GB2312" w:eastAsia="仿宋_GB2312"/>
              </w:rPr>
              <w:t>每台配备2个25升废液桶，酸碱分离。底部配置2个DTC滑道，便于废液桶取出、存放。</w:t>
            </w:r>
          </w:p>
          <w:p>
            <w:pPr>
              <w:pStyle w:val="null3"/>
              <w:numPr>
                <w:ilvl w:val="0"/>
                <w:numId w:val="1"/>
              </w:numPr>
            </w:pPr>
            <w:r>
              <w:rPr>
                <w:rFonts w:ascii="仿宋_GB2312" w:hAnsi="仿宋_GB2312" w:cs="仿宋_GB2312" w:eastAsia="仿宋_GB2312"/>
              </w:rPr>
              <w:t>柜身设有静电接地传导端口，方便连接静电接地导线。</w:t>
            </w:r>
          </w:p>
          <w:p>
            <w:pPr>
              <w:pStyle w:val="null3"/>
            </w:pPr>
            <w:r>
              <w:rPr>
                <w:rFonts w:ascii="仿宋_GB2312" w:hAnsi="仿宋_GB2312" w:cs="仿宋_GB2312" w:eastAsia="仿宋_GB2312"/>
              </w:rPr>
              <w:t>五、危废操控终端（订制）                                 数量：1台</w:t>
            </w:r>
          </w:p>
          <w:p>
            <w:pPr>
              <w:pStyle w:val="null3"/>
              <w:numPr>
                <w:ilvl w:val="0"/>
                <w:numId w:val="1"/>
              </w:numPr>
            </w:pPr>
            <w:r>
              <w:rPr>
                <w:rFonts w:ascii="仿宋_GB2312" w:hAnsi="仿宋_GB2312" w:cs="仿宋_GB2312" w:eastAsia="仿宋_GB2312"/>
              </w:rPr>
              <w:t>外形尺寸：整体采用组合式设计，符合人体工学，支持落地及桌面安装，以满足不同场景使用需求；落地安装整体尺寸H1240×W336×D450 mm，允许偏离±5%。（须提供两种不同安装方式实物照片）</w:t>
            </w:r>
          </w:p>
          <w:p>
            <w:pPr>
              <w:pStyle w:val="null3"/>
              <w:numPr>
                <w:ilvl w:val="0"/>
                <w:numId w:val="1"/>
              </w:numPr>
            </w:pPr>
            <w:r>
              <w:rPr>
                <w:rFonts w:ascii="仿宋_GB2312" w:hAnsi="仿宋_GB2312" w:cs="仿宋_GB2312" w:eastAsia="仿宋_GB2312"/>
              </w:rPr>
              <w:t>柜体材质：柜体及柜门采用镀锌钢板或者冷轧钢板，钢板厚度不小于1 mm，钢板做双面防腐喷涂，柜体及柜门内外表面经酸洗，钢板涂层测试项目为乙酸盐雾实验，测试设备为气流式盐雾腐蚀试验箱，依照GB/T 10125-2021国家标准要求，测试时间≥100 h，测试结果为外观达到10级要求，符合GB/T 6461-2002国家标准。</w:t>
            </w:r>
          </w:p>
          <w:p>
            <w:pPr>
              <w:pStyle w:val="null3"/>
              <w:numPr>
                <w:ilvl w:val="0"/>
                <w:numId w:val="1"/>
              </w:numPr>
            </w:pPr>
            <w:r>
              <w:rPr>
                <w:rFonts w:ascii="仿宋_GB2312" w:hAnsi="仿宋_GB2312" w:cs="仿宋_GB2312" w:eastAsia="仿宋_GB2312"/>
              </w:rPr>
              <w:t>人脸识别摄像头：集成人脸识别设备（旋转式可调摄像头），摄像头配备角度调节结构，可任意调节拍摄角度，可在任意调节位置时锁定，确保不同身高人员在进入识别区域时，均能获得清晰、完整的面部图像，有效保障人脸识别系统的识别准确率与稳定性。（须提供摄像头可调的实物图片作为证明材料）</w:t>
            </w:r>
          </w:p>
          <w:p>
            <w:pPr>
              <w:pStyle w:val="null3"/>
              <w:numPr>
                <w:ilvl w:val="0"/>
                <w:numId w:val="1"/>
              </w:numPr>
            </w:pPr>
            <w:r>
              <w:rPr>
                <w:rFonts w:ascii="仿宋_GB2312" w:hAnsi="仿宋_GB2312" w:cs="仿宋_GB2312" w:eastAsia="仿宋_GB2312"/>
              </w:rPr>
              <w:t>屏幕：搭载≥10寸电容式触摸屏，分辨率800×1280。内置优于CPU RK3288/4核主频1.6 Ghz，操作系统Android7.1，运行内存2GB，GPU：ARM Mali-T764，4路RS232，2路RS485 接口，支持4G/WIFI、AP6212蓝牙、WIFI二合一模块，支持蓝牙4.2协议。设备屏幕支持投放单入库、扫码出库、台账、直接入库、查询出库等功能。（须提供界面截图作为证明材料）</w:t>
            </w:r>
          </w:p>
          <w:p>
            <w:pPr>
              <w:pStyle w:val="null3"/>
              <w:numPr>
                <w:ilvl w:val="0"/>
                <w:numId w:val="1"/>
              </w:numPr>
            </w:pPr>
            <w:r>
              <w:rPr>
                <w:rFonts w:ascii="仿宋_GB2312" w:hAnsi="仿宋_GB2312" w:cs="仿宋_GB2312" w:eastAsia="仿宋_GB2312"/>
              </w:rPr>
              <w:t>整机结构：采用标准化模块化结构设计，一体化集成智能触摸屏、人脸识别摄像头，各功能组件通过精准定位卡槽与高强度快拆连接件实现快速组装与拆卸。外观部分采用分体式外壳设计，各外壳组件均设置独立的可拆卸接口，可通过简单的工具（如内六角扳手）快速完成拆卸更换。</w:t>
            </w:r>
          </w:p>
          <w:p>
            <w:pPr>
              <w:pStyle w:val="null3"/>
              <w:numPr>
                <w:ilvl w:val="0"/>
                <w:numId w:val="1"/>
              </w:numPr>
            </w:pPr>
            <w:r>
              <w:rPr>
                <w:rFonts w:ascii="仿宋_GB2312" w:hAnsi="仿宋_GB2312" w:cs="仿宋_GB2312" w:eastAsia="仿宋_GB2312"/>
              </w:rPr>
              <w:t>塑料外壳零件：采用抗紫外线（UV）专用工程塑料材质，其抗紫外性能严格遵循GB/T 16422.3-2022《塑料实验室光源暴露试验方法第3部分：荧光紫外灯》标准要求。通过荧光紫外灯暴露试验验证，无明显泛黄、粉化、开裂等老化现象，确保设备在户外强光、实验室紫外环境等场景下长期使用时，外观保持度与结构稳定性满足严苛要求，有效提升设备使用寿命与环境适应性。</w:t>
            </w:r>
          </w:p>
          <w:p>
            <w:pPr>
              <w:pStyle w:val="null3"/>
            </w:pPr>
            <w:r>
              <w:rPr>
                <w:rFonts w:ascii="仿宋_GB2312" w:hAnsi="仿宋_GB2312" w:cs="仿宋_GB2312" w:eastAsia="仿宋_GB2312"/>
              </w:rPr>
              <w:t>六、危废防爆地秤                                             数量：1台</w:t>
            </w:r>
          </w:p>
          <w:p>
            <w:pPr>
              <w:pStyle w:val="null3"/>
              <w:numPr>
                <w:ilvl w:val="0"/>
                <w:numId w:val="1"/>
              </w:numPr>
            </w:pPr>
            <w:r>
              <w:rPr>
                <w:rFonts w:ascii="仿宋_GB2312" w:hAnsi="仿宋_GB2312" w:cs="仿宋_GB2312" w:eastAsia="仿宋_GB2312"/>
              </w:rPr>
              <w:t>台面规格≥40*50cm，6位段码型液晶显示器，可触摸键盘，不锈钢外壳，密封等级IP65(或优于)。</w:t>
            </w:r>
          </w:p>
          <w:p>
            <w:pPr>
              <w:pStyle w:val="null3"/>
              <w:numPr>
                <w:ilvl w:val="0"/>
                <w:numId w:val="1"/>
              </w:numPr>
            </w:pPr>
            <w:r>
              <w:rPr>
                <w:rFonts w:ascii="仿宋_GB2312" w:hAnsi="仿宋_GB2312" w:cs="仿宋_GB2312" w:eastAsia="仿宋_GB2312"/>
              </w:rPr>
              <w:t>称重重量≥50kg，读数精确性20g(或优于)，A/D精度高，分辨率1000000(或优于)，多种称重单位转换。</w:t>
            </w:r>
          </w:p>
          <w:p>
            <w:pPr>
              <w:pStyle w:val="null3"/>
              <w:numPr>
                <w:ilvl w:val="0"/>
                <w:numId w:val="1"/>
              </w:numPr>
            </w:pPr>
            <w:r>
              <w:rPr>
                <w:rFonts w:ascii="仿宋_GB2312" w:hAnsi="仿宋_GB2312" w:cs="仿宋_GB2312" w:eastAsia="仿宋_GB2312"/>
              </w:rPr>
              <w:t>A/D转换速度6次/s(或优于)，具有去皮扣重、开机自动清零、动态检测功能，双速定值控制输出。</w:t>
            </w:r>
          </w:p>
          <w:p>
            <w:pPr>
              <w:pStyle w:val="null3"/>
              <w:numPr>
                <w:ilvl w:val="0"/>
                <w:numId w:val="1"/>
              </w:numPr>
            </w:pPr>
            <w:r>
              <w:rPr>
                <w:rFonts w:ascii="仿宋_GB2312" w:hAnsi="仿宋_GB2312" w:cs="仿宋_GB2312" w:eastAsia="仿宋_GB2312"/>
              </w:rPr>
              <w:t>本质安全型防爆AC/DC电源（输入电压AC 220 V±15%/50 Hz，输出电压DC 12 V/160 mA）。</w:t>
            </w:r>
          </w:p>
          <w:p>
            <w:pPr>
              <w:pStyle w:val="null3"/>
              <w:numPr>
                <w:ilvl w:val="0"/>
                <w:numId w:val="1"/>
              </w:numPr>
            </w:pPr>
            <w:r>
              <w:rPr>
                <w:rFonts w:ascii="仿宋_GB2312" w:hAnsi="仿宋_GB2312" w:cs="仿宋_GB2312" w:eastAsia="仿宋_GB2312"/>
              </w:rPr>
              <w:t>可对接实验室废弃物回收管理系统实现称重自动上传。</w:t>
            </w:r>
          </w:p>
          <w:p>
            <w:pPr>
              <w:pStyle w:val="null3"/>
              <w:numPr>
                <w:ilvl w:val="0"/>
                <w:numId w:val="1"/>
              </w:numPr>
            </w:pPr>
            <w:r>
              <w:rPr>
                <w:rFonts w:ascii="仿宋_GB2312" w:hAnsi="仿宋_GB2312" w:cs="仿宋_GB2312" w:eastAsia="仿宋_GB2312"/>
              </w:rPr>
              <w:t>防爆标志：Exib IIC T3/T4 Gb。</w:t>
            </w:r>
          </w:p>
          <w:p>
            <w:pPr>
              <w:pStyle w:val="null3"/>
            </w:pPr>
            <w:r>
              <w:rPr>
                <w:rFonts w:ascii="仿宋_GB2312" w:hAnsi="仿宋_GB2312" w:cs="仿宋_GB2312" w:eastAsia="仿宋_GB2312"/>
              </w:rPr>
              <w:t>七、危废标签打印机                                          数量：1台</w:t>
            </w:r>
          </w:p>
          <w:p>
            <w:pPr>
              <w:pStyle w:val="null3"/>
              <w:numPr>
                <w:ilvl w:val="0"/>
                <w:numId w:val="1"/>
              </w:numPr>
            </w:pPr>
            <w:r>
              <w:rPr>
                <w:rFonts w:ascii="仿宋_GB2312" w:hAnsi="仿宋_GB2312" w:cs="仿宋_GB2312" w:eastAsia="仿宋_GB2312"/>
              </w:rPr>
              <w:t>具备多功能唯一性标识生成器：采用热转印打印，分辨率为203 dpi，最大打印速度≥6 ips。</w:t>
            </w:r>
          </w:p>
          <w:p>
            <w:pPr>
              <w:pStyle w:val="null3"/>
              <w:numPr>
                <w:ilvl w:val="0"/>
                <w:numId w:val="1"/>
              </w:numPr>
            </w:pPr>
            <w:r>
              <w:rPr>
                <w:rFonts w:ascii="仿宋_GB2312" w:hAnsi="仿宋_GB2312" w:cs="仿宋_GB2312" w:eastAsia="仿宋_GB2312"/>
              </w:rPr>
              <w:t>内存为8MB FLASH ROM，16MB SDRAM。</w:t>
            </w:r>
          </w:p>
          <w:p>
            <w:pPr>
              <w:pStyle w:val="null3"/>
              <w:numPr>
                <w:ilvl w:val="0"/>
                <w:numId w:val="1"/>
              </w:numPr>
            </w:pPr>
            <w:r>
              <w:rPr>
                <w:rFonts w:ascii="仿宋_GB2312" w:hAnsi="仿宋_GB2312" w:cs="仿宋_GB2312" w:eastAsia="仿宋_GB2312"/>
              </w:rPr>
              <w:t>内置五种点阵西文字体和24点阵中文宋体，支持下载TrueType字体。</w:t>
            </w:r>
          </w:p>
          <w:p>
            <w:pPr>
              <w:pStyle w:val="null3"/>
              <w:numPr>
                <w:ilvl w:val="0"/>
                <w:numId w:val="1"/>
              </w:numPr>
            </w:pPr>
            <w:r>
              <w:rPr>
                <w:rFonts w:ascii="仿宋_GB2312" w:hAnsi="仿宋_GB2312" w:cs="仿宋_GB2312" w:eastAsia="仿宋_GB2312"/>
              </w:rPr>
              <w:t>RS-232串口，10/1000M自适应以太网，USB DEVICE 2.0接口。</w:t>
            </w:r>
          </w:p>
          <w:p>
            <w:pPr>
              <w:pStyle w:val="null3"/>
              <w:numPr>
                <w:ilvl w:val="0"/>
                <w:numId w:val="1"/>
              </w:numPr>
            </w:pPr>
            <w:r>
              <w:rPr>
                <w:rFonts w:ascii="仿宋_GB2312" w:hAnsi="仿宋_GB2312" w:cs="仿宋_GB2312" w:eastAsia="仿宋_GB2312"/>
              </w:rPr>
              <w:t>危废标签符合《危险废物识别标志设置技术规范》标准号：HJ 1276—2022标准规范。</w:t>
            </w:r>
          </w:p>
          <w:p>
            <w:pPr>
              <w:pStyle w:val="null3"/>
            </w:pPr>
            <w:r>
              <w:rPr>
                <w:rFonts w:ascii="仿宋_GB2312" w:hAnsi="仿宋_GB2312" w:cs="仿宋_GB2312" w:eastAsia="仿宋_GB2312"/>
              </w:rPr>
              <w:t xml:space="preserve">八、危废管理系统                                            数量：1套                 </w:t>
            </w:r>
          </w:p>
          <w:p>
            <w:pPr>
              <w:pStyle w:val="null3"/>
            </w:pPr>
            <w:r>
              <w:rPr>
                <w:rFonts w:ascii="仿宋_GB2312" w:hAnsi="仿宋_GB2312" w:cs="仿宋_GB2312" w:eastAsia="仿宋_GB2312"/>
              </w:rPr>
              <w:t>（一）管理后台系统</w:t>
            </w:r>
          </w:p>
          <w:p>
            <w:pPr>
              <w:pStyle w:val="null3"/>
              <w:numPr>
                <w:ilvl w:val="0"/>
                <w:numId w:val="1"/>
              </w:numPr>
            </w:pPr>
            <w:r>
              <w:rPr>
                <w:rFonts w:ascii="仿宋_GB2312" w:hAnsi="仿宋_GB2312" w:cs="仿宋_GB2312" w:eastAsia="仿宋_GB2312"/>
              </w:rPr>
              <w:t>首页展示：多维度展示危废管理数据，含实时入库、出库、在库数量，危废投放单审批进度、待入库进度，不同危废库存占比；展示危废库存的实验室来源分布及半年内出入库、在库量趋势分析。（须提供软件界面截图作为证明材料）</w:t>
            </w:r>
          </w:p>
          <w:p>
            <w:pPr>
              <w:pStyle w:val="null3"/>
              <w:numPr>
                <w:ilvl w:val="0"/>
                <w:numId w:val="1"/>
              </w:numPr>
            </w:pPr>
            <w:r>
              <w:rPr>
                <w:rFonts w:ascii="仿宋_GB2312" w:hAnsi="仿宋_GB2312" w:cs="仿宋_GB2312" w:eastAsia="仿宋_GB2312"/>
              </w:rPr>
              <w:t>申请功能：支持新增危废投放申请单（填写危废名称、类别等信息）；支持自定义多级审批流程，审批人可查看详情并进行通过/驳回操作，申请人可按驳回理由修改；支持自定义申请流程（设置实验室范围、审批角色/人等）；支持按单号等条件检索申请单据及查看详情。（须提供软件界面截图作为证明材料）</w:t>
            </w:r>
          </w:p>
          <w:p>
            <w:pPr>
              <w:pStyle w:val="null3"/>
              <w:numPr>
                <w:ilvl w:val="0"/>
                <w:numId w:val="1"/>
              </w:numPr>
            </w:pPr>
            <w:r>
              <w:rPr>
                <w:rFonts w:ascii="仿宋_GB2312" w:hAnsi="仿宋_GB2312" w:cs="仿宋_GB2312" w:eastAsia="仿宋_GB2312"/>
              </w:rPr>
              <w:t>AI自动分类：可自定义实验室各类危废，严格匹配《国家危险废物名录》类别及代码（如废化学试剂、有机/无机废液等），配置危险特性、形态、注意事项等。（须提供软件界面截图作为证明材料）</w:t>
            </w:r>
          </w:p>
          <w:p>
            <w:pPr>
              <w:pStyle w:val="null3"/>
              <w:numPr>
                <w:ilvl w:val="0"/>
                <w:numId w:val="1"/>
              </w:numPr>
            </w:pPr>
            <w:r>
              <w:rPr>
                <w:rFonts w:ascii="仿宋_GB2312" w:hAnsi="仿宋_GB2312" w:cs="仿宋_GB2312" w:eastAsia="仿宋_GB2312"/>
              </w:rPr>
              <w:t>统计功能：自动统计危废入库记录（含时间、数量等），提供报表导出；实时统计库存（含名称、存放位置等），支持库存预警；记录出库详情，支持查询及报表导出。（须提供软件界面截图作为证明材料）</w:t>
            </w:r>
          </w:p>
          <w:p>
            <w:pPr>
              <w:pStyle w:val="null3"/>
              <w:numPr>
                <w:ilvl w:val="0"/>
                <w:numId w:val="1"/>
              </w:numPr>
            </w:pPr>
            <w:r>
              <w:rPr>
                <w:rFonts w:ascii="仿宋_GB2312" w:hAnsi="仿宋_GB2312" w:cs="仿宋_GB2312" w:eastAsia="仿宋_GB2312"/>
              </w:rPr>
              <w:t>组织架构管理：包含校级、学院级、系所、实验室四级管理，契合高校架构；支持人员、角色、权限管理，对接学校基础数据库同步师生数据，按四级安全体系配置各级人员角色及操作权限。（须提供软件界面截图作为证明材料）</w:t>
            </w:r>
          </w:p>
          <w:p>
            <w:pPr>
              <w:pStyle w:val="null3"/>
              <w:numPr>
                <w:ilvl w:val="0"/>
                <w:numId w:val="1"/>
              </w:numPr>
            </w:pPr>
            <w:r>
              <w:rPr>
                <w:rFonts w:ascii="仿宋_GB2312" w:hAnsi="仿宋_GB2312" w:cs="仿宋_GB2312" w:eastAsia="仿宋_GB2312"/>
              </w:rPr>
              <w:t>危废暂存库柜子管理：支持自定义柜子模型，按门数、层数分区分层，含柜子ID、柜门数等字段；对接锁控、人脸识别及库存统计系统，支持锁控配置、人脸识别开锁配置及分区、分层库存统计查询。（须提供软件界面截图作为证明材料）</w:t>
            </w:r>
          </w:p>
          <w:p>
            <w:pPr>
              <w:pStyle w:val="null3"/>
            </w:pPr>
            <w:r>
              <w:rPr>
                <w:rFonts w:ascii="仿宋_GB2312" w:hAnsi="仿宋_GB2312" w:cs="仿宋_GB2312" w:eastAsia="仿宋_GB2312"/>
              </w:rPr>
              <w:t>（二）危废操控终端系统</w:t>
            </w:r>
          </w:p>
          <w:p>
            <w:pPr>
              <w:pStyle w:val="null3"/>
              <w:numPr>
                <w:ilvl w:val="0"/>
                <w:numId w:val="1"/>
              </w:numPr>
            </w:pPr>
            <w:r>
              <w:rPr>
                <w:rFonts w:ascii="仿宋_GB2312" w:hAnsi="仿宋_GB2312" w:cs="仿宋_GB2312" w:eastAsia="仿宋_GB2312"/>
              </w:rPr>
              <w:t>入库功能：可根据扫描单据号或者申请人查询某个单据，快速定位并确认危废投放单。</w:t>
            </w:r>
          </w:p>
          <w:p>
            <w:pPr>
              <w:pStyle w:val="null3"/>
              <w:numPr>
                <w:ilvl w:val="0"/>
                <w:numId w:val="1"/>
              </w:numPr>
            </w:pPr>
            <w:r>
              <w:rPr>
                <w:rFonts w:ascii="仿宋_GB2312" w:hAnsi="仿宋_GB2312" w:cs="仿宋_GB2312" w:eastAsia="仿宋_GB2312"/>
              </w:rPr>
              <w:t>称重及标签打印功能：确认入库数量、对危废进行称重，并记录实际入库数量，支持连续称重操作。入库完成后，系统自动生成并打印危废标签，标签包含危废信息和二维码。支持直接入库允许库管员手动输入危废信息并进行入库操作。对危废进行称重，并记录实际入库数量，支持连续称重操作。（须提供软件界面截图作为证明材料）</w:t>
            </w:r>
          </w:p>
          <w:p>
            <w:pPr>
              <w:pStyle w:val="null3"/>
              <w:numPr>
                <w:ilvl w:val="0"/>
                <w:numId w:val="1"/>
              </w:numPr>
            </w:pPr>
            <w:r>
              <w:rPr>
                <w:rFonts w:ascii="仿宋_GB2312" w:hAnsi="仿宋_GB2312" w:cs="仿宋_GB2312" w:eastAsia="仿宋_GB2312"/>
              </w:rPr>
              <w:t>扫码出库与查询出库功能：可通过扫描危废标签上的二维码，实现单个或批量危废的出库操作，可根据危废名称、存放位置、入库时间等条件搜索危废，并执行一键出库操作。（须提供软件界面截图作为证明材料）</w:t>
            </w:r>
          </w:p>
          <w:p>
            <w:pPr>
              <w:pStyle w:val="null3"/>
              <w:numPr>
                <w:ilvl w:val="0"/>
                <w:numId w:val="1"/>
              </w:numPr>
            </w:pPr>
            <w:r>
              <w:rPr>
                <w:rFonts w:ascii="仿宋_GB2312" w:hAnsi="仿宋_GB2312" w:cs="仿宋_GB2312" w:eastAsia="仿宋_GB2312"/>
              </w:rPr>
              <w:t>多维度台账管理功能：可查看危废入库的详细记录，包括入库时间、入库危废物名称、实验室来源等。显示当前库存的危废详情，包括危废物名称、存放位置、入库重量、实验室来源等。可查看危废出库的详细记录，包括危废物名称、出库时间、危废详情等。（须提供软件界面截图作为证明材料）</w:t>
            </w:r>
          </w:p>
          <w:p>
            <w:pPr>
              <w:pStyle w:val="null3"/>
              <w:numPr>
                <w:ilvl w:val="0"/>
                <w:numId w:val="1"/>
              </w:numPr>
            </w:pPr>
            <w:r>
              <w:rPr>
                <w:rFonts w:ascii="仿宋_GB2312" w:hAnsi="仿宋_GB2312" w:cs="仿宋_GB2312" w:eastAsia="仿宋_GB2312"/>
              </w:rPr>
              <w:t>锁控管理功能：支持对于配置有锁控的危废暂存柜，支持已知存放位置时，快速开锁拿取或存放危险废弃物。支持从终端进入管理后台进行单据审批、查看数据分析等操作。（须提供软件界面截图作为证明材料）</w:t>
            </w:r>
          </w:p>
          <w:p>
            <w:pPr>
              <w:pStyle w:val="null3"/>
            </w:pPr>
            <w:r>
              <w:rPr>
                <w:rFonts w:ascii="仿宋_GB2312" w:hAnsi="仿宋_GB2312" w:cs="仿宋_GB2312" w:eastAsia="仿宋_GB2312"/>
              </w:rPr>
              <w:t>九、应用服务器                                           数量：1台</w:t>
            </w:r>
          </w:p>
          <w:p>
            <w:pPr>
              <w:pStyle w:val="null3"/>
            </w:pPr>
            <w:r>
              <w:rPr>
                <w:rFonts w:ascii="仿宋_GB2312" w:hAnsi="仿宋_GB2312" w:cs="仿宋_GB2312" w:eastAsia="仿宋_GB2312"/>
              </w:rPr>
              <w:t>1、CPU核心≥8核，线程≥16线程，基础主频≥2.4GHz；</w:t>
            </w:r>
          </w:p>
          <w:p>
            <w:pPr>
              <w:pStyle w:val="null3"/>
            </w:pPr>
            <w:r>
              <w:rPr>
                <w:rFonts w:ascii="仿宋_GB2312" w:hAnsi="仿宋_GB2312" w:cs="仿宋_GB2312" w:eastAsia="仿宋_GB2312"/>
              </w:rPr>
              <w:t>2、内存要求：容量≥16GB， 需使用不低于DDR5服务器专用内存，最大支持128GB内存扩展；</w:t>
            </w:r>
          </w:p>
          <w:p>
            <w:pPr>
              <w:pStyle w:val="null3"/>
            </w:pPr>
            <w:r>
              <w:rPr>
                <w:rFonts w:ascii="仿宋_GB2312" w:hAnsi="仿宋_GB2312" w:cs="仿宋_GB2312" w:eastAsia="仿宋_GB2312"/>
              </w:rPr>
              <w:t>3、存储配置：使用固态硬盘与机械硬盘组合方式，固态硬盘容量≥256GB，机械硬盘容量≥4T；</w:t>
            </w:r>
          </w:p>
          <w:p>
            <w:pPr>
              <w:pStyle w:val="null3"/>
            </w:pPr>
            <w:r>
              <w:rPr>
                <w:rFonts w:ascii="仿宋_GB2312" w:hAnsi="仿宋_GB2312" w:cs="仿宋_GB2312" w:eastAsia="仿宋_GB2312"/>
              </w:rPr>
              <w:t>4、电源功率≥300W；</w:t>
            </w:r>
          </w:p>
          <w:p>
            <w:pPr>
              <w:pStyle w:val="null3"/>
            </w:pPr>
            <w:r>
              <w:rPr>
                <w:rFonts w:ascii="仿宋_GB2312" w:hAnsi="仿宋_GB2312" w:cs="仿宋_GB2312" w:eastAsia="仿宋_GB2312"/>
              </w:rPr>
              <w:t>服务器显示器：使用不小于22英寸高清显示器，不低于1080P分辨率；</w:t>
            </w:r>
          </w:p>
          <w:p>
            <w:pPr>
              <w:pStyle w:val="null3"/>
            </w:pPr>
            <w:r>
              <w:rPr>
                <w:rFonts w:ascii="仿宋_GB2312" w:hAnsi="仿宋_GB2312" w:cs="仿宋_GB2312" w:eastAsia="仿宋_GB2312"/>
              </w:rPr>
              <w:t>十、备用发电机组                                        数量：1台</w:t>
            </w:r>
          </w:p>
          <w:p>
            <w:pPr>
              <w:pStyle w:val="null3"/>
            </w:pPr>
            <w:r>
              <w:rPr>
                <w:rFonts w:ascii="仿宋_GB2312" w:hAnsi="仿宋_GB2312" w:cs="仿宋_GB2312" w:eastAsia="仿宋_GB2312"/>
              </w:rPr>
              <w:t>主要配置如下：</w:t>
            </w:r>
          </w:p>
          <w:p>
            <w:pPr>
              <w:pStyle w:val="null3"/>
              <w:numPr>
                <w:ilvl w:val="0"/>
                <w:numId w:val="1"/>
              </w:numPr>
            </w:pPr>
            <w:r>
              <w:rPr>
                <w:rFonts w:ascii="仿宋_GB2312" w:hAnsi="仿宋_GB2312" w:cs="仿宋_GB2312" w:eastAsia="仿宋_GB2312"/>
              </w:rPr>
              <w:t>发动机：四缸水冷柴油发动机。</w:t>
            </w:r>
          </w:p>
          <w:p>
            <w:pPr>
              <w:pStyle w:val="null3"/>
              <w:numPr>
                <w:ilvl w:val="0"/>
                <w:numId w:val="1"/>
              </w:numPr>
            </w:pPr>
            <w:r>
              <w:rPr>
                <w:rFonts w:ascii="仿宋_GB2312" w:hAnsi="仿宋_GB2312" w:cs="仿宋_GB2312" w:eastAsia="仿宋_GB2312"/>
              </w:rPr>
              <w:t>发电机：全铜无刷交流发电机，230V/400V，3Ph，50Hz，1500Rpm，0.8PF。</w:t>
            </w:r>
          </w:p>
          <w:p>
            <w:pPr>
              <w:pStyle w:val="null3"/>
              <w:numPr>
                <w:ilvl w:val="0"/>
                <w:numId w:val="1"/>
              </w:numPr>
            </w:pPr>
            <w:r>
              <w:rPr>
                <w:rFonts w:ascii="仿宋_GB2312" w:hAnsi="仿宋_GB2312" w:cs="仿宋_GB2312" w:eastAsia="仿宋_GB2312"/>
              </w:rPr>
              <w:t>冷却系统：水箱温度散热器。</w:t>
            </w:r>
          </w:p>
          <w:p>
            <w:pPr>
              <w:pStyle w:val="null3"/>
              <w:numPr>
                <w:ilvl w:val="0"/>
                <w:numId w:val="1"/>
              </w:numPr>
            </w:pPr>
            <w:r>
              <w:rPr>
                <w:rFonts w:ascii="仿宋_GB2312" w:hAnsi="仿宋_GB2312" w:cs="仿宋_GB2312" w:eastAsia="仿宋_GB2312"/>
              </w:rPr>
              <w:t>控制系统：控制器。</w:t>
            </w:r>
          </w:p>
          <w:p>
            <w:pPr>
              <w:pStyle w:val="null3"/>
              <w:numPr>
                <w:ilvl w:val="0"/>
                <w:numId w:val="1"/>
              </w:numPr>
            </w:pPr>
            <w:r>
              <w:rPr>
                <w:rFonts w:ascii="仿宋_GB2312" w:hAnsi="仿宋_GB2312" w:cs="仿宋_GB2312" w:eastAsia="仿宋_GB2312"/>
              </w:rPr>
              <w:t>蓄电池：免维护铅酸蓄电池电池两个，工作电压12V，优于200Ah。</w:t>
            </w:r>
          </w:p>
          <w:p>
            <w:pPr>
              <w:pStyle w:val="null3"/>
              <w:numPr>
                <w:ilvl w:val="0"/>
                <w:numId w:val="1"/>
              </w:numPr>
            </w:pPr>
            <w:r>
              <w:rPr>
                <w:rFonts w:ascii="仿宋_GB2312" w:hAnsi="仿宋_GB2312" w:cs="仿宋_GB2312" w:eastAsia="仿宋_GB2312"/>
              </w:rPr>
              <w:t>款式结构：静音款式，机箱降噪处理，高温烤漆，底座钢结构，内置减震垫。</w:t>
            </w:r>
          </w:p>
          <w:p>
            <w:pPr>
              <w:pStyle w:val="null3"/>
            </w:pPr>
            <w:r>
              <w:rPr>
                <w:rFonts w:ascii="仿宋_GB2312" w:hAnsi="仿宋_GB2312" w:cs="仿宋_GB2312" w:eastAsia="仿宋_GB2312"/>
              </w:rPr>
              <w:t>日用油箱：发电机组含底部油箱，备用12 小时。</w:t>
            </w:r>
          </w:p>
          <w:p>
            <w:pPr>
              <w:pStyle w:val="null3"/>
            </w:pPr>
            <w:r>
              <w:rPr>
                <w:rFonts w:ascii="仿宋_GB2312" w:hAnsi="仿宋_GB2312" w:cs="仿宋_GB2312" w:eastAsia="仿宋_GB2312"/>
              </w:rPr>
              <w:t>附件：原装机油、蓄电池连接线、随机资料、专用工具等所有设施需提供详细的技术白皮书以便评审。</w:t>
            </w:r>
          </w:p>
          <w:p>
            <w:pPr>
              <w:pStyle w:val="null3"/>
            </w:pPr>
            <w:r>
              <w:rPr>
                <w:rFonts w:ascii="仿宋_GB2312" w:hAnsi="仿宋_GB2312" w:cs="仿宋_GB2312" w:eastAsia="仿宋_GB2312"/>
              </w:rPr>
              <w:t>具体参数：</w:t>
            </w:r>
          </w:p>
          <w:tbl>
            <w:tblPr>
              <w:tblBorders>
                <w:top w:val="single"/>
                <w:left w:val="single"/>
                <w:bottom w:val="single"/>
                <w:right w:val="single"/>
                <w:insideH w:val="single"/>
                <w:insideV w:val="single"/>
              </w:tblBorders>
            </w:tblPr>
            <w:tblGrid>
              <w:gridCol w:w="851"/>
              <w:gridCol w:w="851"/>
              <w:gridCol w:w="851"/>
            </w:tblGrid>
            <w:tr>
              <w:tc>
                <w:tcPr>
                  <w:tcW w:type="dxa" w:w="851"/>
                  <w:vMerge w:val="restart"/>
                </w:tcPr>
                <w:p>
                  <w:pPr>
                    <w:pStyle w:val="null3"/>
                  </w:pPr>
                  <w:r>
                    <w:rPr>
                      <w:rFonts w:ascii="仿宋_GB2312" w:hAnsi="仿宋_GB2312" w:cs="仿宋_GB2312" w:eastAsia="仿宋_GB2312"/>
                    </w:rPr>
                    <w:t xml:space="preserve">   机组参数</w:t>
                  </w:r>
                </w:p>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额定功率</w:t>
                  </w:r>
                </w:p>
              </w:tc>
              <w:tc>
                <w:tcPr>
                  <w:tcW w:type="dxa" w:w="851"/>
                </w:tcPr>
                <w:p>
                  <w:pPr>
                    <w:pStyle w:val="null3"/>
                  </w:pPr>
                  <w:r>
                    <w:rPr>
                      <w:rFonts w:ascii="仿宋_GB2312" w:hAnsi="仿宋_GB2312" w:cs="仿宋_GB2312" w:eastAsia="仿宋_GB2312"/>
                    </w:rPr>
                    <w:t>20kW/25KVA</w:t>
                  </w:r>
                </w:p>
              </w:tc>
            </w:tr>
            <w:tr>
              <w:tc>
                <w:tcPr>
                  <w:tcW w:type="dxa" w:w="851"/>
                  <w:vMerge/>
                </w:tcPr>
                <w:p/>
              </w:tc>
              <w:tc>
                <w:tcPr>
                  <w:tcW w:type="dxa" w:w="851"/>
                </w:tcPr>
                <w:p>
                  <w:pPr>
                    <w:pStyle w:val="null3"/>
                  </w:pPr>
                  <w:r>
                    <w:rPr>
                      <w:rFonts w:ascii="仿宋_GB2312" w:hAnsi="仿宋_GB2312" w:cs="仿宋_GB2312" w:eastAsia="仿宋_GB2312"/>
                    </w:rPr>
                    <w:t>额定电流</w:t>
                  </w:r>
                </w:p>
              </w:tc>
              <w:tc>
                <w:tcPr>
                  <w:tcW w:type="dxa" w:w="851"/>
                </w:tcPr>
                <w:p>
                  <w:pPr>
                    <w:pStyle w:val="null3"/>
                  </w:pPr>
                  <w:r>
                    <w:rPr>
                      <w:rFonts w:ascii="仿宋_GB2312" w:hAnsi="仿宋_GB2312" w:cs="仿宋_GB2312" w:eastAsia="仿宋_GB2312"/>
                    </w:rPr>
                    <w:t>36（A）</w:t>
                  </w:r>
                </w:p>
              </w:tc>
            </w:tr>
            <w:tr>
              <w:tc>
                <w:tcPr>
                  <w:tcW w:type="dxa" w:w="851"/>
                  <w:vMerge/>
                </w:tcPr>
                <w:p/>
              </w:tc>
              <w:tc>
                <w:tcPr>
                  <w:tcW w:type="dxa" w:w="851"/>
                </w:tcPr>
                <w:p>
                  <w:pPr>
                    <w:pStyle w:val="null3"/>
                  </w:pPr>
                  <w:r>
                    <w:rPr>
                      <w:rFonts w:ascii="仿宋_GB2312" w:hAnsi="仿宋_GB2312" w:cs="仿宋_GB2312" w:eastAsia="仿宋_GB2312"/>
                    </w:rPr>
                    <w:t>额定频率</w:t>
                  </w:r>
                </w:p>
              </w:tc>
              <w:tc>
                <w:tcPr>
                  <w:tcW w:type="dxa" w:w="851"/>
                </w:tcPr>
                <w:p>
                  <w:pPr>
                    <w:pStyle w:val="null3"/>
                  </w:pPr>
                  <w:r>
                    <w:rPr>
                      <w:rFonts w:ascii="仿宋_GB2312" w:hAnsi="仿宋_GB2312" w:cs="仿宋_GB2312" w:eastAsia="仿宋_GB2312"/>
                    </w:rPr>
                    <w:t>50（Hz）</w:t>
                  </w:r>
                </w:p>
              </w:tc>
            </w:tr>
            <w:tr>
              <w:tc>
                <w:tcPr>
                  <w:tcW w:type="dxa" w:w="851"/>
                  <w:vMerge/>
                </w:tcPr>
                <w:p/>
              </w:tc>
              <w:tc>
                <w:tcPr>
                  <w:tcW w:type="dxa" w:w="851"/>
                </w:tcPr>
                <w:p>
                  <w:pPr>
                    <w:pStyle w:val="null3"/>
                  </w:pPr>
                  <w:r>
                    <w:rPr>
                      <w:rFonts w:ascii="仿宋_GB2312" w:hAnsi="仿宋_GB2312" w:cs="仿宋_GB2312" w:eastAsia="仿宋_GB2312"/>
                    </w:rPr>
                    <w:t>启动时间</w:t>
                  </w:r>
                </w:p>
              </w:tc>
              <w:tc>
                <w:tcPr>
                  <w:tcW w:type="dxa" w:w="851"/>
                </w:tcPr>
                <w:p>
                  <w:pPr>
                    <w:pStyle w:val="null3"/>
                  </w:pPr>
                  <w:r>
                    <w:rPr>
                      <w:rFonts w:ascii="仿宋_GB2312" w:hAnsi="仿宋_GB2312" w:cs="仿宋_GB2312" w:eastAsia="仿宋_GB2312"/>
                    </w:rPr>
                    <w:t>5~6（S）</w:t>
                  </w:r>
                </w:p>
              </w:tc>
            </w:tr>
            <w:tr>
              <w:tc>
                <w:tcPr>
                  <w:tcW w:type="dxa" w:w="851"/>
                  <w:vMerge/>
                </w:tcPr>
                <w:p/>
              </w:tc>
              <w:tc>
                <w:tcPr>
                  <w:tcW w:type="dxa" w:w="851"/>
                </w:tcPr>
                <w:p>
                  <w:pPr>
                    <w:pStyle w:val="null3"/>
                  </w:pPr>
                  <w:r>
                    <w:rPr>
                      <w:rFonts w:ascii="仿宋_GB2312" w:hAnsi="仿宋_GB2312" w:cs="仿宋_GB2312" w:eastAsia="仿宋_GB2312"/>
                    </w:rPr>
                    <w:t>功率因数</w:t>
                  </w:r>
                </w:p>
              </w:tc>
              <w:tc>
                <w:tcPr>
                  <w:tcW w:type="dxa" w:w="851"/>
                </w:tcPr>
                <w:p>
                  <w:pPr>
                    <w:pStyle w:val="null3"/>
                  </w:pPr>
                  <w:r>
                    <w:rPr>
                      <w:rFonts w:ascii="仿宋_GB2312" w:hAnsi="仿宋_GB2312" w:cs="仿宋_GB2312" w:eastAsia="仿宋_GB2312"/>
                    </w:rPr>
                    <w:t>0.8（滞后）</w:t>
                  </w:r>
                </w:p>
              </w:tc>
            </w:tr>
            <w:tr>
              <w:tc>
                <w:tcPr>
                  <w:tcW w:type="dxa" w:w="851"/>
                  <w:vMerge/>
                </w:tcPr>
                <w:p/>
              </w:tc>
              <w:tc>
                <w:tcPr>
                  <w:tcW w:type="dxa" w:w="851"/>
                </w:tcPr>
                <w:p>
                  <w:pPr>
                    <w:pStyle w:val="null3"/>
                  </w:pPr>
                  <w:r>
                    <w:rPr>
                      <w:rFonts w:ascii="仿宋_GB2312" w:hAnsi="仿宋_GB2312" w:cs="仿宋_GB2312" w:eastAsia="仿宋_GB2312"/>
                    </w:rPr>
                    <w:t>额定电压</w:t>
                  </w:r>
                </w:p>
              </w:tc>
              <w:tc>
                <w:tcPr>
                  <w:tcW w:type="dxa" w:w="851"/>
                </w:tcPr>
                <w:p>
                  <w:pPr>
                    <w:pStyle w:val="null3"/>
                  </w:pPr>
                  <w:r>
                    <w:rPr>
                      <w:rFonts w:ascii="仿宋_GB2312" w:hAnsi="仿宋_GB2312" w:cs="仿宋_GB2312" w:eastAsia="仿宋_GB2312"/>
                    </w:rPr>
                    <w:t>230V/400V</w:t>
                  </w:r>
                </w:p>
              </w:tc>
            </w:tr>
            <w:tr>
              <w:tc>
                <w:tcPr>
                  <w:tcW w:type="dxa" w:w="851"/>
                  <w:vMerge w:val="restart"/>
                </w:tcPr>
                <w:p>
                  <w:pPr>
                    <w:pStyle w:val="null3"/>
                  </w:pPr>
                  <w:r>
                    <w:rPr>
                      <w:rFonts w:ascii="仿宋_GB2312" w:hAnsi="仿宋_GB2312" w:cs="仿宋_GB2312" w:eastAsia="仿宋_GB2312"/>
                    </w:rPr>
                    <w:t>柴油内燃机参数</w:t>
                  </w:r>
                </w:p>
              </w:tc>
              <w:tc>
                <w:tcPr>
                  <w:tcW w:type="dxa" w:w="851"/>
                </w:tcPr>
                <w:p>
                  <w:pPr>
                    <w:pStyle w:val="null3"/>
                  </w:pPr>
                  <w:r>
                    <w:rPr>
                      <w:rFonts w:ascii="仿宋_GB2312" w:hAnsi="仿宋_GB2312" w:cs="仿宋_GB2312" w:eastAsia="仿宋_GB2312"/>
                    </w:rPr>
                    <w:t>发动机功率</w:t>
                  </w:r>
                </w:p>
              </w:tc>
              <w:tc>
                <w:tcPr>
                  <w:tcW w:type="dxa" w:w="851"/>
                </w:tcPr>
                <w:p>
                  <w:pPr>
                    <w:pStyle w:val="null3"/>
                  </w:pPr>
                  <w:r>
                    <w:rPr>
                      <w:rFonts w:ascii="仿宋_GB2312" w:hAnsi="仿宋_GB2312" w:cs="仿宋_GB2312" w:eastAsia="仿宋_GB2312"/>
                    </w:rPr>
                    <w:t>23kW/25kW</w:t>
                  </w:r>
                </w:p>
              </w:tc>
            </w:tr>
            <w:tr>
              <w:tc>
                <w:tcPr>
                  <w:tcW w:type="dxa" w:w="851"/>
                  <w:vMerge/>
                </w:tcPr>
                <w:p/>
              </w:tc>
              <w:tc>
                <w:tcPr>
                  <w:tcW w:type="dxa" w:w="851"/>
                </w:tcPr>
                <w:p>
                  <w:pPr>
                    <w:pStyle w:val="null3"/>
                  </w:pPr>
                  <w:r>
                    <w:rPr>
                      <w:rFonts w:ascii="仿宋_GB2312" w:hAnsi="仿宋_GB2312" w:cs="仿宋_GB2312" w:eastAsia="仿宋_GB2312"/>
                    </w:rPr>
                    <w:t>额定转速</w:t>
                  </w:r>
                </w:p>
              </w:tc>
              <w:tc>
                <w:tcPr>
                  <w:tcW w:type="dxa" w:w="851"/>
                </w:tcPr>
                <w:p>
                  <w:pPr>
                    <w:pStyle w:val="null3"/>
                  </w:pPr>
                  <w:r>
                    <w:rPr>
                      <w:rFonts w:ascii="仿宋_GB2312" w:hAnsi="仿宋_GB2312" w:cs="仿宋_GB2312" w:eastAsia="仿宋_GB2312"/>
                    </w:rPr>
                    <w:t>1500（r/min）</w:t>
                  </w:r>
                </w:p>
              </w:tc>
            </w:tr>
            <w:tr>
              <w:tc>
                <w:tcPr>
                  <w:tcW w:type="dxa" w:w="851"/>
                  <w:vMerge/>
                </w:tcPr>
                <w:p/>
              </w:tc>
              <w:tc>
                <w:tcPr>
                  <w:tcW w:type="dxa" w:w="851"/>
                </w:tcPr>
                <w:p>
                  <w:pPr>
                    <w:pStyle w:val="null3"/>
                  </w:pPr>
                  <w:r>
                    <w:rPr>
                      <w:rFonts w:ascii="仿宋_GB2312" w:hAnsi="仿宋_GB2312" w:cs="仿宋_GB2312" w:eastAsia="仿宋_GB2312"/>
                    </w:rPr>
                    <w:t>循环方式</w:t>
                  </w:r>
                </w:p>
              </w:tc>
              <w:tc>
                <w:tcPr>
                  <w:tcW w:type="dxa" w:w="851"/>
                </w:tcPr>
                <w:p>
                  <w:pPr>
                    <w:pStyle w:val="null3"/>
                  </w:pPr>
                  <w:r>
                    <w:rPr>
                      <w:rFonts w:ascii="仿宋_GB2312" w:hAnsi="仿宋_GB2312" w:cs="仿宋_GB2312" w:eastAsia="仿宋_GB2312"/>
                    </w:rPr>
                    <w:t>4冲程/ 4-stroke</w:t>
                  </w:r>
                </w:p>
              </w:tc>
            </w:tr>
            <w:tr>
              <w:tc>
                <w:tcPr>
                  <w:tcW w:type="dxa" w:w="851"/>
                  <w:vMerge/>
                </w:tcPr>
                <w:p/>
              </w:tc>
              <w:tc>
                <w:tcPr>
                  <w:tcW w:type="dxa" w:w="851"/>
                </w:tcPr>
                <w:p>
                  <w:pPr>
                    <w:pStyle w:val="null3"/>
                  </w:pPr>
                  <w:r>
                    <w:rPr>
                      <w:rFonts w:ascii="仿宋_GB2312" w:hAnsi="仿宋_GB2312" w:cs="仿宋_GB2312" w:eastAsia="仿宋_GB2312"/>
                    </w:rPr>
                    <w:t>气缸数</w:t>
                  </w:r>
                </w:p>
              </w:tc>
              <w:tc>
                <w:tcPr>
                  <w:tcW w:type="dxa" w:w="851"/>
                </w:tcPr>
                <w:p>
                  <w:pPr>
                    <w:pStyle w:val="null3"/>
                  </w:pPr>
                  <w:r>
                    <w:rPr>
                      <w:rFonts w:ascii="仿宋_GB2312" w:hAnsi="仿宋_GB2312" w:cs="仿宋_GB2312" w:eastAsia="仿宋_GB2312"/>
                    </w:rPr>
                    <w:t>4缸/ 4-cylinder</w:t>
                  </w:r>
                </w:p>
              </w:tc>
            </w:tr>
            <w:tr>
              <w:tc>
                <w:tcPr>
                  <w:tcW w:type="dxa" w:w="851"/>
                  <w:vMerge/>
                </w:tcPr>
                <w:p/>
              </w:tc>
              <w:tc>
                <w:tcPr>
                  <w:tcW w:type="dxa" w:w="851"/>
                </w:tcPr>
                <w:p>
                  <w:pPr>
                    <w:pStyle w:val="null3"/>
                  </w:pPr>
                  <w:r>
                    <w:rPr>
                      <w:rFonts w:ascii="仿宋_GB2312" w:hAnsi="仿宋_GB2312" w:cs="仿宋_GB2312" w:eastAsia="仿宋_GB2312"/>
                    </w:rPr>
                    <w:t>排量</w:t>
                  </w:r>
                </w:p>
              </w:tc>
              <w:tc>
                <w:tcPr>
                  <w:tcW w:type="dxa" w:w="851"/>
                </w:tcPr>
                <w:p>
                  <w:pPr>
                    <w:pStyle w:val="null3"/>
                  </w:pPr>
                  <w:r>
                    <w:rPr>
                      <w:rFonts w:ascii="仿宋_GB2312" w:hAnsi="仿宋_GB2312" w:cs="仿宋_GB2312" w:eastAsia="仿宋_GB2312"/>
                    </w:rPr>
                    <w:t>2.5L</w:t>
                  </w:r>
                </w:p>
              </w:tc>
            </w:tr>
            <w:tr>
              <w:tc>
                <w:tcPr>
                  <w:tcW w:type="dxa" w:w="851"/>
                  <w:vMerge/>
                </w:tcPr>
                <w:p/>
              </w:tc>
              <w:tc>
                <w:tcPr>
                  <w:tcW w:type="dxa" w:w="851"/>
                </w:tcPr>
                <w:p>
                  <w:pPr>
                    <w:pStyle w:val="null3"/>
                  </w:pPr>
                  <w:r>
                    <w:rPr>
                      <w:rFonts w:ascii="仿宋_GB2312" w:hAnsi="仿宋_GB2312" w:cs="仿宋_GB2312" w:eastAsia="仿宋_GB2312"/>
                    </w:rPr>
                    <w:t>缸径×行程</w:t>
                  </w:r>
                </w:p>
              </w:tc>
              <w:tc>
                <w:tcPr>
                  <w:tcW w:type="dxa" w:w="851"/>
                </w:tcPr>
                <w:p>
                  <w:pPr>
                    <w:pStyle w:val="null3"/>
                  </w:pPr>
                  <w:r>
                    <w:rPr>
                      <w:rFonts w:ascii="仿宋_GB2312" w:hAnsi="仿宋_GB2312" w:cs="仿宋_GB2312" w:eastAsia="仿宋_GB2312"/>
                    </w:rPr>
                    <w:t>89*100（mm）</w:t>
                  </w:r>
                </w:p>
              </w:tc>
            </w:tr>
            <w:tr>
              <w:tc>
                <w:tcPr>
                  <w:tcW w:type="dxa" w:w="851"/>
                  <w:vMerge/>
                </w:tcPr>
                <w:p/>
              </w:tc>
              <w:tc>
                <w:tcPr>
                  <w:tcW w:type="dxa" w:w="851"/>
                </w:tcPr>
                <w:p>
                  <w:pPr>
                    <w:pStyle w:val="null3"/>
                  </w:pPr>
                  <w:r>
                    <w:rPr>
                      <w:rFonts w:ascii="仿宋_GB2312" w:hAnsi="仿宋_GB2312" w:cs="仿宋_GB2312" w:eastAsia="仿宋_GB2312"/>
                    </w:rPr>
                    <w:t>压缩比</w:t>
                  </w:r>
                </w:p>
              </w:tc>
              <w:tc>
                <w:tcPr>
                  <w:tcW w:type="dxa" w:w="851"/>
                </w:tcPr>
                <w:p>
                  <w:pPr>
                    <w:pStyle w:val="null3"/>
                  </w:pPr>
                  <w:r>
                    <w:rPr>
                      <w:rFonts w:ascii="仿宋_GB2312" w:hAnsi="仿宋_GB2312" w:cs="仿宋_GB2312" w:eastAsia="仿宋_GB2312"/>
                    </w:rPr>
                    <w:t>17.5:1</w:t>
                  </w:r>
                </w:p>
              </w:tc>
            </w:tr>
            <w:tr>
              <w:tc>
                <w:tcPr>
                  <w:tcW w:type="dxa" w:w="851"/>
                  <w:vMerge/>
                </w:tcPr>
                <w:p/>
              </w:tc>
              <w:tc>
                <w:tcPr>
                  <w:tcW w:type="dxa" w:w="851"/>
                </w:tcPr>
                <w:p>
                  <w:pPr>
                    <w:pStyle w:val="null3"/>
                  </w:pPr>
                  <w:r>
                    <w:rPr>
                      <w:rFonts w:ascii="仿宋_GB2312" w:hAnsi="仿宋_GB2312" w:cs="仿宋_GB2312" w:eastAsia="仿宋_GB2312"/>
                    </w:rPr>
                    <w:t>调速系统</w:t>
                  </w:r>
                </w:p>
              </w:tc>
              <w:tc>
                <w:tcPr>
                  <w:tcW w:type="dxa" w:w="851"/>
                </w:tcPr>
                <w:p>
                  <w:pPr>
                    <w:pStyle w:val="null3"/>
                  </w:pPr>
                  <w:r>
                    <w:rPr>
                      <w:rFonts w:ascii="仿宋_GB2312" w:hAnsi="仿宋_GB2312" w:cs="仿宋_GB2312" w:eastAsia="仿宋_GB2312"/>
                    </w:rPr>
                    <w:t>机械调速</w:t>
                  </w:r>
                </w:p>
              </w:tc>
            </w:tr>
            <w:tr>
              <w:tc>
                <w:tcPr>
                  <w:tcW w:type="dxa" w:w="851"/>
                  <w:vMerge/>
                </w:tcPr>
                <w:p/>
              </w:tc>
              <w:tc>
                <w:tcPr>
                  <w:tcW w:type="dxa" w:w="851"/>
                </w:tcPr>
                <w:p>
                  <w:pPr>
                    <w:pStyle w:val="null3"/>
                  </w:pPr>
                  <w:r>
                    <w:rPr>
                      <w:rFonts w:ascii="仿宋_GB2312" w:hAnsi="仿宋_GB2312" w:cs="仿宋_GB2312" w:eastAsia="仿宋_GB2312"/>
                    </w:rPr>
                    <w:t>启动方式</w:t>
                  </w:r>
                </w:p>
              </w:tc>
              <w:tc>
                <w:tcPr>
                  <w:tcW w:type="dxa" w:w="851"/>
                </w:tcPr>
                <w:p>
                  <w:pPr>
                    <w:pStyle w:val="null3"/>
                  </w:pPr>
                  <w:r>
                    <w:rPr>
                      <w:rFonts w:ascii="仿宋_GB2312" w:hAnsi="仿宋_GB2312" w:cs="仿宋_GB2312" w:eastAsia="仿宋_GB2312"/>
                    </w:rPr>
                    <w:t>24V/DC</w:t>
                  </w:r>
                </w:p>
              </w:tc>
            </w:tr>
            <w:tr>
              <w:tc>
                <w:tcPr>
                  <w:tcW w:type="dxa" w:w="851"/>
                  <w:vMerge/>
                </w:tcPr>
                <w:p/>
              </w:tc>
              <w:tc>
                <w:tcPr>
                  <w:tcW w:type="dxa" w:w="1702"/>
                  <w:gridSpan w:val="2"/>
                </w:tcPr>
                <w:p>
                  <w:pPr>
                    <w:pStyle w:val="null3"/>
                  </w:pPr>
                  <w:r>
                    <w:rPr>
                      <w:rFonts w:ascii="仿宋_GB2312" w:hAnsi="仿宋_GB2312" w:cs="仿宋_GB2312" w:eastAsia="仿宋_GB2312"/>
                    </w:rPr>
                    <w:t>进气系统</w:t>
                  </w:r>
                </w:p>
              </w:tc>
            </w:tr>
            <w:tr>
              <w:tc>
                <w:tcPr>
                  <w:tcW w:type="dxa" w:w="851"/>
                  <w:vMerge/>
                </w:tcPr>
                <w:p/>
              </w:tc>
              <w:tc>
                <w:tcPr>
                  <w:tcW w:type="dxa" w:w="851"/>
                </w:tcPr>
                <w:p>
                  <w:pPr>
                    <w:pStyle w:val="null3"/>
                  </w:pPr>
                  <w:r>
                    <w:rPr>
                      <w:rFonts w:ascii="仿宋_GB2312" w:hAnsi="仿宋_GB2312" w:cs="仿宋_GB2312" w:eastAsia="仿宋_GB2312"/>
                    </w:rPr>
                    <w:t>进气系统</w:t>
                  </w:r>
                </w:p>
              </w:tc>
              <w:tc>
                <w:tcPr>
                  <w:tcW w:type="dxa" w:w="851"/>
                </w:tcPr>
                <w:p>
                  <w:pPr>
                    <w:pStyle w:val="null3"/>
                  </w:pPr>
                  <w:r>
                    <w:rPr>
                      <w:rFonts w:ascii="仿宋_GB2312" w:hAnsi="仿宋_GB2312" w:cs="仿宋_GB2312" w:eastAsia="仿宋_GB2312"/>
                    </w:rPr>
                    <w:t>自然吸气</w:t>
                  </w:r>
                </w:p>
              </w:tc>
            </w:tr>
            <w:tr>
              <w:tc>
                <w:tcPr>
                  <w:tcW w:type="dxa" w:w="851"/>
                  <w:vMerge/>
                </w:tcPr>
                <w:p/>
              </w:tc>
              <w:tc>
                <w:tcPr>
                  <w:tcW w:type="dxa" w:w="851"/>
                </w:tcPr>
                <w:p>
                  <w:pPr>
                    <w:pStyle w:val="null3"/>
                  </w:pPr>
                  <w:r>
                    <w:rPr>
                      <w:rFonts w:ascii="仿宋_GB2312" w:hAnsi="仿宋_GB2312" w:cs="仿宋_GB2312" w:eastAsia="仿宋_GB2312"/>
                    </w:rPr>
                    <w:t>最大允许进气压力</w:t>
                  </w:r>
                </w:p>
              </w:tc>
              <w:tc>
                <w:tcPr>
                  <w:tcW w:type="dxa" w:w="851"/>
                </w:tcPr>
                <w:p>
                  <w:pPr>
                    <w:pStyle w:val="null3"/>
                  </w:pPr>
                  <w:r>
                    <w:rPr>
                      <w:rFonts w:ascii="仿宋_GB2312" w:hAnsi="仿宋_GB2312" w:cs="仿宋_GB2312" w:eastAsia="仿宋_GB2312"/>
                    </w:rPr>
                    <w:t>6.1kPa</w:t>
                  </w:r>
                </w:p>
              </w:tc>
            </w:tr>
            <w:tr>
              <w:tc>
                <w:tcPr>
                  <w:tcW w:type="dxa" w:w="851"/>
                  <w:vMerge/>
                </w:tcPr>
                <w:p/>
              </w:tc>
              <w:tc>
                <w:tcPr>
                  <w:tcW w:type="dxa" w:w="1702"/>
                  <w:gridSpan w:val="2"/>
                </w:tcPr>
                <w:p>
                  <w:pPr>
                    <w:pStyle w:val="null3"/>
                  </w:pPr>
                  <w:r>
                    <w:rPr>
                      <w:rFonts w:ascii="仿宋_GB2312" w:hAnsi="仿宋_GB2312" w:cs="仿宋_GB2312" w:eastAsia="仿宋_GB2312"/>
                    </w:rPr>
                    <w:t>排气系统</w:t>
                  </w:r>
                </w:p>
              </w:tc>
            </w:tr>
            <w:tr>
              <w:tc>
                <w:tcPr>
                  <w:tcW w:type="dxa" w:w="851"/>
                  <w:vMerge/>
                </w:tcPr>
                <w:p/>
              </w:tc>
              <w:tc>
                <w:tcPr>
                  <w:tcW w:type="dxa" w:w="851"/>
                </w:tcPr>
                <w:p>
                  <w:pPr>
                    <w:pStyle w:val="null3"/>
                  </w:pPr>
                  <w:r>
                    <w:rPr>
                      <w:rFonts w:ascii="仿宋_GB2312" w:hAnsi="仿宋_GB2312" w:cs="仿宋_GB2312" w:eastAsia="仿宋_GB2312"/>
                    </w:rPr>
                    <w:t>排烟温度</w:t>
                  </w:r>
                </w:p>
              </w:tc>
              <w:tc>
                <w:tcPr>
                  <w:tcW w:type="dxa" w:w="851"/>
                </w:tcPr>
                <w:p>
                  <w:pPr>
                    <w:pStyle w:val="null3"/>
                  </w:pPr>
                  <w:r>
                    <w:rPr>
                      <w:rFonts w:ascii="仿宋_GB2312" w:hAnsi="仿宋_GB2312" w:cs="仿宋_GB2312" w:eastAsia="仿宋_GB2312"/>
                    </w:rPr>
                    <w:t>≤650℃</w:t>
                  </w:r>
                </w:p>
              </w:tc>
            </w:tr>
            <w:tr>
              <w:tc>
                <w:tcPr>
                  <w:tcW w:type="dxa" w:w="851"/>
                  <w:vMerge/>
                </w:tcPr>
                <w:p/>
              </w:tc>
              <w:tc>
                <w:tcPr>
                  <w:tcW w:type="dxa" w:w="851"/>
                </w:tcPr>
                <w:p>
                  <w:pPr>
                    <w:pStyle w:val="null3"/>
                  </w:pPr>
                  <w:r>
                    <w:rPr>
                      <w:rFonts w:ascii="仿宋_GB2312" w:hAnsi="仿宋_GB2312" w:cs="仿宋_GB2312" w:eastAsia="仿宋_GB2312"/>
                    </w:rPr>
                    <w:t>最大允许排气背压</w:t>
                  </w:r>
                </w:p>
              </w:tc>
              <w:tc>
                <w:tcPr>
                  <w:tcW w:type="dxa" w:w="851"/>
                </w:tcPr>
                <w:p>
                  <w:pPr>
                    <w:pStyle w:val="null3"/>
                  </w:pPr>
                  <w:r>
                    <w:rPr>
                      <w:rFonts w:ascii="仿宋_GB2312" w:hAnsi="仿宋_GB2312" w:cs="仿宋_GB2312" w:eastAsia="仿宋_GB2312"/>
                    </w:rPr>
                    <w:t>6kPa</w:t>
                  </w:r>
                </w:p>
              </w:tc>
            </w:tr>
            <w:tr>
              <w:tc>
                <w:tcPr>
                  <w:tcW w:type="dxa" w:w="851"/>
                  <w:vMerge/>
                </w:tcPr>
                <w:p/>
              </w:tc>
              <w:tc>
                <w:tcPr>
                  <w:tcW w:type="dxa" w:w="851"/>
                </w:tcPr>
                <w:p>
                  <w:pPr>
                    <w:pStyle w:val="null3"/>
                  </w:pPr>
                  <w:r>
                    <w:rPr>
                      <w:rFonts w:ascii="仿宋_GB2312" w:hAnsi="仿宋_GB2312" w:cs="仿宋_GB2312" w:eastAsia="仿宋_GB2312"/>
                    </w:rPr>
                    <w:t>燃油系统</w:t>
                  </w:r>
                </w:p>
              </w:tc>
              <w:tc>
                <w:tcPr>
                  <w:tcW w:type="dxa" w:w="851"/>
                </w:tcPr>
                <w:p>
                  <w:pPr>
                    <w:pStyle w:val="null3"/>
                  </w:pPr>
                  <w:r>
                    <w:rPr>
                      <w:rFonts w:ascii="仿宋_GB2312" w:hAnsi="仿宋_GB2312" w:cs="仿宋_GB2312" w:eastAsia="仿宋_GB2312"/>
                    </w:rPr>
                    <w:t>直喷式</w:t>
                  </w:r>
                </w:p>
              </w:tc>
            </w:tr>
            <w:tr>
              <w:tc>
                <w:tcPr>
                  <w:tcW w:type="dxa" w:w="851"/>
                  <w:vMerge/>
                </w:tcPr>
                <w:p/>
              </w:tc>
              <w:tc>
                <w:tcPr>
                  <w:tcW w:type="dxa" w:w="851"/>
                </w:tcPr>
                <w:p>
                  <w:pPr>
                    <w:pStyle w:val="null3"/>
                  </w:pPr>
                  <w:r>
                    <w:rPr>
                      <w:rFonts w:ascii="仿宋_GB2312" w:hAnsi="仿宋_GB2312" w:cs="仿宋_GB2312" w:eastAsia="仿宋_GB2312"/>
                    </w:rPr>
                    <w:t>100%（主用功率）负载</w:t>
                  </w:r>
                </w:p>
              </w:tc>
              <w:tc>
                <w:tcPr>
                  <w:tcW w:type="dxa" w:w="851"/>
                </w:tcPr>
                <w:p>
                  <w:pPr>
                    <w:pStyle w:val="null3"/>
                  </w:pPr>
                  <w:r>
                    <w:rPr>
                      <w:rFonts w:ascii="仿宋_GB2312" w:hAnsi="仿宋_GB2312" w:cs="仿宋_GB2312" w:eastAsia="仿宋_GB2312"/>
                    </w:rPr>
                    <w:t>＜200g/kWh</w:t>
                  </w:r>
                </w:p>
              </w:tc>
            </w:tr>
            <w:tr>
              <w:tc>
                <w:tcPr>
                  <w:tcW w:type="dxa" w:w="851"/>
                  <w:vMerge/>
                </w:tcPr>
                <w:p/>
              </w:tc>
              <w:tc>
                <w:tcPr>
                  <w:tcW w:type="dxa" w:w="851"/>
                </w:tcPr>
                <w:p>
                  <w:pPr>
                    <w:pStyle w:val="null3"/>
                  </w:pPr>
                  <w:r>
                    <w:rPr>
                      <w:rFonts w:ascii="仿宋_GB2312" w:hAnsi="仿宋_GB2312" w:cs="仿宋_GB2312" w:eastAsia="仿宋_GB2312"/>
                    </w:rPr>
                    <w:t>50%（主用功率）负载</w:t>
                  </w:r>
                </w:p>
              </w:tc>
              <w:tc>
                <w:tcPr>
                  <w:tcW w:type="dxa" w:w="851"/>
                </w:tcPr>
                <w:p>
                  <w:pPr>
                    <w:pStyle w:val="null3"/>
                  </w:pPr>
                  <w:r>
                    <w:rPr>
                      <w:rFonts w:ascii="仿宋_GB2312" w:hAnsi="仿宋_GB2312" w:cs="仿宋_GB2312" w:eastAsia="仿宋_GB2312"/>
                    </w:rPr>
                    <w:t>＜215g/kWh</w:t>
                  </w:r>
                </w:p>
              </w:tc>
            </w:tr>
            <w:tr>
              <w:tc>
                <w:tcPr>
                  <w:tcW w:type="dxa" w:w="851"/>
                  <w:vMerge/>
                </w:tcPr>
                <w:p/>
              </w:tc>
              <w:tc>
                <w:tcPr>
                  <w:tcW w:type="dxa" w:w="1702"/>
                  <w:gridSpan w:val="2"/>
                </w:tcPr>
                <w:p>
                  <w:pPr>
                    <w:pStyle w:val="null3"/>
                  </w:pPr>
                  <w:r>
                    <w:rPr>
                      <w:rFonts w:ascii="仿宋_GB2312" w:hAnsi="仿宋_GB2312" w:cs="仿宋_GB2312" w:eastAsia="仿宋_GB2312"/>
                    </w:rPr>
                    <w:t>润滑系统</w:t>
                  </w:r>
                </w:p>
              </w:tc>
            </w:tr>
            <w:tr>
              <w:tc>
                <w:tcPr>
                  <w:tcW w:type="dxa" w:w="851"/>
                  <w:vMerge/>
                </w:tcPr>
                <w:p/>
              </w:tc>
              <w:tc>
                <w:tcPr>
                  <w:tcW w:type="dxa" w:w="851"/>
                </w:tcPr>
                <w:p>
                  <w:pPr>
                    <w:pStyle w:val="null3"/>
                  </w:pPr>
                  <w:r>
                    <w:rPr>
                      <w:rFonts w:ascii="仿宋_GB2312" w:hAnsi="仿宋_GB2312" w:cs="仿宋_GB2312" w:eastAsia="仿宋_GB2312"/>
                    </w:rPr>
                    <w:t>机油容量</w:t>
                  </w:r>
                </w:p>
              </w:tc>
              <w:tc>
                <w:tcPr>
                  <w:tcW w:type="dxa" w:w="851"/>
                </w:tcPr>
                <w:p>
                  <w:pPr>
                    <w:pStyle w:val="null3"/>
                  </w:pPr>
                  <w:r>
                    <w:rPr>
                      <w:rFonts w:ascii="仿宋_GB2312" w:hAnsi="仿宋_GB2312" w:cs="仿宋_GB2312" w:eastAsia="仿宋_GB2312"/>
                    </w:rPr>
                    <w:t>7L</w:t>
                  </w:r>
                </w:p>
              </w:tc>
            </w:tr>
            <w:tr>
              <w:tc>
                <w:tcPr>
                  <w:tcW w:type="dxa" w:w="851"/>
                  <w:vMerge/>
                </w:tcPr>
                <w:p/>
              </w:tc>
              <w:tc>
                <w:tcPr>
                  <w:tcW w:type="dxa" w:w="851"/>
                </w:tcPr>
                <w:p>
                  <w:pPr>
                    <w:pStyle w:val="null3"/>
                  </w:pPr>
                  <w:r>
                    <w:rPr>
                      <w:rFonts w:ascii="仿宋_GB2312" w:hAnsi="仿宋_GB2312" w:cs="仿宋_GB2312" w:eastAsia="仿宋_GB2312"/>
                    </w:rPr>
                    <w:t>机油消耗量</w:t>
                  </w:r>
                </w:p>
              </w:tc>
              <w:tc>
                <w:tcPr>
                  <w:tcW w:type="dxa" w:w="851"/>
                </w:tcPr>
                <w:p>
                  <w:pPr>
                    <w:pStyle w:val="null3"/>
                  </w:pPr>
                  <w:r>
                    <w:rPr>
                      <w:rFonts w:ascii="仿宋_GB2312" w:hAnsi="仿宋_GB2312" w:cs="仿宋_GB2312" w:eastAsia="仿宋_GB2312"/>
                    </w:rPr>
                    <w:t>≤1.5g/kWh</w:t>
                  </w:r>
                </w:p>
              </w:tc>
            </w:tr>
            <w:tr>
              <w:tc>
                <w:tcPr>
                  <w:tcW w:type="dxa" w:w="851"/>
                  <w:vMerge/>
                </w:tcPr>
                <w:p/>
              </w:tc>
              <w:tc>
                <w:tcPr>
                  <w:tcW w:type="dxa" w:w="851"/>
                </w:tcPr>
                <w:p>
                  <w:pPr>
                    <w:pStyle w:val="null3"/>
                  </w:pPr>
                  <w:r>
                    <w:rPr>
                      <w:rFonts w:ascii="仿宋_GB2312" w:hAnsi="仿宋_GB2312" w:cs="仿宋_GB2312" w:eastAsia="仿宋_GB2312"/>
                    </w:rPr>
                    <w:t>额定转速油压</w:t>
                  </w:r>
                </w:p>
              </w:tc>
              <w:tc>
                <w:tcPr>
                  <w:tcW w:type="dxa" w:w="851"/>
                </w:tcPr>
                <w:p>
                  <w:pPr>
                    <w:pStyle w:val="null3"/>
                  </w:pPr>
                  <w:r>
                    <w:rPr>
                      <w:rFonts w:ascii="仿宋_GB2312" w:hAnsi="仿宋_GB2312" w:cs="仿宋_GB2312" w:eastAsia="仿宋_GB2312"/>
                    </w:rPr>
                    <w:t>345-483kPa</w:t>
                  </w:r>
                </w:p>
              </w:tc>
            </w:tr>
            <w:tr>
              <w:tc>
                <w:tcPr>
                  <w:tcW w:type="dxa" w:w="851"/>
                  <w:vMerge/>
                </w:tcPr>
                <w:p/>
              </w:tc>
              <w:tc>
                <w:tcPr>
                  <w:tcW w:type="dxa" w:w="1702"/>
                  <w:gridSpan w:val="2"/>
                </w:tcPr>
                <w:p>
                  <w:pPr>
                    <w:pStyle w:val="null3"/>
                  </w:pPr>
                  <w:r>
                    <w:rPr>
                      <w:rFonts w:ascii="仿宋_GB2312" w:hAnsi="仿宋_GB2312" w:cs="仿宋_GB2312" w:eastAsia="仿宋_GB2312"/>
                    </w:rPr>
                    <w:t>冷却系统</w:t>
                  </w:r>
                </w:p>
              </w:tc>
            </w:tr>
            <w:tr>
              <w:tc>
                <w:tcPr>
                  <w:tcW w:type="dxa" w:w="851"/>
                  <w:vMerge/>
                </w:tcPr>
                <w:p/>
              </w:tc>
              <w:tc>
                <w:tcPr>
                  <w:tcW w:type="dxa" w:w="851"/>
                </w:tcPr>
                <w:p>
                  <w:pPr>
                    <w:pStyle w:val="null3"/>
                  </w:pPr>
                  <w:r>
                    <w:rPr>
                      <w:rFonts w:ascii="仿宋_GB2312" w:hAnsi="仿宋_GB2312" w:cs="仿宋_GB2312" w:eastAsia="仿宋_GB2312"/>
                    </w:rPr>
                    <w:t>冷却方式</w:t>
                  </w:r>
                </w:p>
              </w:tc>
              <w:tc>
                <w:tcPr>
                  <w:tcW w:type="dxa" w:w="851"/>
                </w:tcPr>
                <w:p>
                  <w:pPr>
                    <w:pStyle w:val="null3"/>
                  </w:pPr>
                  <w:r>
                    <w:rPr>
                      <w:rFonts w:ascii="仿宋_GB2312" w:hAnsi="仿宋_GB2312" w:cs="仿宋_GB2312" w:eastAsia="仿宋_GB2312"/>
                    </w:rPr>
                    <w:t>水冷</w:t>
                  </w:r>
                </w:p>
              </w:tc>
            </w:tr>
            <w:tr>
              <w:tc>
                <w:tcPr>
                  <w:tcW w:type="dxa" w:w="851"/>
                  <w:vMerge/>
                </w:tcPr>
                <w:p/>
              </w:tc>
              <w:tc>
                <w:tcPr>
                  <w:tcW w:type="dxa" w:w="851"/>
                </w:tcPr>
                <w:p>
                  <w:pPr>
                    <w:pStyle w:val="null3"/>
                  </w:pPr>
                  <w:r>
                    <w:rPr>
                      <w:rFonts w:ascii="仿宋_GB2312" w:hAnsi="仿宋_GB2312" w:cs="仿宋_GB2312" w:eastAsia="仿宋_GB2312"/>
                    </w:rPr>
                    <w:t>冷却液总容量</w:t>
                  </w:r>
                </w:p>
              </w:tc>
              <w:tc>
                <w:tcPr>
                  <w:tcW w:type="dxa" w:w="851"/>
                </w:tcPr>
                <w:p>
                  <w:pPr>
                    <w:pStyle w:val="null3"/>
                  </w:pPr>
                  <w:r>
                    <w:rPr>
                      <w:rFonts w:ascii="仿宋_GB2312" w:hAnsi="仿宋_GB2312" w:cs="仿宋_GB2312" w:eastAsia="仿宋_GB2312"/>
                    </w:rPr>
                    <w:t>15L</w:t>
                  </w:r>
                </w:p>
              </w:tc>
            </w:tr>
            <w:tr>
              <w:tc>
                <w:tcPr>
                  <w:tcW w:type="dxa" w:w="851"/>
                  <w:vMerge/>
                </w:tcPr>
                <w:p/>
              </w:tc>
              <w:tc>
                <w:tcPr>
                  <w:tcW w:type="dxa" w:w="851"/>
                </w:tcPr>
                <w:p>
                  <w:pPr>
                    <w:pStyle w:val="null3"/>
                  </w:pPr>
                  <w:r>
                    <w:rPr>
                      <w:rFonts w:ascii="仿宋_GB2312" w:hAnsi="仿宋_GB2312" w:cs="仿宋_GB2312" w:eastAsia="仿宋_GB2312"/>
                    </w:rPr>
                    <w:t>节温器打开温度</w:t>
                  </w:r>
                </w:p>
              </w:tc>
              <w:tc>
                <w:tcPr>
                  <w:tcW w:type="dxa" w:w="851"/>
                </w:tcPr>
                <w:p>
                  <w:pPr>
                    <w:pStyle w:val="null3"/>
                  </w:pPr>
                  <w:r>
                    <w:rPr>
                      <w:rFonts w:ascii="仿宋_GB2312" w:hAnsi="仿宋_GB2312" w:cs="仿宋_GB2312" w:eastAsia="仿宋_GB2312"/>
                    </w:rPr>
                    <w:t>82-95℃</w:t>
                  </w:r>
                </w:p>
              </w:tc>
            </w:tr>
            <w:tr>
              <w:tc>
                <w:tcPr>
                  <w:tcW w:type="dxa" w:w="851"/>
                  <w:vMerge/>
                </w:tcPr>
                <w:p/>
              </w:tc>
              <w:tc>
                <w:tcPr>
                  <w:tcW w:type="dxa" w:w="851"/>
                </w:tcPr>
                <w:p>
                  <w:pPr>
                    <w:pStyle w:val="null3"/>
                  </w:pPr>
                  <w:r>
                    <w:rPr>
                      <w:rFonts w:ascii="仿宋_GB2312" w:hAnsi="仿宋_GB2312" w:cs="仿宋_GB2312" w:eastAsia="仿宋_GB2312"/>
                    </w:rPr>
                    <w:t>最高水温</w:t>
                  </w:r>
                </w:p>
              </w:tc>
              <w:tc>
                <w:tcPr>
                  <w:tcW w:type="dxa" w:w="851"/>
                </w:tcPr>
                <w:p>
                  <w:pPr>
                    <w:pStyle w:val="null3"/>
                  </w:pPr>
                  <w:r>
                    <w:rPr>
                      <w:rFonts w:ascii="仿宋_GB2312" w:hAnsi="仿宋_GB2312" w:cs="仿宋_GB2312" w:eastAsia="仿宋_GB2312"/>
                    </w:rPr>
                    <w:t>95℃</w:t>
                  </w:r>
                </w:p>
              </w:tc>
            </w:tr>
            <w:tr>
              <w:tc>
                <w:tcPr>
                  <w:tcW w:type="dxa" w:w="851"/>
                  <w:vMerge w:val="restart"/>
                </w:tcPr>
                <w:p>
                  <w:pPr>
                    <w:pStyle w:val="null3"/>
                  </w:pPr>
                  <w:r>
                    <w:rPr>
                      <w:rFonts w:ascii="仿宋_GB2312" w:hAnsi="仿宋_GB2312" w:cs="仿宋_GB2312" w:eastAsia="仿宋_GB2312"/>
                    </w:rPr>
                    <w:t>发电机参数</w:t>
                  </w:r>
                </w:p>
              </w:tc>
              <w:tc>
                <w:tcPr>
                  <w:tcW w:type="dxa" w:w="851"/>
                </w:tcPr>
                <w:p>
                  <w:pPr>
                    <w:pStyle w:val="null3"/>
                  </w:pPr>
                  <w:r>
                    <w:rPr>
                      <w:rFonts w:ascii="仿宋_GB2312" w:hAnsi="仿宋_GB2312" w:cs="仿宋_GB2312" w:eastAsia="仿宋_GB2312"/>
                    </w:rPr>
                    <w:t>相数</w:t>
                  </w:r>
                </w:p>
              </w:tc>
              <w:tc>
                <w:tcPr>
                  <w:tcW w:type="dxa" w:w="851"/>
                </w:tcPr>
                <w:p>
                  <w:pPr>
                    <w:pStyle w:val="null3"/>
                  </w:pPr>
                  <w:r>
                    <w:rPr>
                      <w:rFonts w:ascii="仿宋_GB2312" w:hAnsi="仿宋_GB2312" w:cs="仿宋_GB2312" w:eastAsia="仿宋_GB2312"/>
                    </w:rPr>
                    <w:t>三相四线</w:t>
                  </w:r>
                </w:p>
              </w:tc>
            </w:tr>
            <w:tr>
              <w:tc>
                <w:tcPr>
                  <w:tcW w:type="dxa" w:w="851"/>
                  <w:vMerge/>
                </w:tcPr>
                <w:p/>
              </w:tc>
              <w:tc>
                <w:tcPr>
                  <w:tcW w:type="dxa" w:w="851"/>
                </w:tcPr>
                <w:p>
                  <w:pPr>
                    <w:pStyle w:val="null3"/>
                  </w:pPr>
                  <w:r>
                    <w:rPr>
                      <w:rFonts w:ascii="仿宋_GB2312" w:hAnsi="仿宋_GB2312" w:cs="仿宋_GB2312" w:eastAsia="仿宋_GB2312"/>
                    </w:rPr>
                    <w:t>接线方式</w:t>
                  </w:r>
                </w:p>
              </w:tc>
              <w:tc>
                <w:tcPr>
                  <w:tcW w:type="dxa" w:w="851"/>
                </w:tcPr>
                <w:p>
                  <w:pPr>
                    <w:pStyle w:val="null3"/>
                  </w:pPr>
                  <w:r>
                    <w:rPr>
                      <w:rFonts w:ascii="仿宋_GB2312" w:hAnsi="仿宋_GB2312" w:cs="仿宋_GB2312" w:eastAsia="仿宋_GB2312"/>
                    </w:rPr>
                    <w:t>“Y”型绕接</w:t>
                  </w:r>
                </w:p>
              </w:tc>
            </w:tr>
            <w:tr>
              <w:tc>
                <w:tcPr>
                  <w:tcW w:type="dxa" w:w="851"/>
                  <w:vMerge/>
                </w:tcPr>
                <w:p/>
              </w:tc>
              <w:tc>
                <w:tcPr>
                  <w:tcW w:type="dxa" w:w="851"/>
                </w:tcPr>
                <w:p>
                  <w:pPr>
                    <w:pStyle w:val="null3"/>
                  </w:pPr>
                  <w:r>
                    <w:rPr>
                      <w:rFonts w:ascii="仿宋_GB2312" w:hAnsi="仿宋_GB2312" w:cs="仿宋_GB2312" w:eastAsia="仿宋_GB2312"/>
                    </w:rPr>
                    <w:t>发电机容量 (kW/KVA)</w:t>
                  </w:r>
                </w:p>
              </w:tc>
              <w:tc>
                <w:tcPr>
                  <w:tcW w:type="dxa" w:w="851"/>
                </w:tcPr>
                <w:p>
                  <w:pPr>
                    <w:pStyle w:val="null3"/>
                  </w:pPr>
                  <w:r>
                    <w:rPr>
                      <w:rFonts w:ascii="仿宋_GB2312" w:hAnsi="仿宋_GB2312" w:cs="仿宋_GB2312" w:eastAsia="仿宋_GB2312"/>
                    </w:rPr>
                    <w:t>20kW/25KVA</w:t>
                  </w:r>
                </w:p>
              </w:tc>
            </w:tr>
            <w:tr>
              <w:tc>
                <w:tcPr>
                  <w:tcW w:type="dxa" w:w="851"/>
                  <w:vMerge/>
                </w:tcPr>
                <w:p/>
              </w:tc>
              <w:tc>
                <w:tcPr>
                  <w:tcW w:type="dxa" w:w="851"/>
                </w:tcPr>
                <w:p>
                  <w:pPr>
                    <w:pStyle w:val="null3"/>
                  </w:pPr>
                  <w:r>
                    <w:rPr>
                      <w:rFonts w:ascii="仿宋_GB2312" w:hAnsi="仿宋_GB2312" w:cs="仿宋_GB2312" w:eastAsia="仿宋_GB2312"/>
                    </w:rPr>
                    <w:t>发电机效率</w:t>
                  </w:r>
                </w:p>
              </w:tc>
              <w:tc>
                <w:tcPr>
                  <w:tcW w:type="dxa" w:w="851"/>
                </w:tcPr>
                <w:p>
                  <w:pPr>
                    <w:pStyle w:val="null3"/>
                  </w:pPr>
                  <w:r>
                    <w:rPr>
                      <w:rFonts w:ascii="仿宋_GB2312" w:hAnsi="仿宋_GB2312" w:cs="仿宋_GB2312" w:eastAsia="仿宋_GB2312"/>
                    </w:rPr>
                    <w:t>95%</w:t>
                  </w:r>
                </w:p>
              </w:tc>
            </w:tr>
            <w:tr>
              <w:tc>
                <w:tcPr>
                  <w:tcW w:type="dxa" w:w="851"/>
                  <w:vMerge/>
                </w:tcPr>
                <w:p/>
              </w:tc>
              <w:tc>
                <w:tcPr>
                  <w:tcW w:type="dxa" w:w="851"/>
                </w:tcPr>
                <w:p>
                  <w:pPr>
                    <w:pStyle w:val="null3"/>
                  </w:pPr>
                  <w:r>
                    <w:rPr>
                      <w:rFonts w:ascii="仿宋_GB2312" w:hAnsi="仿宋_GB2312" w:cs="仿宋_GB2312" w:eastAsia="仿宋_GB2312"/>
                    </w:rPr>
                    <w:t>过载能力</w:t>
                  </w:r>
                </w:p>
              </w:tc>
              <w:tc>
                <w:tcPr>
                  <w:tcW w:type="dxa" w:w="851"/>
                </w:tcPr>
                <w:p>
                  <w:pPr>
                    <w:pStyle w:val="null3"/>
                  </w:pPr>
                  <w:r>
                    <w:rPr>
                      <w:rFonts w:ascii="仿宋_GB2312" w:hAnsi="仿宋_GB2312" w:cs="仿宋_GB2312" w:eastAsia="仿宋_GB2312"/>
                    </w:rPr>
                    <w:t>可过载 10%运行 1h/2h</w:t>
                  </w:r>
                </w:p>
              </w:tc>
            </w:tr>
            <w:tr>
              <w:tc>
                <w:tcPr>
                  <w:tcW w:type="dxa" w:w="851"/>
                  <w:vMerge/>
                </w:tcPr>
                <w:p/>
              </w:tc>
              <w:tc>
                <w:tcPr>
                  <w:tcW w:type="dxa" w:w="851"/>
                </w:tcPr>
                <w:p>
                  <w:pPr>
                    <w:pStyle w:val="null3"/>
                  </w:pPr>
                  <w:r>
                    <w:rPr>
                      <w:rFonts w:ascii="仿宋_GB2312" w:hAnsi="仿宋_GB2312" w:cs="仿宋_GB2312" w:eastAsia="仿宋_GB2312"/>
                    </w:rPr>
                    <w:t>防护等级</w:t>
                  </w:r>
                </w:p>
              </w:tc>
              <w:tc>
                <w:tcPr>
                  <w:tcW w:type="dxa" w:w="851"/>
                </w:tcPr>
                <w:p>
                  <w:pPr>
                    <w:pStyle w:val="null3"/>
                  </w:pPr>
                  <w:r>
                    <w:rPr>
                      <w:rFonts w:ascii="仿宋_GB2312" w:hAnsi="仿宋_GB2312" w:cs="仿宋_GB2312" w:eastAsia="仿宋_GB2312"/>
                    </w:rPr>
                    <w:t>IP21-IP23</w:t>
                  </w:r>
                </w:p>
              </w:tc>
            </w:tr>
            <w:tr>
              <w:tc>
                <w:tcPr>
                  <w:tcW w:type="dxa" w:w="851"/>
                  <w:vMerge/>
                </w:tcPr>
                <w:p/>
              </w:tc>
              <w:tc>
                <w:tcPr>
                  <w:tcW w:type="dxa" w:w="851"/>
                </w:tcPr>
                <w:p>
                  <w:pPr>
                    <w:pStyle w:val="null3"/>
                  </w:pPr>
                  <w:r>
                    <w:rPr>
                      <w:rFonts w:ascii="仿宋_GB2312" w:hAnsi="仿宋_GB2312" w:cs="仿宋_GB2312" w:eastAsia="仿宋_GB2312"/>
                    </w:rPr>
                    <w:t>绝缘等级/温升等级</w:t>
                  </w:r>
                </w:p>
              </w:tc>
              <w:tc>
                <w:tcPr>
                  <w:tcW w:type="dxa" w:w="851"/>
                </w:tcPr>
                <w:p>
                  <w:pPr>
                    <w:pStyle w:val="null3"/>
                  </w:pPr>
                  <w:r>
                    <w:rPr>
                      <w:rFonts w:ascii="仿宋_GB2312" w:hAnsi="仿宋_GB2312" w:cs="仿宋_GB2312" w:eastAsia="仿宋_GB2312"/>
                    </w:rPr>
                    <w:t>H/H</w:t>
                  </w:r>
                </w:p>
              </w:tc>
            </w:tr>
            <w:tr>
              <w:tc>
                <w:tcPr>
                  <w:tcW w:type="dxa" w:w="851"/>
                  <w:vMerge/>
                </w:tcPr>
                <w:p/>
              </w:tc>
              <w:tc>
                <w:tcPr>
                  <w:tcW w:type="dxa" w:w="851"/>
                </w:tcPr>
                <w:p>
                  <w:pPr>
                    <w:pStyle w:val="null3"/>
                  </w:pPr>
                  <w:r>
                    <w:rPr>
                      <w:rFonts w:ascii="仿宋_GB2312" w:hAnsi="仿宋_GB2312" w:cs="仿宋_GB2312" w:eastAsia="仿宋_GB2312"/>
                    </w:rPr>
                    <w:t>电话影响系数THF</w:t>
                  </w:r>
                </w:p>
              </w:tc>
              <w:tc>
                <w:tcPr>
                  <w:tcW w:type="dxa" w:w="851"/>
                </w:tcPr>
                <w:p>
                  <w:pPr>
                    <w:pStyle w:val="null3"/>
                  </w:pPr>
                  <w:r>
                    <w:rPr>
                      <w:rFonts w:ascii="仿宋_GB2312" w:hAnsi="仿宋_GB2312" w:cs="仿宋_GB2312" w:eastAsia="仿宋_GB2312"/>
                    </w:rPr>
                    <w:t>＜50</w:t>
                  </w:r>
                </w:p>
              </w:tc>
            </w:tr>
            <w:tr>
              <w:tc>
                <w:tcPr>
                  <w:tcW w:type="dxa" w:w="851"/>
                  <w:vMerge/>
                </w:tcPr>
                <w:p/>
              </w:tc>
              <w:tc>
                <w:tcPr>
                  <w:tcW w:type="dxa" w:w="851"/>
                </w:tcPr>
                <w:p>
                  <w:pPr>
                    <w:pStyle w:val="null3"/>
                  </w:pPr>
                  <w:r>
                    <w:rPr>
                      <w:rFonts w:ascii="仿宋_GB2312" w:hAnsi="仿宋_GB2312" w:cs="仿宋_GB2312" w:eastAsia="仿宋_GB2312"/>
                    </w:rPr>
                    <w:t>电话谐波系数THF</w:t>
                  </w:r>
                </w:p>
              </w:tc>
              <w:tc>
                <w:tcPr>
                  <w:tcW w:type="dxa" w:w="851"/>
                </w:tcPr>
                <w:p>
                  <w:pPr>
                    <w:pStyle w:val="null3"/>
                  </w:pPr>
                  <w:r>
                    <w:rPr>
                      <w:rFonts w:ascii="仿宋_GB2312" w:hAnsi="仿宋_GB2312" w:cs="仿宋_GB2312" w:eastAsia="仿宋_GB2312"/>
                    </w:rPr>
                    <w:t>＜2%</w:t>
                  </w:r>
                </w:p>
              </w:tc>
            </w:tr>
            <w:tr>
              <w:tc>
                <w:tcPr>
                  <w:tcW w:type="dxa" w:w="851"/>
                  <w:vMerge/>
                </w:tcPr>
                <w:p/>
              </w:tc>
              <w:tc>
                <w:tcPr>
                  <w:tcW w:type="dxa" w:w="851"/>
                </w:tcPr>
                <w:p>
                  <w:pPr>
                    <w:pStyle w:val="null3"/>
                  </w:pPr>
                  <w:r>
                    <w:rPr>
                      <w:rFonts w:ascii="仿宋_GB2312" w:hAnsi="仿宋_GB2312" w:cs="仿宋_GB2312" w:eastAsia="仿宋_GB2312"/>
                    </w:rPr>
                    <w:t>稳定电压调整率：</w:t>
                  </w:r>
                </w:p>
              </w:tc>
              <w:tc>
                <w:tcPr>
                  <w:tcW w:type="dxa" w:w="851"/>
                </w:tcPr>
                <w:p>
                  <w:pPr>
                    <w:pStyle w:val="null3"/>
                  </w:pPr>
                  <w:r>
                    <w:rPr>
                      <w:rFonts w:ascii="仿宋_GB2312" w:hAnsi="仿宋_GB2312" w:cs="仿宋_GB2312" w:eastAsia="仿宋_GB2312"/>
                    </w:rPr>
                    <w:t>≤±1%</w:t>
                  </w:r>
                </w:p>
              </w:tc>
            </w:tr>
            <w:tr>
              <w:tc>
                <w:tcPr>
                  <w:tcW w:type="dxa" w:w="851"/>
                  <w:vMerge/>
                </w:tcPr>
                <w:p/>
              </w:tc>
              <w:tc>
                <w:tcPr>
                  <w:tcW w:type="dxa" w:w="851"/>
                </w:tcPr>
                <w:p>
                  <w:pPr>
                    <w:pStyle w:val="null3"/>
                  </w:pPr>
                  <w:r>
                    <w:rPr>
                      <w:rFonts w:ascii="仿宋_GB2312" w:hAnsi="仿宋_GB2312" w:cs="仿宋_GB2312" w:eastAsia="仿宋_GB2312"/>
                    </w:rPr>
                    <w:t>海拔要求</w:t>
                  </w:r>
                </w:p>
              </w:tc>
              <w:tc>
                <w:tcPr>
                  <w:tcW w:type="dxa" w:w="851"/>
                </w:tcPr>
                <w:p>
                  <w:pPr>
                    <w:pStyle w:val="null3"/>
                  </w:pPr>
                  <w:r>
                    <w:rPr>
                      <w:rFonts w:ascii="仿宋_GB2312" w:hAnsi="仿宋_GB2312" w:cs="仿宋_GB2312" w:eastAsia="仿宋_GB2312"/>
                    </w:rPr>
                    <w:t>≤1000m</w:t>
                  </w:r>
                </w:p>
              </w:tc>
            </w:tr>
            <w:tr>
              <w:tc>
                <w:tcPr>
                  <w:tcW w:type="dxa" w:w="851"/>
                  <w:vMerge w:val="restart"/>
                </w:tcPr>
                <w:p>
                  <w:pPr>
                    <w:pStyle w:val="null3"/>
                  </w:pPr>
                  <w:r>
                    <w:rPr>
                      <w:rFonts w:ascii="仿宋_GB2312" w:hAnsi="仿宋_GB2312" w:cs="仿宋_GB2312" w:eastAsia="仿宋_GB2312"/>
                    </w:rPr>
                    <w:t xml:space="preserve">  机组整体</w:t>
                  </w:r>
                </w:p>
                <w:p>
                  <w:pPr>
                    <w:pStyle w:val="null3"/>
                  </w:pPr>
                  <w:r>
                    <w:rPr>
                      <w:rFonts w:ascii="仿宋_GB2312" w:hAnsi="仿宋_GB2312" w:cs="仿宋_GB2312" w:eastAsia="仿宋_GB2312"/>
                    </w:rPr>
                    <w:t xml:space="preserve">  电气性能</w:t>
                  </w:r>
                </w:p>
              </w:tc>
              <w:tc>
                <w:tcPr>
                  <w:tcW w:type="dxa" w:w="851"/>
                </w:tcPr>
                <w:p>
                  <w:pPr>
                    <w:pStyle w:val="null3"/>
                  </w:pPr>
                  <w:r>
                    <w:rPr>
                      <w:rFonts w:ascii="仿宋_GB2312" w:hAnsi="仿宋_GB2312" w:cs="仿宋_GB2312" w:eastAsia="仿宋_GB2312"/>
                    </w:rPr>
                    <w:t>电压整定范围</w:t>
                  </w:r>
                </w:p>
              </w:tc>
              <w:tc>
                <w:tcPr>
                  <w:tcW w:type="dxa" w:w="851"/>
                </w:tcPr>
                <w:p>
                  <w:pPr>
                    <w:pStyle w:val="null3"/>
                  </w:pPr>
                  <w:r>
                    <w:rPr>
                      <w:rFonts w:ascii="仿宋_GB2312" w:hAnsi="仿宋_GB2312" w:cs="仿宋_GB2312" w:eastAsia="仿宋_GB2312"/>
                    </w:rPr>
                    <w:t>≥±5%</w:t>
                  </w:r>
                </w:p>
              </w:tc>
            </w:tr>
            <w:tr>
              <w:tc>
                <w:tcPr>
                  <w:tcW w:type="dxa" w:w="851"/>
                  <w:vMerge/>
                </w:tcPr>
                <w:p/>
              </w:tc>
              <w:tc>
                <w:tcPr>
                  <w:tcW w:type="dxa" w:w="851"/>
                </w:tcPr>
                <w:p>
                  <w:pPr>
                    <w:pStyle w:val="null3"/>
                  </w:pPr>
                  <w:r>
                    <w:rPr>
                      <w:rFonts w:ascii="仿宋_GB2312" w:hAnsi="仿宋_GB2312" w:cs="仿宋_GB2312" w:eastAsia="仿宋_GB2312"/>
                    </w:rPr>
                    <w:t>稳态电压调整率</w:t>
                  </w:r>
                </w:p>
              </w:tc>
              <w:tc>
                <w:tcPr>
                  <w:tcW w:type="dxa" w:w="851"/>
                </w:tcPr>
                <w:p>
                  <w:pPr>
                    <w:pStyle w:val="null3"/>
                  </w:pPr>
                  <w:r>
                    <w:rPr>
                      <w:rFonts w:ascii="仿宋_GB2312" w:hAnsi="仿宋_GB2312" w:cs="仿宋_GB2312" w:eastAsia="仿宋_GB2312"/>
                    </w:rPr>
                    <w:t>≤±1%</w:t>
                  </w:r>
                </w:p>
              </w:tc>
            </w:tr>
            <w:tr>
              <w:tc>
                <w:tcPr>
                  <w:tcW w:type="dxa" w:w="851"/>
                  <w:vMerge/>
                </w:tcPr>
                <w:p/>
              </w:tc>
              <w:tc>
                <w:tcPr>
                  <w:tcW w:type="dxa" w:w="851"/>
                </w:tcPr>
                <w:p>
                  <w:pPr>
                    <w:pStyle w:val="null3"/>
                  </w:pPr>
                  <w:r>
                    <w:rPr>
                      <w:rFonts w:ascii="仿宋_GB2312" w:hAnsi="仿宋_GB2312" w:cs="仿宋_GB2312" w:eastAsia="仿宋_GB2312"/>
                    </w:rPr>
                    <w:t>瞬态电压偏差（100%突减功率）</w:t>
                  </w:r>
                </w:p>
              </w:tc>
              <w:tc>
                <w:tcPr>
                  <w:tcW w:type="dxa" w:w="851"/>
                </w:tcPr>
                <w:p>
                  <w:pPr>
                    <w:pStyle w:val="null3"/>
                  </w:pPr>
                  <w:r>
                    <w:rPr>
                      <w:rFonts w:ascii="仿宋_GB2312" w:hAnsi="仿宋_GB2312" w:cs="仿宋_GB2312" w:eastAsia="仿宋_GB2312"/>
                    </w:rPr>
                    <w:t>≤+25%</w:t>
                  </w:r>
                </w:p>
              </w:tc>
            </w:tr>
            <w:tr>
              <w:tc>
                <w:tcPr>
                  <w:tcW w:type="dxa" w:w="851"/>
                  <w:vMerge/>
                </w:tcPr>
                <w:p/>
              </w:tc>
              <w:tc>
                <w:tcPr>
                  <w:tcW w:type="dxa" w:w="851"/>
                </w:tcPr>
                <w:p>
                  <w:pPr>
                    <w:pStyle w:val="null3"/>
                  </w:pPr>
                  <w:r>
                    <w:rPr>
                      <w:rFonts w:ascii="仿宋_GB2312" w:hAnsi="仿宋_GB2312" w:cs="仿宋_GB2312" w:eastAsia="仿宋_GB2312"/>
                    </w:rPr>
                    <w:t>瞬态电压偏差（突加功率）</w:t>
                  </w:r>
                </w:p>
              </w:tc>
              <w:tc>
                <w:tcPr>
                  <w:tcW w:type="dxa" w:w="851"/>
                </w:tcPr>
                <w:p>
                  <w:pPr>
                    <w:pStyle w:val="null3"/>
                  </w:pPr>
                  <w:r>
                    <w:rPr>
                      <w:rFonts w:ascii="仿宋_GB2312" w:hAnsi="仿宋_GB2312" w:cs="仿宋_GB2312" w:eastAsia="仿宋_GB2312"/>
                    </w:rPr>
                    <w:t>≤-20%</w:t>
                  </w:r>
                </w:p>
              </w:tc>
            </w:tr>
            <w:tr>
              <w:tc>
                <w:tcPr>
                  <w:tcW w:type="dxa" w:w="851"/>
                  <w:vMerge/>
                </w:tcPr>
                <w:p/>
              </w:tc>
              <w:tc>
                <w:tcPr>
                  <w:tcW w:type="dxa" w:w="851"/>
                </w:tcPr>
                <w:p>
                  <w:pPr>
                    <w:pStyle w:val="null3"/>
                  </w:pPr>
                  <w:r>
                    <w:rPr>
                      <w:rFonts w:ascii="仿宋_GB2312" w:hAnsi="仿宋_GB2312" w:cs="仿宋_GB2312" w:eastAsia="仿宋_GB2312"/>
                    </w:rPr>
                    <w:t>电压稳定时间（100%突减功率）</w:t>
                  </w:r>
                </w:p>
              </w:tc>
              <w:tc>
                <w:tcPr>
                  <w:tcW w:type="dxa" w:w="851"/>
                </w:tcPr>
                <w:p>
                  <w:pPr>
                    <w:pStyle w:val="null3"/>
                  </w:pPr>
                  <w:r>
                    <w:rPr>
                      <w:rFonts w:ascii="仿宋_GB2312" w:hAnsi="仿宋_GB2312" w:cs="仿宋_GB2312" w:eastAsia="仿宋_GB2312"/>
                    </w:rPr>
                    <w:t>≤6S</w:t>
                  </w:r>
                </w:p>
              </w:tc>
            </w:tr>
            <w:tr>
              <w:tc>
                <w:tcPr>
                  <w:tcW w:type="dxa" w:w="851"/>
                  <w:vMerge/>
                </w:tcPr>
                <w:p/>
              </w:tc>
              <w:tc>
                <w:tcPr>
                  <w:tcW w:type="dxa" w:w="851"/>
                </w:tcPr>
                <w:p>
                  <w:pPr>
                    <w:pStyle w:val="null3"/>
                  </w:pPr>
                  <w:r>
                    <w:rPr>
                      <w:rFonts w:ascii="仿宋_GB2312" w:hAnsi="仿宋_GB2312" w:cs="仿宋_GB2312" w:eastAsia="仿宋_GB2312"/>
                    </w:rPr>
                    <w:t>电压稳定时间（突加功率）</w:t>
                  </w:r>
                </w:p>
              </w:tc>
              <w:tc>
                <w:tcPr>
                  <w:tcW w:type="dxa" w:w="851"/>
                </w:tcPr>
                <w:p>
                  <w:pPr>
                    <w:pStyle w:val="null3"/>
                  </w:pPr>
                  <w:r>
                    <w:rPr>
                      <w:rFonts w:ascii="仿宋_GB2312" w:hAnsi="仿宋_GB2312" w:cs="仿宋_GB2312" w:eastAsia="仿宋_GB2312"/>
                    </w:rPr>
                    <w:t>≤6S</w:t>
                  </w:r>
                </w:p>
              </w:tc>
            </w:tr>
            <w:tr>
              <w:tc>
                <w:tcPr>
                  <w:tcW w:type="dxa" w:w="851"/>
                  <w:vMerge/>
                </w:tcPr>
                <w:p/>
              </w:tc>
              <w:tc>
                <w:tcPr>
                  <w:tcW w:type="dxa" w:w="851"/>
                </w:tcPr>
                <w:p>
                  <w:pPr>
                    <w:pStyle w:val="null3"/>
                  </w:pPr>
                  <w:r>
                    <w:rPr>
                      <w:rFonts w:ascii="仿宋_GB2312" w:hAnsi="仿宋_GB2312" w:cs="仿宋_GB2312" w:eastAsia="仿宋_GB2312"/>
                    </w:rPr>
                    <w:t>稳态频率调整率</w:t>
                  </w:r>
                </w:p>
              </w:tc>
              <w:tc>
                <w:tcPr>
                  <w:tcW w:type="dxa" w:w="851"/>
                </w:tcPr>
                <w:p>
                  <w:pPr>
                    <w:pStyle w:val="null3"/>
                  </w:pPr>
                  <w:r>
                    <w:rPr>
                      <w:rFonts w:ascii="仿宋_GB2312" w:hAnsi="仿宋_GB2312" w:cs="仿宋_GB2312" w:eastAsia="仿宋_GB2312"/>
                    </w:rPr>
                    <w:t>≤5%</w:t>
                  </w:r>
                </w:p>
              </w:tc>
            </w:tr>
            <w:tr>
              <w:tc>
                <w:tcPr>
                  <w:tcW w:type="dxa" w:w="851"/>
                  <w:vMerge/>
                </w:tcPr>
                <w:p/>
              </w:tc>
              <w:tc>
                <w:tcPr>
                  <w:tcW w:type="dxa" w:w="851"/>
                </w:tcPr>
                <w:p>
                  <w:pPr>
                    <w:pStyle w:val="null3"/>
                  </w:pPr>
                  <w:r>
                    <w:rPr>
                      <w:rFonts w:ascii="仿宋_GB2312" w:hAnsi="仿宋_GB2312" w:cs="仿宋_GB2312" w:eastAsia="仿宋_GB2312"/>
                    </w:rPr>
                    <w:t>频率波动率</w:t>
                  </w:r>
                </w:p>
              </w:tc>
              <w:tc>
                <w:tcPr>
                  <w:tcW w:type="dxa" w:w="851"/>
                </w:tcPr>
                <w:p>
                  <w:pPr>
                    <w:pStyle w:val="null3"/>
                  </w:pPr>
                  <w:r>
                    <w:rPr>
                      <w:rFonts w:ascii="仿宋_GB2312" w:hAnsi="仿宋_GB2312" w:cs="仿宋_GB2312" w:eastAsia="仿宋_GB2312"/>
                    </w:rPr>
                    <w:t>≤1.5%</w:t>
                  </w:r>
                </w:p>
              </w:tc>
            </w:tr>
            <w:tr>
              <w:tc>
                <w:tcPr>
                  <w:tcW w:type="dxa" w:w="851"/>
                  <w:vMerge/>
                </w:tcPr>
                <w:p/>
              </w:tc>
              <w:tc>
                <w:tcPr>
                  <w:tcW w:type="dxa" w:w="851"/>
                </w:tcPr>
                <w:p>
                  <w:pPr>
                    <w:pStyle w:val="null3"/>
                  </w:pPr>
                  <w:r>
                    <w:rPr>
                      <w:rFonts w:ascii="仿宋_GB2312" w:hAnsi="仿宋_GB2312" w:cs="仿宋_GB2312" w:eastAsia="仿宋_GB2312"/>
                    </w:rPr>
                    <w:t xml:space="preserve">瞬态频率偏差（100%突减功率） </w:t>
                  </w:r>
                </w:p>
              </w:tc>
              <w:tc>
                <w:tcPr>
                  <w:tcW w:type="dxa" w:w="851"/>
                </w:tcPr>
                <w:p>
                  <w:pPr>
                    <w:pStyle w:val="null3"/>
                  </w:pPr>
                  <w:r>
                    <w:rPr>
                      <w:rFonts w:ascii="仿宋_GB2312" w:hAnsi="仿宋_GB2312" w:cs="仿宋_GB2312" w:eastAsia="仿宋_GB2312"/>
                    </w:rPr>
                    <w:t>≤+12%</w:t>
                  </w:r>
                </w:p>
              </w:tc>
            </w:tr>
            <w:tr>
              <w:tc>
                <w:tcPr>
                  <w:tcW w:type="dxa" w:w="851"/>
                  <w:vMerge/>
                </w:tcPr>
                <w:p/>
              </w:tc>
              <w:tc>
                <w:tcPr>
                  <w:tcW w:type="dxa" w:w="851"/>
                </w:tcPr>
                <w:p>
                  <w:pPr>
                    <w:pStyle w:val="null3"/>
                  </w:pPr>
                  <w:r>
                    <w:rPr>
                      <w:rFonts w:ascii="仿宋_GB2312" w:hAnsi="仿宋_GB2312" w:cs="仿宋_GB2312" w:eastAsia="仿宋_GB2312"/>
                    </w:rPr>
                    <w:t>瞬态频率偏差（突加功率）</w:t>
                  </w:r>
                </w:p>
              </w:tc>
              <w:tc>
                <w:tcPr>
                  <w:tcW w:type="dxa" w:w="851"/>
                </w:tcPr>
                <w:p>
                  <w:pPr>
                    <w:pStyle w:val="null3"/>
                  </w:pPr>
                  <w:r>
                    <w:rPr>
                      <w:rFonts w:ascii="仿宋_GB2312" w:hAnsi="仿宋_GB2312" w:cs="仿宋_GB2312" w:eastAsia="仿宋_GB2312"/>
                    </w:rPr>
                    <w:t>≤-10%</w:t>
                  </w:r>
                </w:p>
              </w:tc>
            </w:tr>
            <w:tr>
              <w:tc>
                <w:tcPr>
                  <w:tcW w:type="dxa" w:w="851"/>
                  <w:vMerge/>
                </w:tcPr>
                <w:p/>
              </w:tc>
              <w:tc>
                <w:tcPr>
                  <w:tcW w:type="dxa" w:w="851"/>
                </w:tcPr>
                <w:p>
                  <w:pPr>
                    <w:pStyle w:val="null3"/>
                  </w:pPr>
                  <w:r>
                    <w:rPr>
                      <w:rFonts w:ascii="仿宋_GB2312" w:hAnsi="仿宋_GB2312" w:cs="仿宋_GB2312" w:eastAsia="仿宋_GB2312"/>
                    </w:rPr>
                    <w:t>频率恢复时（100%突减功率）</w:t>
                  </w:r>
                </w:p>
              </w:tc>
              <w:tc>
                <w:tcPr>
                  <w:tcW w:type="dxa" w:w="851"/>
                </w:tcPr>
                <w:p>
                  <w:pPr>
                    <w:pStyle w:val="null3"/>
                  </w:pPr>
                  <w:r>
                    <w:rPr>
                      <w:rFonts w:ascii="仿宋_GB2312" w:hAnsi="仿宋_GB2312" w:cs="仿宋_GB2312" w:eastAsia="仿宋_GB2312"/>
                    </w:rPr>
                    <w:t>≤5S</w:t>
                  </w:r>
                </w:p>
              </w:tc>
            </w:tr>
            <w:tr>
              <w:tc>
                <w:tcPr>
                  <w:tcW w:type="dxa" w:w="851"/>
                  <w:vMerge/>
                </w:tcPr>
                <w:p/>
              </w:tc>
              <w:tc>
                <w:tcPr>
                  <w:tcW w:type="dxa" w:w="851"/>
                </w:tcPr>
                <w:p>
                  <w:pPr>
                    <w:pStyle w:val="null3"/>
                  </w:pPr>
                  <w:r>
                    <w:rPr>
                      <w:rFonts w:ascii="仿宋_GB2312" w:hAnsi="仿宋_GB2312" w:cs="仿宋_GB2312" w:eastAsia="仿宋_GB2312"/>
                    </w:rPr>
                    <w:t>频率恢复时间（突加功率）</w:t>
                  </w:r>
                </w:p>
              </w:tc>
              <w:tc>
                <w:tcPr>
                  <w:tcW w:type="dxa" w:w="851"/>
                </w:tcPr>
                <w:p>
                  <w:pPr>
                    <w:pStyle w:val="null3"/>
                  </w:pPr>
                  <w:r>
                    <w:rPr>
                      <w:rFonts w:ascii="仿宋_GB2312" w:hAnsi="仿宋_GB2312" w:cs="仿宋_GB2312" w:eastAsia="仿宋_GB2312"/>
                    </w:rPr>
                    <w:t>≤5S</w:t>
                  </w:r>
                </w:p>
              </w:tc>
            </w:tr>
            <w:tr>
              <w:tc>
                <w:tcPr>
                  <w:tcW w:type="dxa" w:w="851"/>
                  <w:vMerge/>
                </w:tcPr>
                <w:p/>
              </w:tc>
              <w:tc>
                <w:tcPr>
                  <w:tcW w:type="dxa" w:w="851"/>
                </w:tcPr>
                <w:p>
                  <w:pPr>
                    <w:pStyle w:val="null3"/>
                  </w:pPr>
                  <w:r>
                    <w:rPr>
                      <w:rFonts w:ascii="仿宋_GB2312" w:hAnsi="仿宋_GB2312" w:cs="仿宋_GB2312" w:eastAsia="仿宋_GB2312"/>
                    </w:rPr>
                    <w:t>使用环境</w:t>
                  </w:r>
                </w:p>
              </w:tc>
              <w:tc>
                <w:tcPr>
                  <w:tcW w:type="dxa" w:w="851"/>
                </w:tcPr>
                <w:p>
                  <w:pPr>
                    <w:pStyle w:val="null3"/>
                  </w:pPr>
                  <w:r>
                    <w:rPr>
                      <w:rFonts w:ascii="仿宋_GB2312" w:hAnsi="仿宋_GB2312" w:cs="仿宋_GB2312" w:eastAsia="仿宋_GB2312"/>
                    </w:rPr>
                    <w:t>室外使用具备防水功能</w:t>
                  </w:r>
                </w:p>
              </w:tc>
            </w:tr>
            <w:tr>
              <w:tc>
                <w:tcPr>
                  <w:tcW w:type="dxa" w:w="851"/>
                  <w:vMerge/>
                </w:tcPr>
                <w:p/>
              </w:tc>
              <w:tc>
                <w:tcPr>
                  <w:tcW w:type="dxa" w:w="851"/>
                </w:tcPr>
                <w:p>
                  <w:pPr>
                    <w:pStyle w:val="null3"/>
                  </w:pPr>
                  <w:r>
                    <w:rPr>
                      <w:rFonts w:ascii="仿宋_GB2312" w:hAnsi="仿宋_GB2312" w:cs="仿宋_GB2312" w:eastAsia="仿宋_GB2312"/>
                    </w:rPr>
                    <w:t>控制功能</w:t>
                  </w:r>
                </w:p>
              </w:tc>
              <w:tc>
                <w:tcPr>
                  <w:tcW w:type="dxa" w:w="851"/>
                </w:tcPr>
                <w:p>
                  <w:pPr>
                    <w:pStyle w:val="null3"/>
                  </w:pPr>
                  <w:r>
                    <w:rPr>
                      <w:rFonts w:ascii="仿宋_GB2312" w:hAnsi="仿宋_GB2312" w:cs="仿宋_GB2312" w:eastAsia="仿宋_GB2312"/>
                    </w:rPr>
                    <w:t>配备市电与发电机自动切换（ATS）</w:t>
                  </w:r>
                </w:p>
                <w:p>
                  <w:pPr>
                    <w:pStyle w:val="null3"/>
                  </w:pPr>
                  <w:r>
                    <w:rPr>
                      <w:rFonts w:ascii="仿宋_GB2312" w:hAnsi="仿宋_GB2312" w:cs="仿宋_GB2312" w:eastAsia="仿宋_GB2312"/>
                    </w:rPr>
                    <w:t>功能模块，具备故障诊断，扫码报修，支持自动/手动分合闸，自动开机/停机，数据测量，报警保护功能。</w:t>
                  </w:r>
                </w:p>
              </w:tc>
            </w:tr>
            <w:tr>
              <w:tc>
                <w:tcPr>
                  <w:tcW w:type="dxa" w:w="851"/>
                  <w:vMerge/>
                </w:tcPr>
                <w:p/>
              </w:tc>
              <w:tc>
                <w:tcPr>
                  <w:tcW w:type="dxa" w:w="851"/>
                </w:tcPr>
                <w:p>
                  <w:pPr>
                    <w:pStyle w:val="null3"/>
                  </w:pPr>
                  <w:r>
                    <w:rPr>
                      <w:rFonts w:ascii="仿宋_GB2312" w:hAnsi="仿宋_GB2312" w:cs="仿宋_GB2312" w:eastAsia="仿宋_GB2312"/>
                    </w:rPr>
                    <w:t>噪音</w:t>
                  </w:r>
                </w:p>
              </w:tc>
              <w:tc>
                <w:tcPr>
                  <w:tcW w:type="dxa" w:w="851"/>
                </w:tcPr>
                <w:p>
                  <w:pPr>
                    <w:pStyle w:val="null3"/>
                  </w:pPr>
                  <w:r>
                    <w:rPr>
                      <w:rFonts w:ascii="仿宋_GB2312" w:hAnsi="仿宋_GB2312" w:cs="仿宋_GB2312" w:eastAsia="仿宋_GB2312"/>
                    </w:rPr>
                    <w:t>小于70dB，距离发电机1m处</w:t>
                  </w:r>
                </w:p>
              </w:tc>
            </w:tr>
            <w:tr>
              <w:tc>
                <w:tcPr>
                  <w:tcW w:type="dxa" w:w="851"/>
                  <w:vMerge/>
                </w:tcPr>
                <w:p/>
              </w:tc>
              <w:tc>
                <w:tcPr>
                  <w:tcW w:type="dxa" w:w="851"/>
                </w:tcPr>
                <w:p>
                  <w:pPr>
                    <w:pStyle w:val="null3"/>
                  </w:pPr>
                  <w:r>
                    <w:rPr>
                      <w:rFonts w:ascii="仿宋_GB2312" w:hAnsi="仿宋_GB2312" w:cs="仿宋_GB2312" w:eastAsia="仿宋_GB2312"/>
                    </w:rPr>
                    <w:t>出厂测试报告</w:t>
                  </w:r>
                </w:p>
              </w:tc>
              <w:tc>
                <w:tcPr>
                  <w:tcW w:type="dxa" w:w="851"/>
                </w:tcPr>
                <w:p>
                  <w:pPr>
                    <w:pStyle w:val="null3"/>
                  </w:pPr>
                  <w:r>
                    <w:rPr>
                      <w:rFonts w:ascii="仿宋_GB2312" w:hAnsi="仿宋_GB2312" w:cs="仿宋_GB2312" w:eastAsia="仿宋_GB2312"/>
                    </w:rPr>
                    <w:t>出示100%满负载测试，连续运行4小时，记录电压、电流、频率、水温、油温等关键数据报告</w:t>
                  </w:r>
                </w:p>
              </w:tc>
            </w:tr>
            <w:tr>
              <w:tc>
                <w:tcPr>
                  <w:tcW w:type="dxa" w:w="851"/>
                  <w:vMerge/>
                </w:tcPr>
                <w:p/>
              </w:tc>
              <w:tc>
                <w:tcPr>
                  <w:tcW w:type="dxa" w:w="851"/>
                </w:tcPr>
                <w:p>
                  <w:pPr>
                    <w:pStyle w:val="null3"/>
                  </w:pPr>
                  <w:r>
                    <w:rPr>
                      <w:rFonts w:ascii="仿宋_GB2312" w:hAnsi="仿宋_GB2312" w:cs="仿宋_GB2312" w:eastAsia="仿宋_GB2312"/>
                    </w:rPr>
                    <w:t>外形尺寸（不大于）</w:t>
                  </w:r>
                </w:p>
              </w:tc>
              <w:tc>
                <w:tcPr>
                  <w:tcW w:type="dxa" w:w="851"/>
                </w:tcPr>
                <w:p>
                  <w:pPr>
                    <w:pStyle w:val="null3"/>
                  </w:pPr>
                  <w:r>
                    <w:rPr>
                      <w:rFonts w:ascii="仿宋_GB2312" w:hAnsi="仿宋_GB2312" w:cs="仿宋_GB2312" w:eastAsia="仿宋_GB2312"/>
                    </w:rPr>
                    <w:t>1500（mm）*870(mm)*1200(mm)</w:t>
                  </w:r>
                </w:p>
              </w:tc>
            </w:tr>
            <w:tr>
              <w:tc>
                <w:tcPr>
                  <w:tcW w:type="dxa" w:w="851"/>
                  <w:vMerge/>
                </w:tcPr>
                <w:p/>
              </w:tc>
              <w:tc>
                <w:tcPr>
                  <w:tcW w:type="dxa" w:w="851"/>
                </w:tcPr>
                <w:p>
                  <w:pPr>
                    <w:pStyle w:val="null3"/>
                  </w:pPr>
                  <w:r>
                    <w:rPr>
                      <w:rFonts w:ascii="仿宋_GB2312" w:hAnsi="仿宋_GB2312" w:cs="仿宋_GB2312" w:eastAsia="仿宋_GB2312"/>
                    </w:rPr>
                    <w:t>重量（不大于）</w:t>
                  </w:r>
                </w:p>
              </w:tc>
              <w:tc>
                <w:tcPr>
                  <w:tcW w:type="dxa" w:w="851"/>
                </w:tcPr>
                <w:p>
                  <w:pPr>
                    <w:pStyle w:val="null3"/>
                  </w:pPr>
                  <w:r>
                    <w:rPr>
                      <w:rFonts w:ascii="仿宋_GB2312" w:hAnsi="仿宋_GB2312" w:cs="仿宋_GB2312" w:eastAsia="仿宋_GB2312"/>
                    </w:rPr>
                    <w:t>800(kg)</w:t>
                  </w:r>
                </w:p>
              </w:tc>
            </w:tr>
          </w:tbl>
          <w:p>
            <w:pPr>
              <w:pStyle w:val="null3"/>
            </w:pPr>
            <w:r>
              <w:rPr>
                <w:rFonts w:ascii="仿宋_GB2312" w:hAnsi="仿宋_GB2312" w:cs="仿宋_GB2312" w:eastAsia="仿宋_GB2312"/>
              </w:rPr>
              <w:t>全套设备均须提供详细的技术白皮书以便评审，验收时提供证书原件。</w:t>
            </w:r>
          </w:p>
          <w:p>
            <w:pPr>
              <w:pStyle w:val="null3"/>
            </w:pPr>
            <w:r>
              <w:rPr>
                <w:rFonts w:ascii="仿宋_GB2312" w:hAnsi="仿宋_GB2312" w:cs="仿宋_GB2312" w:eastAsia="仿宋_GB2312"/>
              </w:rPr>
              <w:t>危化品暂存柜均须提供并张贴符合安全技术要求的标识。如暂存柜遇相关部门检查未予通过，所有整改完善措施均由货物供应商完成。</w:t>
            </w:r>
          </w:p>
          <w:p>
            <w:pPr>
              <w:pStyle w:val="null3"/>
            </w:pPr>
            <w:r>
              <w:rPr>
                <w:rFonts w:ascii="仿宋_GB2312" w:hAnsi="仿宋_GB2312" w:cs="仿宋_GB2312" w:eastAsia="仿宋_GB2312"/>
              </w:rPr>
              <w:t>十一、危化品暂存区地面硬化技术要求                        数量：1项</w:t>
            </w:r>
          </w:p>
          <w:p>
            <w:pPr>
              <w:pStyle w:val="null3"/>
              <w:numPr>
                <w:ilvl w:val="0"/>
                <w:numId w:val="1"/>
              </w:numPr>
            </w:pPr>
            <w:r>
              <w:rPr>
                <w:rFonts w:ascii="仿宋_GB2312" w:hAnsi="仿宋_GB2312" w:cs="仿宋_GB2312" w:eastAsia="仿宋_GB2312"/>
              </w:rPr>
              <w:t>地面要求概况</w:t>
            </w:r>
          </w:p>
          <w:p>
            <w:pPr>
              <w:pStyle w:val="null3"/>
            </w:pPr>
            <w:r>
              <w:rPr>
                <w:rFonts w:ascii="仿宋_GB2312" w:hAnsi="仿宋_GB2312" w:cs="仿宋_GB2312" w:eastAsia="仿宋_GB2312"/>
              </w:rPr>
              <w:t>硬化区域尺寸为4m×3m，面积12㎡，用于危化品集装箱静置放置，地面需满足承重、防渗、防泄漏、防腐蚀要求。</w:t>
            </w:r>
          </w:p>
          <w:p>
            <w:pPr>
              <w:pStyle w:val="null3"/>
              <w:numPr>
                <w:ilvl w:val="0"/>
                <w:numId w:val="1"/>
              </w:numPr>
            </w:pPr>
            <w:r>
              <w:rPr>
                <w:rFonts w:ascii="仿宋_GB2312" w:hAnsi="仿宋_GB2312" w:cs="仿宋_GB2312" w:eastAsia="仿宋_GB2312"/>
              </w:rPr>
              <w:t>结构层做法（由上至下）</w:t>
            </w:r>
          </w:p>
          <w:p>
            <w:pPr>
              <w:pStyle w:val="null3"/>
            </w:pPr>
            <w:r>
              <w:rPr>
                <w:rFonts w:ascii="仿宋_GB2312" w:hAnsi="仿宋_GB2312" w:cs="仿宋_GB2312" w:eastAsia="仿宋_GB2312"/>
              </w:rPr>
              <w:t>混凝土面层</w:t>
            </w:r>
          </w:p>
          <w:p>
            <w:pPr>
              <w:pStyle w:val="null3"/>
            </w:pPr>
            <w:r>
              <w:rPr>
                <w:rFonts w:ascii="仿宋_GB2312" w:hAnsi="仿宋_GB2312" w:cs="仿宋_GB2312" w:eastAsia="仿宋_GB2312"/>
              </w:rPr>
              <w:t>厚度：150mm</w:t>
            </w:r>
          </w:p>
          <w:p>
            <w:pPr>
              <w:pStyle w:val="null3"/>
            </w:pPr>
            <w:r>
              <w:rPr>
                <w:rFonts w:ascii="仿宋_GB2312" w:hAnsi="仿宋_GB2312" w:cs="仿宋_GB2312" w:eastAsia="仿宋_GB2312"/>
              </w:rPr>
              <w:t>强度等级：C30</w:t>
            </w:r>
          </w:p>
          <w:p>
            <w:pPr>
              <w:pStyle w:val="null3"/>
            </w:pPr>
            <w:r>
              <w:rPr>
                <w:rFonts w:ascii="仿宋_GB2312" w:hAnsi="仿宋_GB2312" w:cs="仿宋_GB2312" w:eastAsia="仿宋_GB2312"/>
              </w:rPr>
              <w:t>抗渗等级：≥P6</w:t>
            </w:r>
          </w:p>
          <w:p>
            <w:pPr>
              <w:pStyle w:val="null3"/>
            </w:pPr>
            <w:r>
              <w:rPr>
                <w:rFonts w:ascii="仿宋_GB2312" w:hAnsi="仿宋_GB2312" w:cs="仿宋_GB2312" w:eastAsia="仿宋_GB2312"/>
              </w:rPr>
              <w:t>配筋：单层双向Φ8@150mm钢筋网片</w:t>
            </w:r>
          </w:p>
          <w:p>
            <w:pPr>
              <w:pStyle w:val="null3"/>
            </w:pPr>
            <w:r>
              <w:rPr>
                <w:rFonts w:ascii="仿宋_GB2312" w:hAnsi="仿宋_GB2312" w:cs="仿宋_GB2312" w:eastAsia="仿宋_GB2312"/>
              </w:rPr>
              <w:t>碎石垫层</w:t>
            </w:r>
          </w:p>
          <w:p>
            <w:pPr>
              <w:pStyle w:val="null3"/>
            </w:pPr>
            <w:r>
              <w:rPr>
                <w:rFonts w:ascii="仿宋_GB2312" w:hAnsi="仿宋_GB2312" w:cs="仿宋_GB2312" w:eastAsia="仿宋_GB2312"/>
              </w:rPr>
              <w:t>厚度：150mm</w:t>
            </w:r>
          </w:p>
          <w:p>
            <w:pPr>
              <w:pStyle w:val="null3"/>
            </w:pPr>
            <w:r>
              <w:rPr>
                <w:rFonts w:ascii="仿宋_GB2312" w:hAnsi="仿宋_GB2312" w:cs="仿宋_GB2312" w:eastAsia="仿宋_GB2312"/>
              </w:rPr>
              <w:t>材料：级配碎石，摊铺平整并压实</w:t>
            </w:r>
          </w:p>
          <w:p>
            <w:pPr>
              <w:pStyle w:val="null3"/>
            </w:pPr>
            <w:r>
              <w:rPr>
                <w:rFonts w:ascii="仿宋_GB2312" w:hAnsi="仿宋_GB2312" w:cs="仿宋_GB2312" w:eastAsia="仿宋_GB2312"/>
              </w:rPr>
              <w:t>土基基层</w:t>
            </w:r>
          </w:p>
          <w:p>
            <w:pPr>
              <w:pStyle w:val="null3"/>
            </w:pPr>
            <w:r>
              <w:rPr>
                <w:rFonts w:ascii="仿宋_GB2312" w:hAnsi="仿宋_GB2312" w:cs="仿宋_GB2312" w:eastAsia="仿宋_GB2312"/>
              </w:rPr>
              <w:t>原土清理、整平、夯实</w:t>
            </w:r>
          </w:p>
          <w:p>
            <w:pPr>
              <w:pStyle w:val="null3"/>
            </w:pPr>
            <w:r>
              <w:rPr>
                <w:rFonts w:ascii="仿宋_GB2312" w:hAnsi="仿宋_GB2312" w:cs="仿宋_GB2312" w:eastAsia="仿宋_GB2312"/>
              </w:rPr>
              <w:t>压实系数：≥0.95</w:t>
            </w:r>
          </w:p>
          <w:p>
            <w:pPr>
              <w:pStyle w:val="null3"/>
              <w:numPr>
                <w:ilvl w:val="0"/>
                <w:numId w:val="1"/>
              </w:numPr>
            </w:pPr>
            <w:r>
              <w:rPr>
                <w:rFonts w:ascii="仿宋_GB2312" w:hAnsi="仿宋_GB2312" w:cs="仿宋_GB2312" w:eastAsia="仿宋_GB2312"/>
              </w:rPr>
              <w:t>构造及安全要求</w:t>
            </w:r>
          </w:p>
          <w:p>
            <w:pPr>
              <w:pStyle w:val="null3"/>
            </w:pPr>
            <w:r>
              <w:rPr>
                <w:rFonts w:ascii="仿宋_GB2312" w:hAnsi="仿宋_GB2312" w:cs="仿宋_GB2312" w:eastAsia="仿宋_GB2312"/>
              </w:rPr>
              <w:t>地面设置1%～2%排水坡度，坡向集液区域，防止积液外溢。</w:t>
            </w:r>
          </w:p>
          <w:p>
            <w:pPr>
              <w:pStyle w:val="null3"/>
            </w:pPr>
            <w:r>
              <w:rPr>
                <w:rFonts w:ascii="仿宋_GB2312" w:hAnsi="仿宋_GB2312" w:cs="仿宋_GB2312" w:eastAsia="仿宋_GB2312"/>
              </w:rPr>
              <w:t>硬化区域四周设置高度不小于50mm的防渗围堰，形成防泄漏收集区。</w:t>
            </w:r>
          </w:p>
          <w:p>
            <w:pPr>
              <w:pStyle w:val="null3"/>
            </w:pPr>
            <w:r>
              <w:rPr>
                <w:rFonts w:ascii="仿宋_GB2312" w:hAnsi="仿宋_GB2312" w:cs="仿宋_GB2312" w:eastAsia="仿宋_GB2312"/>
              </w:rPr>
              <w:t>混凝土浇筑完成后及时切割伸缩缝，避免不规则开裂。</w:t>
            </w:r>
          </w:p>
          <w:p>
            <w:pPr>
              <w:pStyle w:val="null3"/>
            </w:pPr>
            <w:r>
              <w:rPr>
                <w:rFonts w:ascii="仿宋_GB2312" w:hAnsi="仿宋_GB2312" w:cs="仿宋_GB2312" w:eastAsia="仿宋_GB2312"/>
              </w:rPr>
              <w:t>地面表面平整、密实、无裂缝，具备防化学品渗透性能。</w:t>
            </w:r>
          </w:p>
          <w:p>
            <w:pPr>
              <w:pStyle w:val="null3"/>
            </w:pPr>
            <w:r>
              <w:rPr>
                <w:rFonts w:ascii="仿宋_GB2312" w:hAnsi="仿宋_GB2312" w:cs="仿宋_GB2312" w:eastAsia="仿宋_GB2312"/>
              </w:rPr>
              <w:t>整体承载力满足危化品集装箱满载静置要求，不得出现沉降、开裂、渗漏。</w:t>
            </w:r>
          </w:p>
          <w:p>
            <w:pPr>
              <w:pStyle w:val="null3"/>
              <w:numPr>
                <w:ilvl w:val="0"/>
                <w:numId w:val="1"/>
              </w:numPr>
            </w:pPr>
            <w:r>
              <w:rPr>
                <w:rFonts w:ascii="仿宋_GB2312" w:hAnsi="仿宋_GB2312" w:cs="仿宋_GB2312" w:eastAsia="仿宋_GB2312"/>
              </w:rPr>
              <w:t>验收标准</w:t>
            </w:r>
          </w:p>
          <w:p>
            <w:pPr>
              <w:pStyle w:val="null3"/>
            </w:pPr>
            <w:r>
              <w:rPr>
                <w:rFonts w:ascii="仿宋_GB2312" w:hAnsi="仿宋_GB2312" w:cs="仿宋_GB2312" w:eastAsia="仿宋_GB2312"/>
              </w:rPr>
              <w:t>混凝土强度、抗渗等级符合设计及规范要求。</w:t>
            </w:r>
          </w:p>
          <w:p>
            <w:pPr>
              <w:pStyle w:val="null3"/>
            </w:pPr>
            <w:r>
              <w:rPr>
                <w:rFonts w:ascii="仿宋_GB2312" w:hAnsi="仿宋_GB2312" w:cs="仿宋_GB2312" w:eastAsia="仿宋_GB2312"/>
              </w:rPr>
              <w:t>地面平整度、坡度、围堰高度满足防泄漏要求。</w:t>
            </w:r>
          </w:p>
          <w:p>
            <w:pPr>
              <w:pStyle w:val="null3"/>
            </w:pPr>
            <w:r>
              <w:rPr>
                <w:rFonts w:ascii="仿宋_GB2312" w:hAnsi="仿宋_GB2312" w:cs="仿宋_GB2312" w:eastAsia="仿宋_GB2312"/>
              </w:rPr>
              <w:t>基层压实度、垫层厚度、钢筋配置符合施工参数要求。</w:t>
            </w:r>
          </w:p>
          <w:p>
            <w:pPr>
              <w:pStyle w:val="null3"/>
            </w:pPr>
            <w:r>
              <w:rPr>
                <w:rFonts w:ascii="仿宋_GB2312" w:hAnsi="仿宋_GB2312" w:cs="仿宋_GB2312" w:eastAsia="仿宋_GB2312"/>
              </w:rPr>
              <w:t>地面无明显裂缝、空鼓、渗漏现象。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合同签订后，40个工作日内备货并送至采购人指定地点。</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进度款，合同签订后，乙方供货调试安装后，甲方验收完 ，达到付款条件起，达到付款条件起30个工作日内，支付合同总金额的100.0%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将设备运达采购人指定的地点后，采购人根据合同要求，在合同双方代表等相关负责人同时在场的情况下，进行外观验收，确认品牌型号和数量；设备全部安装调试完毕后，由成交供应商向采购人提交纸质版项目验收申请书，经采购人项目代表报有关领导确认后，由采购人组织验收。验收合格后，填写项目验收单。（2）验收依据：竞争性谈判文件、竞争性谈判响应文件、澄清表（函）；本合同及附件文本；合同签订时国家及行业现行的标准和技术规范。（3）成交供应商应向采购人提交项目实施过程中的所有资料，以便采购人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1.质保期为验收合格后不少于5年。成交供应商承诺的质保时间超过竞争性谈判文件要求的，按其承诺时间质保。 2.成交供应商承诺的质保期起始时间为验收合格之日。 3.在安装期间，成交供应商有必要对使用人员进行技术培训，以确保采购人能够有效处理相关问题。 4.成交供应商须提供该货物的技术培训、技术支持和维修巡检服务，服务内容包括负责安装调试完成后质保期内免费进行现场培训、理论培训、操作培训等。 5.成交供应商须对售后服务需求提供在工作日内1小时响应，2小时内通过远程、电话等方式解决问题，如无法解决，24小时内到达现场实施维修。72小时仍未排除故障、恢复正常运转的，由成交供应商提供同类型备品、备件等。</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1.按《中华人民共和国政府采购法》、《中华人民共和国民法典》中的相关条款执行。 2.未按合同或谈判文件要求提供产品或供应的产品质量不能满足采购人技术要求，采购人有权终止合同，甚至对供应商违约行为进行追究。 3.供应商的响应文件为签订正式书面合同书不可分割的部分，供应商应履行相应的责任。</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1、成交供应商须在结果公告发布之日起5个工作日内，提交响应文件一正贰副至西安市高新区锦业一路52号宝德云谷国际-B座14层1406-6室（陕西中诚天和项目管理有限公司）。 2、供应商对其所销售的货物应当享有知识产权或经权利人合法授权，保证没有侵犯任何第三人的知识产权等权利。因违反前述约定对第三人构成侵权的，应当由供应商向第三人承担法律责任。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应具有独立承担民事责任的能力的企业法人、事业法人、其他组织或自然人，出具合法有效的营业执照等相关证明文件，自然人参与的提供其身份证明（加盖公章）； （2）财务状况报告：提供经审计的2024年度或2025年度财务报告或谈判前六个月内其本公司银行账户出具的资信证明或政府采购专业担保机构出具的谈判担保函（事业单位可不提供）（加盖公章）； （3）税收缴纳证明：供应商提供截止至谈判时间前六个月任一月份的缴费凭据；依法免税的应提供相关文件证明（加盖公章）；（4）社会保障资金缴纳证明：供应商提供截止至谈判时间前六个月任一月份的缴费凭据或社保机构开具的社会保险参保缴费情况证明；依法不需要缴纳社会保障资金的应提供相关文件证明（加盖公章）； （5）供应商提供具有履行本合同所必需的设备和专业技术能力的承诺函（加盖公章）； （6）供应商提供参加政府采购活动前三年内在经营活动中没有重大违法记录的承诺函（加盖公章）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提供经审计的2024年度或2025年度财务报告或谈判前六个月内其本公司银行账户出具的资信证明或政府采购专业担保机构出具的谈判担保函（事业单位可不提供）（加盖公章）。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法定代表人直接参加谈判的，须出具法定代表人身份证明及法人身份证；法定代表人授权代表参加谈判的，须出具法定代表人授权书及法人和授权代表身份证</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谈判后的网站查询记录为准</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关于符合本国产品标准的声明函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谈判响应文件组成</w:t>
            </w:r>
          </w:p>
        </w:tc>
        <w:tc>
          <w:tcPr>
            <w:tcW w:type="dxa" w:w="3322"/>
          </w:tcPr>
          <w:p>
            <w:pPr>
              <w:pStyle w:val="null3"/>
            </w:pPr>
            <w:r>
              <w:rPr>
                <w:rFonts w:ascii="仿宋_GB2312" w:hAnsi="仿宋_GB2312" w:cs="仿宋_GB2312" w:eastAsia="仿宋_GB2312"/>
              </w:rPr>
              <w:t>未出现实质性内容的缺漏项</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同时满足以下条款： （1）谈判报价符合唯一性要求； （2）谈判报价未超出采购预算和最高限价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谈判响应文件签署、盖章</w:t>
            </w:r>
          </w:p>
        </w:tc>
        <w:tc>
          <w:tcPr>
            <w:tcW w:type="dxa" w:w="3322"/>
          </w:tcPr>
          <w:p>
            <w:pPr>
              <w:pStyle w:val="null3"/>
            </w:pPr>
            <w:r>
              <w:rPr>
                <w:rFonts w:ascii="仿宋_GB2312" w:hAnsi="仿宋_GB2312" w:cs="仿宋_GB2312" w:eastAsia="仿宋_GB2312"/>
              </w:rPr>
              <w:t>签署、盖章合法、有效</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其他未达到谈判文件要求的情况</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（1）投标（响应）报价低于全部通过符合性审查供应商投标（响应）报价平均值65%的，即投标（响应）报价&lt;全部通过符合性审查供应商投标（响应）报价平均值×65%。</w:t>
              <w:br/>
              <w:t>（2）投标（响应）报价低于通过符合性审查且报价次低供应商投标（响应）报价65%的，即投标（响应）报价&lt;通过符合性审查且报价次低供应商投标（响应）报价×65%。</w:t>
              <w:br/>
              <w:t>（3）投标（响应）报价低于最高限价65%的，即投标（响应）报价&lt;最高限价×65%。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(30分钟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