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5B63C5">
      <w:pPr>
        <w:snapToGrid w:val="0"/>
        <w:rPr>
          <w:rFonts w:ascii="宋体" w:hAnsi="宋体" w:cs="宋体"/>
          <w:b/>
          <w:color w:val="auto"/>
          <w:sz w:val="32"/>
          <w:szCs w:val="32"/>
        </w:rPr>
      </w:pPr>
      <w:bookmarkStart w:id="0" w:name="_Toc217446030"/>
      <w:bookmarkStart w:id="1" w:name="_Toc183682338"/>
      <w:r>
        <w:rPr>
          <w:rFonts w:hint="eastAsia" w:ascii="宋体" w:hAnsi="宋体" w:cs="宋体"/>
          <w:b/>
          <w:color w:val="auto"/>
          <w:sz w:val="32"/>
          <w:szCs w:val="32"/>
        </w:rPr>
        <w:t>政府采购项目</w:t>
      </w:r>
    </w:p>
    <w:p w14:paraId="7B805CBC">
      <w:pPr>
        <w:snapToGrid w:val="0"/>
        <w:rPr>
          <w:rFonts w:hint="eastAsia" w:ascii="宋体" w:hAnsi="宋体" w:eastAsia="宋体" w:cs="宋体"/>
          <w:b/>
          <w:color w:val="auto"/>
          <w:sz w:val="32"/>
          <w:szCs w:val="32"/>
          <w:lang w:eastAsia="zh-CN"/>
        </w:rPr>
      </w:pPr>
      <w:r>
        <w:rPr>
          <w:rFonts w:hint="eastAsia" w:ascii="宋体" w:hAnsi="宋体" w:cs="宋体"/>
          <w:b/>
          <w:color w:val="auto"/>
          <w:sz w:val="32"/>
          <w:szCs w:val="32"/>
        </w:rPr>
        <w:t>采购项目编号：</w:t>
      </w:r>
      <w:r>
        <w:rPr>
          <w:rFonts w:hint="eastAsia" w:ascii="宋体" w:hAnsi="宋体" w:cs="宋体"/>
          <w:b/>
          <w:color w:val="auto"/>
          <w:sz w:val="32"/>
          <w:lang w:eastAsia="zh-CN"/>
        </w:rPr>
        <w:t>YZ2026-ZB037</w:t>
      </w:r>
    </w:p>
    <w:p w14:paraId="233B18FE">
      <w:pPr>
        <w:pStyle w:val="2"/>
        <w:jc w:val="center"/>
        <w:rPr>
          <w:rFonts w:cs="仿宋_GB2312" w:asciiTheme="minorEastAsia" w:hAnsiTheme="minorEastAsia" w:eastAsiaTheme="minorEastAsia"/>
          <w:b/>
          <w:bCs/>
          <w:color w:val="auto"/>
          <w:sz w:val="56"/>
          <w:szCs w:val="56"/>
        </w:rPr>
      </w:pPr>
    </w:p>
    <w:p w14:paraId="240CBD5A">
      <w:pPr>
        <w:jc w:val="center"/>
        <w:rPr>
          <w:rFonts w:hint="eastAsia" w:cs="仿宋_GB2312" w:asciiTheme="minorEastAsia" w:hAnsiTheme="minorEastAsia" w:eastAsiaTheme="minorEastAsia"/>
          <w:b/>
          <w:bCs/>
          <w:color w:val="auto"/>
          <w:sz w:val="52"/>
          <w:szCs w:val="52"/>
          <w:lang w:eastAsia="zh-CN"/>
        </w:rPr>
      </w:pPr>
      <w:r>
        <w:rPr>
          <w:rFonts w:hint="eastAsia" w:cs="仿宋_GB2312" w:asciiTheme="minorEastAsia" w:hAnsiTheme="minorEastAsia" w:eastAsiaTheme="minorEastAsia"/>
          <w:b/>
          <w:bCs/>
          <w:color w:val="auto"/>
          <w:sz w:val="52"/>
          <w:szCs w:val="52"/>
          <w:lang w:eastAsia="zh-CN"/>
        </w:rPr>
        <w:t>旬邑县土桥镇地质灾害风险调查评价项目</w:t>
      </w:r>
    </w:p>
    <w:p w14:paraId="2A6FE165">
      <w:pPr>
        <w:jc w:val="center"/>
        <w:rPr>
          <w:rFonts w:hint="eastAsia" w:cs="仿宋_GB2312" w:asciiTheme="minorEastAsia" w:hAnsiTheme="minorEastAsia" w:eastAsiaTheme="minorEastAsia"/>
          <w:b/>
          <w:color w:val="auto"/>
          <w:sz w:val="72"/>
          <w:szCs w:val="72"/>
        </w:rPr>
      </w:pPr>
    </w:p>
    <w:p w14:paraId="737207E4">
      <w:pPr>
        <w:jc w:val="center"/>
        <w:rPr>
          <w:rFonts w:cs="仿宋_GB2312" w:asciiTheme="minorEastAsia" w:hAnsiTheme="minorEastAsia" w:eastAsiaTheme="minorEastAsia"/>
          <w:b/>
          <w:color w:val="auto"/>
          <w:sz w:val="40"/>
          <w:szCs w:val="32"/>
        </w:rPr>
      </w:pPr>
      <w:r>
        <w:rPr>
          <w:rFonts w:hint="eastAsia" w:cs="仿宋_GB2312" w:asciiTheme="minorEastAsia" w:hAnsiTheme="minorEastAsia" w:eastAsiaTheme="minorEastAsia"/>
          <w:b/>
          <w:color w:val="auto"/>
          <w:sz w:val="72"/>
          <w:szCs w:val="72"/>
        </w:rPr>
        <w:t>竞争性磋商文件</w:t>
      </w:r>
    </w:p>
    <w:p w14:paraId="16611E25">
      <w:pPr>
        <w:pStyle w:val="13"/>
        <w:jc w:val="center"/>
        <w:rPr>
          <w:rFonts w:asciiTheme="minorEastAsia" w:hAnsiTheme="minorEastAsia" w:eastAsiaTheme="minorEastAsia"/>
          <w:color w:val="auto"/>
        </w:rPr>
      </w:pPr>
    </w:p>
    <w:p w14:paraId="379767D2">
      <w:pPr>
        <w:pStyle w:val="13"/>
        <w:jc w:val="center"/>
        <w:rPr>
          <w:rFonts w:ascii="宋体" w:hAnsi="宋体" w:cs="宋体"/>
          <w:color w:val="auto"/>
        </w:rPr>
      </w:pPr>
    </w:p>
    <w:p w14:paraId="6C7A4FE7">
      <w:pPr>
        <w:pStyle w:val="13"/>
        <w:jc w:val="center"/>
        <w:rPr>
          <w:rFonts w:cs="仿宋_GB2312" w:asciiTheme="minorEastAsia" w:hAnsiTheme="minorEastAsia" w:eastAsiaTheme="minorEastAsia"/>
          <w:color w:val="auto"/>
          <w:sz w:val="32"/>
        </w:rPr>
      </w:pPr>
      <w:r>
        <w:rPr>
          <w:rFonts w:hint="eastAsia" w:ascii="宋体" w:hAnsi="宋体" w:cs="宋体"/>
          <w:color w:val="auto"/>
        </w:rPr>
        <w:drawing>
          <wp:inline distT="0" distB="0" distL="114300" distR="114300">
            <wp:extent cx="2515235" cy="2515235"/>
            <wp:effectExtent l="0" t="0" r="18415" b="18415"/>
            <wp:docPr id="1" name="图片 1" descr="7baaeb6231b94665937627eb79c63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baaeb6231b94665937627eb79c636b"/>
                    <pic:cNvPicPr>
                      <a:picLocks noChangeAspect="1"/>
                    </pic:cNvPicPr>
                  </pic:nvPicPr>
                  <pic:blipFill>
                    <a:blip r:embed="rId18">
                      <a:clrChange>
                        <a:clrFrom>
                          <a:srgbClr val="FFFFFF"/>
                        </a:clrFrom>
                        <a:clrTo>
                          <a:srgbClr val="FFFFFF">
                            <a:alpha val="0"/>
                          </a:srgbClr>
                        </a:clrTo>
                      </a:clrChange>
                    </a:blip>
                    <a:stretch>
                      <a:fillRect/>
                    </a:stretch>
                  </pic:blipFill>
                  <pic:spPr>
                    <a:xfrm>
                      <a:off x="0" y="0"/>
                      <a:ext cx="2515235" cy="2515235"/>
                    </a:xfrm>
                    <a:prstGeom prst="rect">
                      <a:avLst/>
                    </a:prstGeom>
                    <a:noFill/>
                    <a:ln>
                      <a:noFill/>
                    </a:ln>
                  </pic:spPr>
                </pic:pic>
              </a:graphicData>
            </a:graphic>
          </wp:inline>
        </w:drawing>
      </w:r>
    </w:p>
    <w:p w14:paraId="49993054">
      <w:pPr>
        <w:pStyle w:val="2"/>
        <w:rPr>
          <w:color w:val="auto"/>
        </w:rPr>
      </w:pPr>
    </w:p>
    <w:p w14:paraId="567F0A01">
      <w:pPr>
        <w:pStyle w:val="2"/>
        <w:rPr>
          <w:color w:val="auto"/>
        </w:rPr>
      </w:pPr>
    </w:p>
    <w:p w14:paraId="01E3E0D1">
      <w:pPr>
        <w:pStyle w:val="2"/>
        <w:rPr>
          <w:color w:val="auto"/>
        </w:rPr>
      </w:pPr>
    </w:p>
    <w:p w14:paraId="00F816FC">
      <w:pPr>
        <w:rPr>
          <w:color w:val="auto"/>
        </w:rPr>
      </w:pPr>
    </w:p>
    <w:p w14:paraId="530A6EB3">
      <w:pPr>
        <w:pStyle w:val="2"/>
        <w:rPr>
          <w:color w:val="auto"/>
        </w:rPr>
      </w:pPr>
    </w:p>
    <w:p w14:paraId="1A7F5CDE">
      <w:pPr>
        <w:rPr>
          <w:color w:val="auto"/>
        </w:rPr>
      </w:pPr>
    </w:p>
    <w:p w14:paraId="4BD08245">
      <w:pPr>
        <w:snapToGrid w:val="0"/>
        <w:spacing w:line="600" w:lineRule="auto"/>
        <w:ind w:firstLine="1807" w:firstLineChars="600"/>
        <w:rPr>
          <w:rFonts w:hint="eastAsia" w:cs="仿宋_GB2312" w:asciiTheme="minorEastAsia" w:hAnsiTheme="minorEastAsia" w:eastAsiaTheme="minorEastAsia"/>
          <w:b/>
          <w:color w:val="auto"/>
          <w:sz w:val="30"/>
          <w:szCs w:val="30"/>
          <w:lang w:eastAsia="zh-CN"/>
        </w:rPr>
      </w:pPr>
      <w:r>
        <w:rPr>
          <w:rFonts w:hint="eastAsia" w:cs="仿宋_GB2312" w:asciiTheme="minorEastAsia" w:hAnsiTheme="minorEastAsia" w:eastAsiaTheme="minorEastAsia"/>
          <w:b/>
          <w:color w:val="auto"/>
          <w:sz w:val="30"/>
          <w:szCs w:val="30"/>
        </w:rPr>
        <w:t>采   购   人：</w:t>
      </w:r>
      <w:r>
        <w:rPr>
          <w:rFonts w:hint="eastAsia" w:cs="仿宋_GB2312" w:asciiTheme="minorEastAsia" w:hAnsiTheme="minorEastAsia" w:eastAsiaTheme="minorEastAsia"/>
          <w:b/>
          <w:color w:val="auto"/>
          <w:sz w:val="30"/>
          <w:szCs w:val="30"/>
          <w:lang w:eastAsia="zh-CN"/>
        </w:rPr>
        <w:t xml:space="preserve">旬邑县自然资源局 </w:t>
      </w:r>
    </w:p>
    <w:p w14:paraId="77C0F4CB">
      <w:pPr>
        <w:snapToGrid w:val="0"/>
        <w:spacing w:line="600" w:lineRule="auto"/>
        <w:ind w:firstLine="1807" w:firstLineChars="600"/>
        <w:jc w:val="left"/>
        <w:rPr>
          <w:rFonts w:cs="仿宋_GB2312" w:asciiTheme="minorEastAsia" w:hAnsiTheme="minorEastAsia" w:eastAsiaTheme="minorEastAsia"/>
          <w:b/>
          <w:color w:val="auto"/>
          <w:sz w:val="30"/>
          <w:szCs w:val="30"/>
        </w:rPr>
      </w:pPr>
      <w:r>
        <w:rPr>
          <w:rFonts w:hint="eastAsia" w:cs="仿宋_GB2312" w:asciiTheme="minorEastAsia" w:hAnsiTheme="minorEastAsia" w:eastAsiaTheme="minorEastAsia"/>
          <w:b/>
          <w:color w:val="auto"/>
          <w:sz w:val="30"/>
          <w:szCs w:val="30"/>
        </w:rPr>
        <w:t xml:space="preserve">采购代理机构：陕西优正项目管理有限公司   </w:t>
      </w:r>
    </w:p>
    <w:p w14:paraId="6AF4289C">
      <w:pPr>
        <w:snapToGrid w:val="0"/>
        <w:spacing w:line="600" w:lineRule="auto"/>
        <w:jc w:val="center"/>
        <w:rPr>
          <w:rFonts w:ascii="宋体" w:hAnsi="宋体"/>
          <w:b/>
          <w:color w:val="auto"/>
          <w:sz w:val="28"/>
          <w:szCs w:val="28"/>
        </w:rPr>
        <w:sectPr>
          <w:headerReference r:id="rId4" w:type="first"/>
          <w:footerReference r:id="rId5" w:type="first"/>
          <w:headerReference r:id="rId3" w:type="default"/>
          <w:pgSz w:w="11906" w:h="16838"/>
          <w:pgMar w:top="1440" w:right="1080" w:bottom="1440" w:left="1080" w:header="851" w:footer="992" w:gutter="0"/>
          <w:cols w:space="720" w:num="1"/>
          <w:docGrid w:linePitch="312" w:charSpace="0"/>
        </w:sectPr>
      </w:pP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〇</w:t>
      </w:r>
      <w:r>
        <w:rPr>
          <w:rFonts w:hint="eastAsia" w:cs="仿宋_GB2312" w:asciiTheme="minorEastAsia" w:hAnsiTheme="minorEastAsia" w:eastAsiaTheme="minorEastAsia"/>
          <w:b/>
          <w:color w:val="auto"/>
          <w:sz w:val="30"/>
          <w:szCs w:val="30"/>
        </w:rPr>
        <w:t>二</w:t>
      </w:r>
      <w:r>
        <w:rPr>
          <w:rFonts w:hint="eastAsia" w:cs="仿宋_GB2312" w:asciiTheme="minorEastAsia" w:hAnsiTheme="minorEastAsia" w:eastAsiaTheme="minorEastAsia"/>
          <w:b/>
          <w:color w:val="auto"/>
          <w:sz w:val="30"/>
          <w:szCs w:val="30"/>
          <w:lang w:val="en-US" w:eastAsia="zh-CN"/>
        </w:rPr>
        <w:t>六</w:t>
      </w:r>
      <w:r>
        <w:rPr>
          <w:rFonts w:hint="eastAsia" w:cs="仿宋_GB2312" w:asciiTheme="minorEastAsia" w:hAnsiTheme="minorEastAsia" w:eastAsiaTheme="minorEastAsia"/>
          <w:b/>
          <w:color w:val="auto"/>
          <w:sz w:val="30"/>
          <w:szCs w:val="30"/>
        </w:rPr>
        <w:t>年</w:t>
      </w:r>
      <w:r>
        <w:rPr>
          <w:rFonts w:hint="eastAsia" w:cs="仿宋_GB2312" w:asciiTheme="minorEastAsia" w:hAnsiTheme="minorEastAsia" w:eastAsiaTheme="minorEastAsia"/>
          <w:b/>
          <w:color w:val="auto"/>
          <w:sz w:val="30"/>
          <w:szCs w:val="30"/>
          <w:lang w:val="en-US" w:eastAsia="zh-CN"/>
        </w:rPr>
        <w:t>八</w:t>
      </w:r>
      <w:r>
        <w:rPr>
          <w:rFonts w:hint="eastAsia" w:cs="仿宋_GB2312" w:asciiTheme="minorEastAsia" w:hAnsiTheme="minorEastAsia" w:eastAsiaTheme="minorEastAsia"/>
          <w:b/>
          <w:color w:val="auto"/>
          <w:sz w:val="30"/>
          <w:szCs w:val="30"/>
        </w:rPr>
        <w:t>月</w:t>
      </w:r>
      <w:bookmarkEnd w:id="0"/>
      <w:bookmarkEnd w:id="1"/>
    </w:p>
    <w:sdt>
      <w:sdtPr>
        <w:rPr>
          <w:rFonts w:ascii="宋体" w:hAnsi="宋体" w:eastAsia="宋体" w:cs="Times New Roman"/>
          <w:kern w:val="2"/>
          <w:sz w:val="36"/>
          <w:szCs w:val="36"/>
          <w:lang w:val="en-US" w:eastAsia="zh-CN" w:bidi="ar-SA"/>
        </w:rPr>
        <w:id w:val="147461363"/>
        <w15:color w:val="DBDBDB"/>
        <w:docPartObj>
          <w:docPartGallery w:val="Table of Contents"/>
          <w:docPartUnique/>
        </w:docPartObj>
      </w:sdtPr>
      <w:sdtEndPr>
        <w:rPr>
          <w:rFonts w:ascii="宋体" w:hAnsi="宋体" w:eastAsia="宋体" w:cs="Times New Roman"/>
          <w:kern w:val="2"/>
          <w:sz w:val="36"/>
          <w:szCs w:val="36"/>
          <w:lang w:val="en-US" w:eastAsia="zh-CN" w:bidi="ar-SA"/>
        </w:rPr>
      </w:sdtEndPr>
      <w:sdtContent>
        <w:p w14:paraId="12490D94">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sz w:val="36"/>
              <w:szCs w:val="36"/>
            </w:rPr>
          </w:pPr>
          <w:bookmarkStart w:id="2" w:name="_Toc10021"/>
          <w:r>
            <w:rPr>
              <w:rFonts w:ascii="宋体" w:hAnsi="宋体" w:eastAsia="宋体"/>
              <w:sz w:val="36"/>
              <w:szCs w:val="36"/>
            </w:rPr>
            <w:t>目</w:t>
          </w:r>
          <w:r>
            <w:rPr>
              <w:rFonts w:hint="eastAsia" w:ascii="宋体" w:hAnsi="宋体" w:eastAsia="宋体"/>
              <w:sz w:val="36"/>
              <w:szCs w:val="36"/>
              <w:lang w:val="en-US" w:eastAsia="zh-CN"/>
            </w:rPr>
            <w:t xml:space="preserve">  </w:t>
          </w:r>
          <w:r>
            <w:rPr>
              <w:rFonts w:ascii="宋体" w:hAnsi="宋体" w:eastAsia="宋体"/>
              <w:sz w:val="36"/>
              <w:szCs w:val="36"/>
            </w:rPr>
            <w:t>录</w:t>
          </w:r>
        </w:p>
        <w:p w14:paraId="1ED9007D">
          <w:pPr>
            <w:pStyle w:val="15"/>
            <w:keepNext w:val="0"/>
            <w:keepLines w:val="0"/>
            <w:pageBreakBefore w:val="0"/>
            <w:tabs>
              <w:tab w:val="right" w:leader="dot" w:pos="9747"/>
            </w:tabs>
            <w:kinsoku/>
            <w:wordWrap/>
            <w:overflowPunct/>
            <w:topLinePunct w:val="0"/>
            <w:autoSpaceDE/>
            <w:autoSpaceDN/>
            <w:bidi w:val="0"/>
            <w:adjustRightInd/>
            <w:snapToGrid/>
            <w:spacing w:line="480" w:lineRule="auto"/>
            <w:textAlignment w:val="auto"/>
          </w:pPr>
          <w:r>
            <w:fldChar w:fldCharType="begin"/>
          </w:r>
          <w:r>
            <w:instrText xml:space="preserve">TOC \o "1-1" \h \u </w:instrText>
          </w:r>
          <w:r>
            <w:fldChar w:fldCharType="separate"/>
          </w:r>
          <w:r>
            <w:fldChar w:fldCharType="begin"/>
          </w:r>
          <w:r>
            <w:instrText xml:space="preserve"> HYPERLINK \l _Toc11896 </w:instrText>
          </w:r>
          <w:r>
            <w:fldChar w:fldCharType="separate"/>
          </w:r>
          <w:r>
            <w:rPr>
              <w:rFonts w:hint="eastAsia" w:ascii="宋体" w:hAnsi="宋体"/>
              <w:bCs/>
              <w:szCs w:val="44"/>
            </w:rPr>
            <w:t>第一章  竞争性磋商公告</w:t>
          </w:r>
          <w:r>
            <w:tab/>
          </w:r>
          <w:r>
            <w:fldChar w:fldCharType="begin"/>
          </w:r>
          <w:r>
            <w:instrText xml:space="preserve"> PAGEREF _Toc11896 \h </w:instrText>
          </w:r>
          <w:r>
            <w:fldChar w:fldCharType="separate"/>
          </w:r>
          <w:r>
            <w:t>3</w:t>
          </w:r>
          <w:r>
            <w:fldChar w:fldCharType="end"/>
          </w:r>
          <w:r>
            <w:fldChar w:fldCharType="end"/>
          </w:r>
        </w:p>
        <w:p w14:paraId="118E07DE">
          <w:pPr>
            <w:pStyle w:val="15"/>
            <w:keepNext w:val="0"/>
            <w:keepLines w:val="0"/>
            <w:pageBreakBefore w:val="0"/>
            <w:tabs>
              <w:tab w:val="right" w:leader="dot" w:pos="9747"/>
            </w:tabs>
            <w:kinsoku/>
            <w:wordWrap/>
            <w:overflowPunct/>
            <w:topLinePunct w:val="0"/>
            <w:autoSpaceDE/>
            <w:autoSpaceDN/>
            <w:bidi w:val="0"/>
            <w:adjustRightInd/>
            <w:snapToGrid/>
            <w:spacing w:line="480" w:lineRule="auto"/>
            <w:textAlignment w:val="auto"/>
          </w:pPr>
          <w:r>
            <w:fldChar w:fldCharType="begin"/>
          </w:r>
          <w:r>
            <w:instrText xml:space="preserve"> HYPERLINK \l _Toc11466 </w:instrText>
          </w:r>
          <w:r>
            <w:fldChar w:fldCharType="separate"/>
          </w:r>
          <w:r>
            <w:rPr>
              <w:rFonts w:hint="eastAsia" w:ascii="宋体" w:hAnsi="宋体"/>
              <w:szCs w:val="44"/>
            </w:rPr>
            <w:t>第二章  供应商须知</w:t>
          </w:r>
          <w:r>
            <w:tab/>
          </w:r>
          <w:r>
            <w:fldChar w:fldCharType="begin"/>
          </w:r>
          <w:r>
            <w:instrText xml:space="preserve"> PAGEREF _Toc11466 \h </w:instrText>
          </w:r>
          <w:r>
            <w:fldChar w:fldCharType="separate"/>
          </w:r>
          <w:r>
            <w:t>7</w:t>
          </w:r>
          <w:r>
            <w:fldChar w:fldCharType="end"/>
          </w:r>
          <w:r>
            <w:fldChar w:fldCharType="end"/>
          </w:r>
        </w:p>
        <w:p w14:paraId="594687F5">
          <w:pPr>
            <w:pStyle w:val="15"/>
            <w:keepNext w:val="0"/>
            <w:keepLines w:val="0"/>
            <w:pageBreakBefore w:val="0"/>
            <w:tabs>
              <w:tab w:val="right" w:leader="dot" w:pos="9747"/>
            </w:tabs>
            <w:kinsoku/>
            <w:wordWrap/>
            <w:overflowPunct/>
            <w:topLinePunct w:val="0"/>
            <w:autoSpaceDE/>
            <w:autoSpaceDN/>
            <w:bidi w:val="0"/>
            <w:adjustRightInd/>
            <w:snapToGrid/>
            <w:spacing w:line="480" w:lineRule="auto"/>
            <w:textAlignment w:val="auto"/>
          </w:pPr>
          <w:r>
            <w:fldChar w:fldCharType="begin"/>
          </w:r>
          <w:r>
            <w:instrText xml:space="preserve"> HYPERLINK \l _Toc29636 </w:instrText>
          </w:r>
          <w:r>
            <w:fldChar w:fldCharType="separate"/>
          </w:r>
          <w:r>
            <w:rPr>
              <w:rFonts w:hint="eastAsia" w:ascii="宋体" w:hAnsi="宋体"/>
              <w:szCs w:val="44"/>
            </w:rPr>
            <w:t>第三章 磋商办法</w:t>
          </w:r>
          <w:r>
            <w:tab/>
          </w:r>
          <w:r>
            <w:fldChar w:fldCharType="begin"/>
          </w:r>
          <w:r>
            <w:instrText xml:space="preserve"> PAGEREF _Toc29636 \h </w:instrText>
          </w:r>
          <w:r>
            <w:fldChar w:fldCharType="separate"/>
          </w:r>
          <w:r>
            <w:t>38</w:t>
          </w:r>
          <w:r>
            <w:fldChar w:fldCharType="end"/>
          </w:r>
          <w:r>
            <w:fldChar w:fldCharType="end"/>
          </w:r>
        </w:p>
        <w:p w14:paraId="523AD02C">
          <w:pPr>
            <w:pStyle w:val="15"/>
            <w:keepNext w:val="0"/>
            <w:keepLines w:val="0"/>
            <w:pageBreakBefore w:val="0"/>
            <w:tabs>
              <w:tab w:val="right" w:leader="dot" w:pos="9747"/>
            </w:tabs>
            <w:kinsoku/>
            <w:wordWrap/>
            <w:overflowPunct/>
            <w:topLinePunct w:val="0"/>
            <w:autoSpaceDE/>
            <w:autoSpaceDN/>
            <w:bidi w:val="0"/>
            <w:adjustRightInd/>
            <w:snapToGrid/>
            <w:spacing w:line="480" w:lineRule="auto"/>
            <w:textAlignment w:val="auto"/>
          </w:pPr>
          <w:r>
            <w:fldChar w:fldCharType="begin"/>
          </w:r>
          <w:r>
            <w:instrText xml:space="preserve"> HYPERLINK \l _Toc29814 </w:instrText>
          </w:r>
          <w:r>
            <w:fldChar w:fldCharType="separate"/>
          </w:r>
          <w:r>
            <w:rPr>
              <w:rFonts w:hint="eastAsia" w:ascii="宋体" w:hAnsi="宋体"/>
              <w:szCs w:val="44"/>
            </w:rPr>
            <w:t>第四章 采购内容及</w:t>
          </w:r>
          <w:r>
            <w:rPr>
              <w:rFonts w:hint="eastAsia" w:ascii="宋体" w:hAnsi="宋体"/>
              <w:szCs w:val="44"/>
              <w:lang w:val="en-US" w:eastAsia="zh-CN"/>
            </w:rPr>
            <w:t>商务</w:t>
          </w:r>
          <w:r>
            <w:rPr>
              <w:rFonts w:hint="eastAsia" w:ascii="宋体" w:hAnsi="宋体"/>
              <w:szCs w:val="44"/>
            </w:rPr>
            <w:t>要求</w:t>
          </w:r>
          <w:r>
            <w:tab/>
          </w:r>
          <w:r>
            <w:fldChar w:fldCharType="begin"/>
          </w:r>
          <w:r>
            <w:instrText xml:space="preserve"> PAGEREF _Toc29814 \h </w:instrText>
          </w:r>
          <w:r>
            <w:fldChar w:fldCharType="separate"/>
          </w:r>
          <w:r>
            <w:t>52</w:t>
          </w:r>
          <w:r>
            <w:fldChar w:fldCharType="end"/>
          </w:r>
          <w:r>
            <w:fldChar w:fldCharType="end"/>
          </w:r>
        </w:p>
        <w:p w14:paraId="310CA680">
          <w:pPr>
            <w:pStyle w:val="15"/>
            <w:keepNext w:val="0"/>
            <w:keepLines w:val="0"/>
            <w:pageBreakBefore w:val="0"/>
            <w:tabs>
              <w:tab w:val="right" w:leader="dot" w:pos="9747"/>
            </w:tabs>
            <w:kinsoku/>
            <w:wordWrap/>
            <w:overflowPunct/>
            <w:topLinePunct w:val="0"/>
            <w:autoSpaceDE/>
            <w:autoSpaceDN/>
            <w:bidi w:val="0"/>
            <w:adjustRightInd/>
            <w:snapToGrid/>
            <w:spacing w:line="480" w:lineRule="auto"/>
            <w:textAlignment w:val="auto"/>
          </w:pPr>
          <w:r>
            <w:fldChar w:fldCharType="begin"/>
          </w:r>
          <w:r>
            <w:instrText xml:space="preserve"> HYPERLINK \l _Toc24367 </w:instrText>
          </w:r>
          <w:r>
            <w:fldChar w:fldCharType="separate"/>
          </w:r>
          <w:r>
            <w:rPr>
              <w:rFonts w:hint="eastAsia" w:ascii="宋体" w:hAnsi="宋体" w:eastAsia="宋体" w:cs="Times New Roman"/>
              <w:kern w:val="44"/>
              <w:szCs w:val="44"/>
              <w:lang w:val="en-US" w:eastAsia="zh-CN"/>
            </w:rPr>
            <w:t>第五章 主</w:t>
          </w:r>
          <w:r>
            <w:rPr>
              <w:rFonts w:hint="eastAsia" w:ascii="宋体" w:hAnsi="宋体"/>
              <w:kern w:val="44"/>
              <w:szCs w:val="44"/>
              <w:lang w:val="en-US" w:eastAsia="zh-CN"/>
            </w:rPr>
            <w:t>要</w:t>
          </w:r>
          <w:r>
            <w:rPr>
              <w:rFonts w:hint="eastAsia" w:ascii="宋体" w:hAnsi="宋体"/>
              <w:kern w:val="44"/>
              <w:szCs w:val="44"/>
            </w:rPr>
            <w:t>合同主要条款</w:t>
          </w:r>
          <w:r>
            <w:tab/>
          </w:r>
          <w:r>
            <w:fldChar w:fldCharType="begin"/>
          </w:r>
          <w:r>
            <w:instrText xml:space="preserve"> PAGEREF _Toc24367 \h </w:instrText>
          </w:r>
          <w:r>
            <w:fldChar w:fldCharType="separate"/>
          </w:r>
          <w:r>
            <w:t>54</w:t>
          </w:r>
          <w:r>
            <w:fldChar w:fldCharType="end"/>
          </w:r>
          <w:r>
            <w:fldChar w:fldCharType="end"/>
          </w:r>
        </w:p>
        <w:p w14:paraId="5009DE23">
          <w:pPr>
            <w:pStyle w:val="15"/>
            <w:keepNext w:val="0"/>
            <w:keepLines w:val="0"/>
            <w:pageBreakBefore w:val="0"/>
            <w:tabs>
              <w:tab w:val="right" w:leader="dot" w:pos="9747"/>
            </w:tabs>
            <w:kinsoku/>
            <w:wordWrap/>
            <w:overflowPunct/>
            <w:topLinePunct w:val="0"/>
            <w:autoSpaceDE/>
            <w:autoSpaceDN/>
            <w:bidi w:val="0"/>
            <w:adjustRightInd/>
            <w:snapToGrid/>
            <w:spacing w:line="480" w:lineRule="auto"/>
            <w:textAlignment w:val="auto"/>
          </w:pPr>
          <w:r>
            <w:fldChar w:fldCharType="begin"/>
          </w:r>
          <w:r>
            <w:instrText xml:space="preserve"> HYPERLINK \l _Toc20353 </w:instrText>
          </w:r>
          <w:r>
            <w:fldChar w:fldCharType="separate"/>
          </w:r>
          <w:r>
            <w:rPr>
              <w:rFonts w:hint="eastAsia" w:ascii="宋体" w:hAnsi="宋体"/>
              <w:szCs w:val="44"/>
            </w:rPr>
            <w:t>第六章 响应文件格式</w:t>
          </w:r>
          <w:r>
            <w:tab/>
          </w:r>
          <w:r>
            <w:fldChar w:fldCharType="begin"/>
          </w:r>
          <w:r>
            <w:instrText xml:space="preserve"> PAGEREF _Toc20353 \h </w:instrText>
          </w:r>
          <w:r>
            <w:fldChar w:fldCharType="separate"/>
          </w:r>
          <w:r>
            <w:t>59</w:t>
          </w:r>
          <w:r>
            <w:fldChar w:fldCharType="end"/>
          </w:r>
          <w:r>
            <w:fldChar w:fldCharType="end"/>
          </w:r>
        </w:p>
        <w:p w14:paraId="0B5F1A75">
          <w:pPr>
            <w:keepNext w:val="0"/>
            <w:keepLines w:val="0"/>
            <w:pageBreakBefore w:val="0"/>
            <w:kinsoku/>
            <w:wordWrap/>
            <w:overflowPunct/>
            <w:topLinePunct w:val="0"/>
            <w:autoSpaceDE/>
            <w:autoSpaceDN/>
            <w:bidi w:val="0"/>
            <w:adjustRightInd/>
            <w:snapToGrid/>
            <w:spacing w:line="480" w:lineRule="auto"/>
            <w:textAlignment w:val="auto"/>
          </w:pPr>
          <w:r>
            <w:fldChar w:fldCharType="end"/>
          </w:r>
        </w:p>
      </w:sdtContent>
    </w:sdt>
    <w:p w14:paraId="0891991C"/>
    <w:p w14:paraId="538C0784">
      <w:pPr>
        <w:rPr>
          <w:rFonts w:hint="eastAsia" w:ascii="宋体" w:hAnsi="宋体"/>
          <w:b/>
          <w:bCs/>
          <w:color w:val="auto"/>
          <w:sz w:val="44"/>
          <w:szCs w:val="44"/>
        </w:rPr>
      </w:pPr>
      <w:r>
        <w:rPr>
          <w:rFonts w:hint="eastAsia" w:ascii="宋体" w:hAnsi="宋体"/>
          <w:b/>
          <w:bCs/>
          <w:color w:val="auto"/>
          <w:sz w:val="44"/>
          <w:szCs w:val="44"/>
        </w:rPr>
        <w:br w:type="page"/>
      </w:r>
    </w:p>
    <w:p w14:paraId="6C0C9AD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b/>
          <w:bCs/>
          <w:color w:val="auto"/>
        </w:rPr>
      </w:pPr>
      <w:bookmarkStart w:id="3" w:name="_Toc11896"/>
      <w:r>
        <w:rPr>
          <w:rFonts w:hint="eastAsia" w:ascii="宋体" w:hAnsi="宋体"/>
          <w:b/>
          <w:bCs/>
          <w:color w:val="auto"/>
          <w:sz w:val="44"/>
          <w:szCs w:val="44"/>
        </w:rPr>
        <w:t>第一章  竞争性磋商公告</w:t>
      </w:r>
      <w:bookmarkEnd w:id="2"/>
      <w:bookmarkEnd w:id="3"/>
    </w:p>
    <w:p w14:paraId="76535CD3">
      <w:pPr>
        <w:pStyle w:val="19"/>
        <w:snapToGrid w:val="0"/>
        <w:spacing w:before="0" w:beforeAutospacing="0" w:after="0" w:afterAutospacing="0" w:line="360" w:lineRule="auto"/>
        <w:ind w:firstLine="420" w:firstLineChars="200"/>
        <w:jc w:val="both"/>
        <w:textAlignment w:val="baseline"/>
        <w:rPr>
          <w:rFonts w:hint="eastAsia" w:cs="宋体"/>
          <w:b/>
          <w:bCs/>
          <w:color w:val="auto"/>
          <w:sz w:val="21"/>
          <w:szCs w:val="21"/>
          <w:shd w:val="clear" w:color="auto" w:fill="FFFFFF"/>
        </w:rPr>
      </w:pPr>
      <w:bookmarkStart w:id="4" w:name="_Toc217446031"/>
      <w:bookmarkStart w:id="5" w:name="_Toc213396945"/>
      <w:bookmarkStart w:id="6" w:name="_Toc213397009"/>
      <w:bookmarkStart w:id="7" w:name="_Toc213496267"/>
      <w:bookmarkStart w:id="8" w:name="_Toc213396759"/>
      <w:bookmarkStart w:id="9" w:name="_Toc183682339"/>
      <w:bookmarkStart w:id="10" w:name="_Toc77400776"/>
      <w:bookmarkStart w:id="11" w:name="_Toc89075871"/>
      <w:bookmarkStart w:id="12" w:name="_Toc183582202"/>
      <w:r>
        <w:rPr>
          <w:rFonts w:hint="eastAsia" w:cs="宋体"/>
          <w:color w:val="auto"/>
          <w:sz w:val="21"/>
          <w:szCs w:val="21"/>
          <w:shd w:val="clear" w:color="auto" w:fill="FFFFFF"/>
          <w:lang w:eastAsia="zh-CN"/>
        </w:rPr>
        <w:t>旬邑县土桥镇地质灾害风险调查评价项目</w:t>
      </w:r>
      <w:r>
        <w:rPr>
          <w:rFonts w:hint="eastAsia" w:cs="宋体"/>
          <w:color w:val="auto"/>
          <w:sz w:val="21"/>
          <w:szCs w:val="21"/>
          <w:shd w:val="clear" w:color="auto" w:fill="FFFFFF"/>
        </w:rPr>
        <w:t>采购项目的潜在供应商应在陕西省咸阳市秦都区新华大厦1508室获取采购文件，并于</w:t>
      </w:r>
      <w:r>
        <w:rPr>
          <w:rFonts w:hint="eastAsia" w:cs="宋体"/>
          <w:color w:val="auto"/>
          <w:sz w:val="21"/>
          <w:szCs w:val="21"/>
          <w:shd w:val="clear" w:color="auto" w:fill="FFFFFF"/>
          <w:lang w:eastAsia="zh-CN"/>
        </w:rPr>
        <w:t>202</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lang w:eastAsia="zh-CN"/>
        </w:rPr>
        <w:t>年</w:t>
      </w:r>
      <w:r>
        <w:rPr>
          <w:rFonts w:hint="eastAsia" w:cs="宋体"/>
          <w:color w:val="auto"/>
          <w:sz w:val="21"/>
          <w:szCs w:val="21"/>
          <w:shd w:val="clear" w:color="auto" w:fill="FFFFFF"/>
          <w:lang w:val="en-US" w:eastAsia="zh-CN"/>
        </w:rPr>
        <w:t>09</w:t>
      </w:r>
      <w:r>
        <w:rPr>
          <w:rFonts w:hint="eastAsia" w:cs="宋体"/>
          <w:color w:val="auto"/>
          <w:sz w:val="21"/>
          <w:szCs w:val="21"/>
          <w:shd w:val="clear" w:color="auto" w:fill="FFFFFF"/>
          <w:lang w:eastAsia="zh-CN"/>
        </w:rPr>
        <w:t>月</w:t>
      </w:r>
      <w:r>
        <w:rPr>
          <w:rFonts w:hint="eastAsia" w:cs="宋体"/>
          <w:color w:val="auto"/>
          <w:sz w:val="21"/>
          <w:szCs w:val="21"/>
          <w:shd w:val="clear" w:color="auto" w:fill="FFFFFF"/>
          <w:lang w:val="en-US" w:eastAsia="zh-CN"/>
        </w:rPr>
        <w:t>07</w:t>
      </w:r>
      <w:r>
        <w:rPr>
          <w:rFonts w:hint="eastAsia" w:cs="宋体"/>
          <w:color w:val="auto"/>
          <w:sz w:val="21"/>
          <w:szCs w:val="21"/>
          <w:shd w:val="clear" w:color="auto" w:fill="FFFFFF"/>
          <w:lang w:eastAsia="zh-CN"/>
        </w:rPr>
        <w:t>日</w:t>
      </w:r>
      <w:r>
        <w:rPr>
          <w:rFonts w:hint="eastAsia" w:cs="宋体"/>
          <w:color w:val="auto"/>
          <w:sz w:val="21"/>
          <w:szCs w:val="21"/>
          <w:shd w:val="clear" w:color="auto" w:fill="FFFFFF"/>
          <w:lang w:val="en-US" w:eastAsia="zh-CN"/>
        </w:rPr>
        <w:t>14</w:t>
      </w:r>
      <w:r>
        <w:rPr>
          <w:rFonts w:hint="eastAsia" w:cs="宋体"/>
          <w:color w:val="auto"/>
          <w:sz w:val="21"/>
          <w:szCs w:val="21"/>
          <w:shd w:val="clear" w:color="auto" w:fill="FFFFFF"/>
          <w:lang w:eastAsia="zh-CN"/>
        </w:rPr>
        <w:t>时</w:t>
      </w:r>
      <w:r>
        <w:rPr>
          <w:rFonts w:hint="eastAsia" w:cs="宋体"/>
          <w:color w:val="auto"/>
          <w:sz w:val="21"/>
          <w:szCs w:val="21"/>
          <w:shd w:val="clear" w:color="auto" w:fill="FFFFFF"/>
          <w:lang w:val="en-US" w:eastAsia="zh-CN"/>
        </w:rPr>
        <w:t>3</w:t>
      </w:r>
      <w:r>
        <w:rPr>
          <w:rFonts w:hint="eastAsia" w:cs="宋体"/>
          <w:color w:val="auto"/>
          <w:sz w:val="21"/>
          <w:szCs w:val="21"/>
          <w:shd w:val="clear" w:color="auto" w:fill="FFFFFF"/>
          <w:lang w:eastAsia="zh-CN"/>
        </w:rPr>
        <w:t>0分</w:t>
      </w:r>
      <w:r>
        <w:rPr>
          <w:rFonts w:hint="eastAsia" w:cs="宋体"/>
          <w:color w:val="auto"/>
          <w:sz w:val="21"/>
          <w:szCs w:val="21"/>
          <w:shd w:val="clear" w:color="auto" w:fill="FFFFFF"/>
        </w:rPr>
        <w:t>（北京时间）前提交响应文件。</w:t>
      </w:r>
    </w:p>
    <w:p w14:paraId="44BB80A3">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一、项目基本情况</w:t>
      </w:r>
    </w:p>
    <w:p w14:paraId="7902A8C4">
      <w:pPr>
        <w:pStyle w:val="19"/>
        <w:snapToGrid w:val="0"/>
        <w:spacing w:before="0" w:beforeAutospacing="0" w:after="0" w:afterAutospacing="0" w:line="360" w:lineRule="auto"/>
        <w:ind w:left="480"/>
        <w:jc w:val="both"/>
        <w:textAlignment w:val="baseline"/>
        <w:rPr>
          <w:rFonts w:hint="eastAsia" w:eastAsia="宋体" w:cs="宋体"/>
          <w:color w:val="auto"/>
          <w:sz w:val="21"/>
          <w:szCs w:val="21"/>
          <w:shd w:val="clear" w:color="auto" w:fill="FFFFFF"/>
          <w:lang w:eastAsia="zh-CN"/>
        </w:rPr>
      </w:pPr>
      <w:r>
        <w:rPr>
          <w:rFonts w:hint="eastAsia" w:cs="宋体"/>
          <w:color w:val="auto"/>
          <w:sz w:val="21"/>
          <w:szCs w:val="21"/>
          <w:shd w:val="clear" w:color="auto" w:fill="FFFFFF"/>
        </w:rPr>
        <w:t>项目编号：</w:t>
      </w:r>
      <w:r>
        <w:rPr>
          <w:rFonts w:hint="eastAsia" w:cs="宋体"/>
          <w:color w:val="auto"/>
          <w:sz w:val="21"/>
          <w:szCs w:val="21"/>
          <w:shd w:val="clear" w:color="auto" w:fill="FFFFFF"/>
          <w:lang w:eastAsia="zh-CN"/>
        </w:rPr>
        <w:t>YZ2026-ZB037</w:t>
      </w:r>
    </w:p>
    <w:p w14:paraId="157ABD17">
      <w:pPr>
        <w:pStyle w:val="19"/>
        <w:snapToGrid w:val="0"/>
        <w:spacing w:before="0" w:beforeAutospacing="0" w:after="0" w:afterAutospacing="0" w:line="360" w:lineRule="auto"/>
        <w:ind w:left="480"/>
        <w:jc w:val="both"/>
        <w:textAlignment w:val="baseline"/>
        <w:rPr>
          <w:rFonts w:hint="eastAsia" w:cs="宋体"/>
          <w:color w:val="auto"/>
          <w:sz w:val="21"/>
          <w:szCs w:val="21"/>
          <w:shd w:val="clear" w:color="auto" w:fill="FFFFFF"/>
          <w:lang w:eastAsia="zh-CN"/>
        </w:rPr>
      </w:pPr>
      <w:r>
        <w:rPr>
          <w:rFonts w:hint="eastAsia" w:cs="宋体"/>
          <w:color w:val="auto"/>
          <w:sz w:val="21"/>
          <w:szCs w:val="21"/>
          <w:shd w:val="clear" w:color="auto" w:fill="FFFFFF"/>
        </w:rPr>
        <w:t>项目名称：</w:t>
      </w:r>
      <w:r>
        <w:rPr>
          <w:rFonts w:hint="eastAsia" w:cs="宋体"/>
          <w:color w:val="auto"/>
          <w:sz w:val="21"/>
          <w:szCs w:val="21"/>
          <w:shd w:val="clear" w:color="auto" w:fill="FFFFFF"/>
          <w:lang w:eastAsia="zh-CN"/>
        </w:rPr>
        <w:t>旬邑县土桥镇地质灾害风险调查评价项目</w:t>
      </w:r>
    </w:p>
    <w:p w14:paraId="15CA3F18">
      <w:pPr>
        <w:pStyle w:val="19"/>
        <w:snapToGrid w:val="0"/>
        <w:spacing w:before="0" w:beforeAutospacing="0" w:after="0" w:afterAutospacing="0" w:line="360" w:lineRule="auto"/>
        <w:ind w:left="480"/>
        <w:jc w:val="both"/>
        <w:textAlignment w:val="baseline"/>
        <w:rPr>
          <w:rFonts w:cs="宋体"/>
          <w:color w:val="auto"/>
          <w:sz w:val="21"/>
          <w:szCs w:val="21"/>
          <w:shd w:val="clear" w:color="auto" w:fill="FFFFFF"/>
        </w:rPr>
      </w:pPr>
      <w:r>
        <w:rPr>
          <w:rFonts w:hint="eastAsia" w:cs="宋体"/>
          <w:color w:val="auto"/>
          <w:sz w:val="21"/>
          <w:szCs w:val="21"/>
          <w:shd w:val="clear" w:color="auto" w:fill="FFFFFF"/>
        </w:rPr>
        <w:t>采购方式：竞争性磋商</w:t>
      </w:r>
    </w:p>
    <w:p w14:paraId="022E2B7D">
      <w:pPr>
        <w:pStyle w:val="19"/>
        <w:snapToGrid w:val="0"/>
        <w:spacing w:before="0" w:beforeAutospacing="0" w:after="0" w:afterAutospacing="0" w:line="360" w:lineRule="auto"/>
        <w:ind w:left="480"/>
        <w:jc w:val="both"/>
        <w:textAlignment w:val="baseline"/>
        <w:rPr>
          <w:rFonts w:hint="eastAsia" w:cs="宋体"/>
          <w:color w:val="auto"/>
          <w:sz w:val="21"/>
          <w:szCs w:val="21"/>
          <w:shd w:val="clear" w:color="auto" w:fill="FFFFFF"/>
        </w:rPr>
      </w:pPr>
      <w:r>
        <w:rPr>
          <w:rFonts w:hint="eastAsia" w:cs="宋体"/>
          <w:color w:val="auto"/>
          <w:sz w:val="21"/>
          <w:szCs w:val="21"/>
          <w:shd w:val="clear" w:color="auto" w:fill="FFFFFF"/>
        </w:rPr>
        <w:t>预算金额：</w:t>
      </w:r>
      <w:r>
        <w:rPr>
          <w:rFonts w:hint="eastAsia" w:cs="宋体"/>
          <w:color w:val="auto"/>
          <w:sz w:val="21"/>
          <w:szCs w:val="21"/>
          <w:shd w:val="clear" w:color="auto" w:fill="FFFFFF"/>
          <w:lang w:val="en-US" w:eastAsia="zh-CN"/>
        </w:rPr>
        <w:t>1100000.00</w:t>
      </w:r>
      <w:r>
        <w:rPr>
          <w:rFonts w:hint="eastAsia" w:cs="宋体"/>
          <w:color w:val="auto"/>
          <w:sz w:val="21"/>
          <w:szCs w:val="21"/>
          <w:shd w:val="clear" w:color="auto" w:fill="FFFFFF"/>
        </w:rPr>
        <w:t>元</w:t>
      </w:r>
    </w:p>
    <w:p w14:paraId="7A960636">
      <w:pPr>
        <w:pStyle w:val="19"/>
        <w:snapToGrid w:val="0"/>
        <w:spacing w:before="0" w:beforeAutospacing="0" w:after="0" w:afterAutospacing="0" w:line="360" w:lineRule="auto"/>
        <w:ind w:left="480"/>
        <w:jc w:val="both"/>
        <w:textAlignment w:val="baseline"/>
        <w:rPr>
          <w:rFonts w:hint="eastAsia" w:cs="宋体"/>
          <w:color w:val="auto"/>
          <w:sz w:val="21"/>
          <w:szCs w:val="21"/>
          <w:shd w:val="clear" w:color="auto" w:fill="FFFFFF"/>
        </w:rPr>
      </w:pPr>
      <w:r>
        <w:rPr>
          <w:rFonts w:hint="eastAsia" w:cs="宋体"/>
          <w:color w:val="auto"/>
          <w:sz w:val="21"/>
          <w:szCs w:val="21"/>
          <w:shd w:val="clear" w:color="auto" w:fill="FFFFFF"/>
        </w:rPr>
        <w:t>采购需求：</w:t>
      </w:r>
    </w:p>
    <w:p w14:paraId="40221FAE">
      <w:pPr>
        <w:pStyle w:val="19"/>
        <w:snapToGrid w:val="0"/>
        <w:spacing w:before="0" w:beforeAutospacing="0" w:after="0" w:afterAutospacing="0" w:line="360" w:lineRule="auto"/>
        <w:ind w:left="480"/>
        <w:jc w:val="both"/>
        <w:textAlignment w:val="baseline"/>
        <w:rPr>
          <w:rFonts w:hint="eastAsia" w:eastAsia="宋体" w:cs="宋体"/>
          <w:b/>
          <w:bCs/>
          <w:color w:val="auto"/>
          <w:sz w:val="21"/>
          <w:szCs w:val="21"/>
          <w:shd w:val="clear" w:color="auto" w:fill="FFFFFF"/>
          <w:lang w:eastAsia="zh-CN"/>
        </w:rPr>
      </w:pPr>
      <w:r>
        <w:rPr>
          <w:rFonts w:hint="eastAsia" w:cs="宋体"/>
          <w:b/>
          <w:bCs/>
          <w:color w:val="auto"/>
          <w:sz w:val="21"/>
          <w:szCs w:val="21"/>
          <w:shd w:val="clear" w:color="auto" w:fill="FFFFFF"/>
        </w:rPr>
        <w:t>合同包1(</w:t>
      </w:r>
      <w:r>
        <w:rPr>
          <w:rFonts w:hint="eastAsia" w:cs="宋体"/>
          <w:b/>
          <w:bCs/>
          <w:color w:val="auto"/>
          <w:sz w:val="21"/>
          <w:szCs w:val="21"/>
          <w:shd w:val="clear" w:color="auto" w:fill="FFFFFF"/>
          <w:lang w:val="en-US" w:eastAsia="zh-CN"/>
        </w:rPr>
        <w:t>旬邑县土桥镇地质灾害风险调查评价项目</w:t>
      </w:r>
      <w:r>
        <w:rPr>
          <w:rFonts w:hint="eastAsia" w:cs="宋体"/>
          <w:b/>
          <w:bCs/>
          <w:color w:val="auto"/>
          <w:sz w:val="21"/>
          <w:szCs w:val="21"/>
          <w:shd w:val="clear" w:color="auto" w:fill="FFFFFF"/>
        </w:rPr>
        <w:t>)</w:t>
      </w:r>
      <w:r>
        <w:rPr>
          <w:rFonts w:hint="eastAsia" w:cs="宋体"/>
          <w:b/>
          <w:bCs/>
          <w:color w:val="auto"/>
          <w:sz w:val="21"/>
          <w:szCs w:val="21"/>
          <w:shd w:val="clear" w:color="auto" w:fill="FFFFFF"/>
          <w:lang w:eastAsia="zh-CN"/>
        </w:rPr>
        <w:t>：</w:t>
      </w:r>
    </w:p>
    <w:p w14:paraId="77034A67">
      <w:pPr>
        <w:pStyle w:val="19"/>
        <w:snapToGrid w:val="0"/>
        <w:spacing w:before="0" w:beforeAutospacing="0" w:after="0" w:afterAutospacing="0" w:line="360" w:lineRule="auto"/>
        <w:ind w:left="480"/>
        <w:jc w:val="both"/>
        <w:textAlignment w:val="baseline"/>
        <w:rPr>
          <w:rFonts w:hint="eastAsia" w:cs="宋体"/>
          <w:color w:val="auto"/>
          <w:sz w:val="21"/>
          <w:szCs w:val="21"/>
          <w:shd w:val="clear" w:color="auto" w:fill="FFFFFF"/>
        </w:rPr>
      </w:pPr>
      <w:r>
        <w:rPr>
          <w:rFonts w:hint="eastAsia" w:cs="宋体"/>
          <w:color w:val="auto"/>
          <w:sz w:val="21"/>
          <w:szCs w:val="21"/>
          <w:shd w:val="clear" w:color="auto" w:fill="FFFFFF"/>
        </w:rPr>
        <w:t>合同包预算金额：</w:t>
      </w:r>
      <w:r>
        <w:rPr>
          <w:rFonts w:hint="eastAsia" w:cs="宋体"/>
          <w:color w:val="auto"/>
          <w:sz w:val="21"/>
          <w:szCs w:val="21"/>
          <w:shd w:val="clear" w:color="auto" w:fill="FFFFFF"/>
          <w:lang w:val="en-US" w:eastAsia="zh-CN"/>
        </w:rPr>
        <w:t>1100</w:t>
      </w:r>
      <w:r>
        <w:rPr>
          <w:rFonts w:hint="eastAsia" w:cs="宋体"/>
          <w:color w:val="auto"/>
          <w:sz w:val="21"/>
          <w:szCs w:val="21"/>
          <w:shd w:val="clear" w:color="auto" w:fill="FFFFFF"/>
          <w:lang w:eastAsia="zh-CN"/>
        </w:rPr>
        <w:t>000.00</w:t>
      </w:r>
      <w:r>
        <w:rPr>
          <w:rFonts w:hint="eastAsia" w:cs="宋体"/>
          <w:color w:val="auto"/>
          <w:sz w:val="21"/>
          <w:szCs w:val="21"/>
          <w:shd w:val="clear" w:color="auto" w:fill="FFFFFF"/>
        </w:rPr>
        <w:t>元</w:t>
      </w:r>
    </w:p>
    <w:p w14:paraId="3D4386BA">
      <w:pPr>
        <w:pStyle w:val="19"/>
        <w:snapToGrid w:val="0"/>
        <w:spacing w:before="0" w:beforeAutospacing="0" w:after="0" w:afterAutospacing="0" w:line="360" w:lineRule="auto"/>
        <w:ind w:left="480"/>
        <w:jc w:val="both"/>
        <w:textAlignment w:val="baseline"/>
        <w:rPr>
          <w:rFonts w:hint="eastAsia" w:cs="宋体"/>
          <w:color w:val="auto"/>
          <w:sz w:val="21"/>
          <w:szCs w:val="21"/>
          <w:shd w:val="clear" w:color="auto" w:fill="FFFFFF"/>
        </w:rPr>
      </w:pPr>
      <w:r>
        <w:rPr>
          <w:rFonts w:hint="eastAsia" w:cs="宋体"/>
          <w:color w:val="auto"/>
          <w:sz w:val="21"/>
          <w:szCs w:val="21"/>
          <w:shd w:val="clear" w:color="auto" w:fill="FFFFFF"/>
        </w:rPr>
        <w:t>合同包最高限价：</w:t>
      </w:r>
      <w:r>
        <w:rPr>
          <w:rFonts w:hint="eastAsia" w:cs="宋体"/>
          <w:color w:val="auto"/>
          <w:sz w:val="21"/>
          <w:szCs w:val="21"/>
          <w:shd w:val="clear" w:color="auto" w:fill="FFFFFF"/>
          <w:lang w:val="en-US" w:eastAsia="zh-CN"/>
        </w:rPr>
        <w:t>1100</w:t>
      </w:r>
      <w:r>
        <w:rPr>
          <w:rFonts w:hint="eastAsia" w:cs="宋体"/>
          <w:color w:val="auto"/>
          <w:sz w:val="21"/>
          <w:szCs w:val="21"/>
          <w:shd w:val="clear" w:color="auto" w:fill="FFFFFF"/>
          <w:lang w:eastAsia="zh-CN"/>
        </w:rPr>
        <w:t>000.00</w:t>
      </w:r>
      <w:r>
        <w:rPr>
          <w:rFonts w:hint="eastAsia" w:cs="宋体"/>
          <w:color w:val="auto"/>
          <w:sz w:val="21"/>
          <w:szCs w:val="21"/>
          <w:shd w:val="clear" w:color="auto" w:fill="FFFFFF"/>
        </w:rPr>
        <w:t>元</w:t>
      </w:r>
    </w:p>
    <w:tbl>
      <w:tblPr>
        <w:tblStyle w:val="23"/>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1288"/>
        <w:gridCol w:w="1801"/>
        <w:gridCol w:w="1327"/>
        <w:gridCol w:w="1457"/>
        <w:gridCol w:w="1416"/>
        <w:gridCol w:w="1270"/>
      </w:tblGrid>
      <w:tr w14:paraId="78B0F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2" w:type="dxa"/>
            <w:vAlign w:val="center"/>
          </w:tcPr>
          <w:p w14:paraId="6F13BFEC">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品目号</w:t>
            </w:r>
          </w:p>
        </w:tc>
        <w:tc>
          <w:tcPr>
            <w:tcW w:w="1288" w:type="dxa"/>
            <w:vAlign w:val="center"/>
          </w:tcPr>
          <w:p w14:paraId="30A78DC3">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品目名称</w:t>
            </w:r>
          </w:p>
        </w:tc>
        <w:tc>
          <w:tcPr>
            <w:tcW w:w="1801" w:type="dxa"/>
            <w:vAlign w:val="center"/>
          </w:tcPr>
          <w:p w14:paraId="5D178301">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采购标的</w:t>
            </w:r>
          </w:p>
        </w:tc>
        <w:tc>
          <w:tcPr>
            <w:tcW w:w="1327" w:type="dxa"/>
            <w:vAlign w:val="center"/>
          </w:tcPr>
          <w:p w14:paraId="5699BCDB">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数量（单位）</w:t>
            </w:r>
          </w:p>
        </w:tc>
        <w:tc>
          <w:tcPr>
            <w:tcW w:w="1457" w:type="dxa"/>
            <w:vAlign w:val="center"/>
          </w:tcPr>
          <w:p w14:paraId="0A45A56D">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技术规格、参数及要求</w:t>
            </w:r>
          </w:p>
        </w:tc>
        <w:tc>
          <w:tcPr>
            <w:tcW w:w="1416" w:type="dxa"/>
            <w:vAlign w:val="center"/>
          </w:tcPr>
          <w:p w14:paraId="340E6196">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品目预算(元)</w:t>
            </w:r>
          </w:p>
        </w:tc>
        <w:tc>
          <w:tcPr>
            <w:tcW w:w="1270" w:type="dxa"/>
            <w:vAlign w:val="center"/>
          </w:tcPr>
          <w:p w14:paraId="43BE8E03">
            <w:pPr>
              <w:widowControl/>
              <w:wordWrap w:val="0"/>
              <w:snapToGrid w:val="0"/>
              <w:spacing w:line="360" w:lineRule="auto"/>
              <w:jc w:val="center"/>
              <w:textAlignment w:val="center"/>
              <w:rPr>
                <w:rFonts w:ascii="宋体" w:hAnsi="宋体" w:cs="宋体"/>
                <w:color w:val="auto"/>
                <w:szCs w:val="21"/>
              </w:rPr>
            </w:pPr>
            <w:r>
              <w:rPr>
                <w:rFonts w:hint="eastAsia" w:ascii="宋体" w:hAnsi="宋体" w:cs="宋体"/>
                <w:b/>
                <w:bCs/>
                <w:color w:val="auto"/>
                <w:kern w:val="0"/>
                <w:szCs w:val="21"/>
                <w:lang w:bidi="ar"/>
              </w:rPr>
              <w:t>最高限价(元)</w:t>
            </w:r>
          </w:p>
        </w:tc>
      </w:tr>
      <w:tr w14:paraId="0D275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jc w:val="center"/>
        </w:trPr>
        <w:tc>
          <w:tcPr>
            <w:tcW w:w="872" w:type="dxa"/>
            <w:vAlign w:val="center"/>
          </w:tcPr>
          <w:p w14:paraId="04C6E6D6">
            <w:pPr>
              <w:widowControl/>
              <w:wordWrap w:val="0"/>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ascii="宋体" w:hAnsi="宋体" w:eastAsia="宋体" w:cs="宋体"/>
                <w:color w:val="auto"/>
                <w:kern w:val="0"/>
                <w:sz w:val="21"/>
                <w:szCs w:val="21"/>
                <w:shd w:val="clear" w:color="auto" w:fill="FFFFFF"/>
                <w:lang w:val="en-US" w:eastAsia="zh-CN" w:bidi="ar-SA"/>
              </w:rPr>
              <w:t>1-1</w:t>
            </w:r>
          </w:p>
        </w:tc>
        <w:tc>
          <w:tcPr>
            <w:tcW w:w="1288" w:type="dxa"/>
            <w:vAlign w:val="center"/>
          </w:tcPr>
          <w:p w14:paraId="19331CF0">
            <w:pPr>
              <w:widowControl/>
              <w:wordWrap w:val="0"/>
              <w:snapToGrid w:val="0"/>
              <w:spacing w:line="360" w:lineRule="auto"/>
              <w:jc w:val="center"/>
              <w:textAlignment w:val="center"/>
              <w:rPr>
                <w:rFonts w:hint="default" w:ascii="宋体" w:hAnsi="宋体" w:eastAsia="宋体" w:cs="宋体"/>
                <w:color w:val="auto"/>
                <w:kern w:val="0"/>
                <w:sz w:val="21"/>
                <w:szCs w:val="21"/>
                <w:shd w:val="clear" w:color="auto" w:fill="FFFFFF"/>
                <w:lang w:val="en-US" w:eastAsia="zh-CN" w:bidi="ar-SA"/>
              </w:rPr>
            </w:pPr>
            <w:r>
              <w:rPr>
                <w:rFonts w:hint="eastAsia" w:ascii="宋体" w:hAnsi="宋体" w:cs="宋体"/>
                <w:color w:val="auto"/>
                <w:kern w:val="0"/>
                <w:sz w:val="21"/>
                <w:szCs w:val="21"/>
                <w:shd w:val="clear" w:color="auto" w:fill="FFFFFF"/>
                <w:lang w:val="en-US" w:eastAsia="zh-CN" w:bidi="ar-SA"/>
              </w:rPr>
              <w:t>其他专业技术服务</w:t>
            </w:r>
          </w:p>
        </w:tc>
        <w:tc>
          <w:tcPr>
            <w:tcW w:w="1801" w:type="dxa"/>
            <w:vAlign w:val="center"/>
          </w:tcPr>
          <w:p w14:paraId="0E94F3C8">
            <w:pPr>
              <w:widowControl/>
              <w:wordWrap w:val="0"/>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cs="宋体"/>
                <w:color w:val="auto"/>
                <w:sz w:val="21"/>
                <w:szCs w:val="21"/>
                <w:shd w:val="clear" w:color="auto" w:fill="FFFFFF"/>
                <w:lang w:eastAsia="zh-CN"/>
              </w:rPr>
              <w:t>旬邑县土桥镇地质灾害风险调查评价项目</w:t>
            </w:r>
          </w:p>
        </w:tc>
        <w:tc>
          <w:tcPr>
            <w:tcW w:w="1327" w:type="dxa"/>
            <w:vAlign w:val="center"/>
          </w:tcPr>
          <w:p w14:paraId="3E689462">
            <w:pPr>
              <w:widowControl/>
              <w:wordWrap w:val="0"/>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ascii="宋体" w:hAnsi="宋体" w:eastAsia="宋体" w:cs="宋体"/>
                <w:color w:val="auto"/>
                <w:kern w:val="0"/>
                <w:sz w:val="21"/>
                <w:szCs w:val="21"/>
                <w:shd w:val="clear" w:color="auto" w:fill="FFFFFF"/>
                <w:lang w:val="en-US" w:eastAsia="zh-CN" w:bidi="ar-SA"/>
              </w:rPr>
              <w:t>1(项)</w:t>
            </w:r>
          </w:p>
        </w:tc>
        <w:tc>
          <w:tcPr>
            <w:tcW w:w="1457" w:type="dxa"/>
            <w:vAlign w:val="center"/>
          </w:tcPr>
          <w:p w14:paraId="3A162E05">
            <w:pPr>
              <w:widowControl/>
              <w:wordWrap w:val="0"/>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ascii="宋体" w:hAnsi="宋体" w:eastAsia="宋体" w:cs="宋体"/>
                <w:color w:val="auto"/>
                <w:kern w:val="0"/>
                <w:sz w:val="21"/>
                <w:szCs w:val="21"/>
                <w:shd w:val="clear" w:color="auto" w:fill="FFFFFF"/>
                <w:lang w:val="en-US" w:eastAsia="zh-CN" w:bidi="ar-SA"/>
              </w:rPr>
              <w:t>详见采购</w:t>
            </w:r>
          </w:p>
          <w:p w14:paraId="1DAE2776">
            <w:pPr>
              <w:widowControl/>
              <w:wordWrap w:val="0"/>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ascii="宋体" w:hAnsi="宋体" w:eastAsia="宋体" w:cs="宋体"/>
                <w:color w:val="auto"/>
                <w:kern w:val="0"/>
                <w:sz w:val="21"/>
                <w:szCs w:val="21"/>
                <w:shd w:val="clear" w:color="auto" w:fill="FFFFFF"/>
                <w:lang w:val="en-US" w:eastAsia="zh-CN" w:bidi="ar-SA"/>
              </w:rPr>
              <w:t>文件</w:t>
            </w:r>
          </w:p>
        </w:tc>
        <w:tc>
          <w:tcPr>
            <w:tcW w:w="1416" w:type="dxa"/>
            <w:vAlign w:val="center"/>
          </w:tcPr>
          <w:p w14:paraId="75BA48F6">
            <w:pPr>
              <w:widowControl/>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cs="宋体"/>
                <w:color w:val="auto"/>
                <w:sz w:val="21"/>
                <w:szCs w:val="21"/>
                <w:shd w:val="clear" w:color="auto" w:fill="FFFFFF"/>
                <w:lang w:val="en-US" w:eastAsia="zh-CN"/>
              </w:rPr>
              <w:t>1100</w:t>
            </w:r>
            <w:r>
              <w:rPr>
                <w:rFonts w:hint="eastAsia" w:cs="宋体"/>
                <w:color w:val="auto"/>
                <w:sz w:val="21"/>
                <w:szCs w:val="21"/>
                <w:shd w:val="clear" w:color="auto" w:fill="FFFFFF"/>
                <w:lang w:eastAsia="zh-CN"/>
              </w:rPr>
              <w:t>000.00</w:t>
            </w:r>
          </w:p>
        </w:tc>
        <w:tc>
          <w:tcPr>
            <w:tcW w:w="1270" w:type="dxa"/>
            <w:vAlign w:val="center"/>
          </w:tcPr>
          <w:p w14:paraId="79369085">
            <w:pPr>
              <w:widowControl/>
              <w:snapToGrid w:val="0"/>
              <w:spacing w:line="360" w:lineRule="auto"/>
              <w:jc w:val="center"/>
              <w:textAlignment w:val="center"/>
              <w:rPr>
                <w:rFonts w:hint="eastAsia" w:ascii="宋体" w:hAnsi="宋体" w:eastAsia="宋体" w:cs="宋体"/>
                <w:color w:val="auto"/>
                <w:kern w:val="0"/>
                <w:sz w:val="21"/>
                <w:szCs w:val="21"/>
                <w:shd w:val="clear" w:color="auto" w:fill="FFFFFF"/>
                <w:lang w:val="en-US" w:eastAsia="zh-CN" w:bidi="ar-SA"/>
              </w:rPr>
            </w:pPr>
            <w:r>
              <w:rPr>
                <w:rFonts w:hint="eastAsia" w:cs="宋体"/>
                <w:color w:val="auto"/>
                <w:sz w:val="21"/>
                <w:szCs w:val="21"/>
                <w:shd w:val="clear" w:color="auto" w:fill="FFFFFF"/>
                <w:lang w:val="en-US" w:eastAsia="zh-CN"/>
              </w:rPr>
              <w:t>1100</w:t>
            </w:r>
            <w:r>
              <w:rPr>
                <w:rFonts w:hint="eastAsia" w:cs="宋体"/>
                <w:color w:val="auto"/>
                <w:sz w:val="21"/>
                <w:szCs w:val="21"/>
                <w:shd w:val="clear" w:color="auto" w:fill="FFFFFF"/>
                <w:lang w:eastAsia="zh-CN"/>
              </w:rPr>
              <w:t>000.00</w:t>
            </w:r>
          </w:p>
        </w:tc>
      </w:tr>
    </w:tbl>
    <w:p w14:paraId="78A2B306">
      <w:pPr>
        <w:widowControl/>
        <w:snapToGrid w:val="0"/>
        <w:spacing w:line="360" w:lineRule="auto"/>
        <w:ind w:firstLine="420" w:firstLineChars="200"/>
        <w:rPr>
          <w:rFonts w:ascii="宋体" w:hAnsi="宋体" w:cs="宋体"/>
          <w:color w:val="auto"/>
          <w:szCs w:val="21"/>
        </w:rPr>
      </w:pPr>
    </w:p>
    <w:p w14:paraId="6BC871E8">
      <w:pPr>
        <w:pStyle w:val="19"/>
        <w:snapToGrid w:val="0"/>
        <w:spacing w:before="0" w:beforeAutospacing="0" w:after="0" w:afterAutospacing="0" w:line="360" w:lineRule="auto"/>
        <w:ind w:left="480"/>
        <w:jc w:val="both"/>
        <w:textAlignment w:val="baseline"/>
        <w:rPr>
          <w:rFonts w:hint="eastAsia" w:cs="宋体"/>
          <w:color w:val="auto"/>
          <w:sz w:val="21"/>
          <w:szCs w:val="21"/>
          <w:shd w:val="clear" w:color="auto" w:fill="FFFFFF"/>
        </w:rPr>
      </w:pPr>
      <w:r>
        <w:rPr>
          <w:rFonts w:hint="eastAsia" w:cs="宋体"/>
          <w:color w:val="auto"/>
          <w:sz w:val="21"/>
          <w:szCs w:val="21"/>
          <w:shd w:val="clear" w:color="auto" w:fill="FFFFFF"/>
        </w:rPr>
        <w:t>本合同包不接受联合体投标</w:t>
      </w:r>
    </w:p>
    <w:p w14:paraId="1DF9DF60">
      <w:pPr>
        <w:pStyle w:val="19"/>
        <w:snapToGrid w:val="0"/>
        <w:spacing w:before="0" w:beforeAutospacing="0" w:after="0" w:afterAutospacing="0" w:line="360" w:lineRule="auto"/>
        <w:ind w:left="480"/>
        <w:jc w:val="both"/>
        <w:textAlignment w:val="baseline"/>
        <w:rPr>
          <w:rFonts w:hint="eastAsia" w:cs="宋体"/>
          <w:b/>
          <w:bCs/>
          <w:color w:val="auto"/>
          <w:sz w:val="21"/>
          <w:szCs w:val="21"/>
          <w:shd w:val="clear" w:color="auto" w:fill="FFFFFF"/>
        </w:rPr>
      </w:pPr>
      <w:r>
        <w:rPr>
          <w:rFonts w:hint="eastAsia" w:cs="宋体"/>
          <w:color w:val="auto"/>
          <w:sz w:val="21"/>
          <w:szCs w:val="21"/>
          <w:shd w:val="clear" w:color="auto" w:fill="FFFFFF"/>
        </w:rPr>
        <w:t>合同履行期限</w:t>
      </w:r>
      <w:r>
        <w:rPr>
          <w:rFonts w:hint="eastAsia" w:cs="宋体"/>
          <w:color w:val="auto"/>
          <w:sz w:val="21"/>
          <w:szCs w:val="21"/>
          <w:shd w:val="clear" w:color="auto" w:fill="FFFFFF"/>
          <w:lang w:eastAsia="zh-CN"/>
        </w:rPr>
        <w:t>（</w:t>
      </w:r>
      <w:r>
        <w:rPr>
          <w:rFonts w:hint="eastAsia" w:cs="宋体"/>
          <w:color w:val="auto"/>
          <w:sz w:val="21"/>
          <w:szCs w:val="21"/>
          <w:shd w:val="clear" w:color="auto" w:fill="FFFFFF"/>
          <w:lang w:val="en-US" w:eastAsia="zh-CN"/>
        </w:rPr>
        <w:t>服务期</w:t>
      </w:r>
      <w:r>
        <w:rPr>
          <w:rFonts w:hint="eastAsia" w:cs="宋体"/>
          <w:color w:val="auto"/>
          <w:sz w:val="21"/>
          <w:szCs w:val="21"/>
          <w:shd w:val="clear" w:color="auto" w:fill="FFFFFF"/>
          <w:lang w:eastAsia="zh-CN"/>
        </w:rPr>
        <w:t>）</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详见竞争性磋商文件</w:t>
      </w:r>
      <w:r>
        <w:rPr>
          <w:rFonts w:hint="eastAsia" w:cs="宋体"/>
          <w:color w:val="auto"/>
          <w:sz w:val="21"/>
          <w:szCs w:val="21"/>
          <w:shd w:val="clear" w:color="auto" w:fill="FFFFFF"/>
        </w:rPr>
        <w:t>。</w:t>
      </w:r>
    </w:p>
    <w:p w14:paraId="71B1C4CC">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二、申请人的资格要求</w:t>
      </w:r>
    </w:p>
    <w:p w14:paraId="3FBEBAB5">
      <w:pPr>
        <w:keepNext w:val="0"/>
        <w:keepLines w:val="0"/>
        <w:pageBreakBefore w:val="0"/>
        <w:widowControl/>
        <w:kinsoku/>
        <w:wordWrap/>
        <w:overflowPunct/>
        <w:topLinePunct w:val="0"/>
        <w:autoSpaceDE/>
        <w:autoSpaceDN/>
        <w:bidi w:val="0"/>
        <w:adjustRightInd/>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1.满足《中华人民共和国政府采购法》第二十二条规定</w:t>
      </w:r>
      <w:r>
        <w:rPr>
          <w:rFonts w:hint="eastAsia" w:asciiTheme="minorEastAsia" w:hAnsiTheme="minorEastAsia" w:eastAsiaTheme="minorEastAsia" w:cstheme="minorEastAsia"/>
          <w:color w:val="auto"/>
          <w:sz w:val="21"/>
          <w:szCs w:val="21"/>
          <w:lang w:eastAsia="zh-CN"/>
        </w:rPr>
        <w:t>；</w:t>
      </w:r>
    </w:p>
    <w:p w14:paraId="62AA65EF">
      <w:pPr>
        <w:keepNext w:val="0"/>
        <w:keepLines w:val="0"/>
        <w:pageBreakBefore w:val="0"/>
        <w:widowControl/>
        <w:kinsoku/>
        <w:wordWrap/>
        <w:overflowPunct/>
        <w:topLinePunct w:val="0"/>
        <w:autoSpaceDE/>
        <w:autoSpaceDN/>
        <w:bidi w:val="0"/>
        <w:adjustRightInd/>
        <w:snapToGrid w:val="0"/>
        <w:spacing w:line="360" w:lineRule="auto"/>
        <w:ind w:firstLine="420" w:firstLineChars="200"/>
        <w:textAlignment w:val="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2.落实政府采购政策需满足的资格要求：</w:t>
      </w:r>
    </w:p>
    <w:p w14:paraId="36C33447">
      <w:pPr>
        <w:keepNext w:val="0"/>
        <w:keepLines w:val="0"/>
        <w:pageBreakBefore w:val="0"/>
        <w:widowControl/>
        <w:kinsoku/>
        <w:wordWrap/>
        <w:overflowPunct/>
        <w:topLinePunct w:val="0"/>
        <w:autoSpaceDE/>
        <w:autoSpaceDN/>
        <w:bidi w:val="0"/>
        <w:adjustRightInd/>
        <w:snapToGrid w:val="0"/>
        <w:spacing w:line="360" w:lineRule="auto"/>
        <w:ind w:firstLine="422" w:firstLineChars="200"/>
        <w:textAlignment w:val="auto"/>
        <w:rPr>
          <w:rFonts w:hint="eastAsia" w:asciiTheme="minorEastAsia" w:hAnsiTheme="minorEastAsia" w:eastAsiaTheme="minorEastAsia" w:cstheme="minorEastAsia"/>
          <w:b/>
          <w:bCs/>
          <w:color w:val="auto"/>
          <w:sz w:val="21"/>
          <w:szCs w:val="21"/>
          <w:lang w:eastAsia="zh-CN"/>
        </w:rPr>
      </w:pPr>
      <w:r>
        <w:rPr>
          <w:rFonts w:hint="eastAsia" w:asciiTheme="minorEastAsia" w:hAnsiTheme="minorEastAsia" w:eastAsiaTheme="minorEastAsia" w:cstheme="minorEastAsia"/>
          <w:b/>
          <w:bCs/>
          <w:color w:val="auto"/>
          <w:sz w:val="21"/>
          <w:szCs w:val="21"/>
        </w:rPr>
        <w:t>合同包1(</w:t>
      </w:r>
      <w:r>
        <w:rPr>
          <w:rFonts w:hint="eastAsia" w:cs="宋体"/>
          <w:b/>
          <w:bCs/>
          <w:color w:val="auto"/>
          <w:sz w:val="21"/>
          <w:szCs w:val="21"/>
          <w:shd w:val="clear" w:color="auto" w:fill="FFFFFF"/>
          <w:lang w:val="en-US" w:eastAsia="zh-CN"/>
        </w:rPr>
        <w:t>旬邑县土桥镇地质灾害风险调查评价项目</w:t>
      </w:r>
      <w:r>
        <w:rPr>
          <w:rFonts w:hint="eastAsia" w:asciiTheme="minorEastAsia" w:hAnsiTheme="minorEastAsia" w:eastAsiaTheme="minorEastAsia" w:cstheme="minorEastAsia"/>
          <w:b/>
          <w:bCs/>
          <w:color w:val="auto"/>
          <w:sz w:val="21"/>
          <w:szCs w:val="21"/>
        </w:rPr>
        <w:t>)落实政府采购政策需满足的资格要求如下</w:t>
      </w:r>
      <w:r>
        <w:rPr>
          <w:rFonts w:hint="eastAsia" w:asciiTheme="minorEastAsia" w:hAnsiTheme="minorEastAsia" w:eastAsiaTheme="minorEastAsia" w:cstheme="minorEastAsia"/>
          <w:b/>
          <w:bCs/>
          <w:color w:val="auto"/>
          <w:sz w:val="21"/>
          <w:szCs w:val="21"/>
          <w:lang w:eastAsia="zh-CN"/>
        </w:rPr>
        <w:t>：</w:t>
      </w:r>
    </w:p>
    <w:p w14:paraId="3FE7C4E2">
      <w:pPr>
        <w:pStyle w:val="19"/>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1.满足《中华人民共和国政府采购法》第二十二条规定；</w:t>
      </w:r>
    </w:p>
    <w:p w14:paraId="5658A5DA">
      <w:pPr>
        <w:pStyle w:val="19"/>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2.落实政府采购政策需满足的资格要求：</w:t>
      </w:r>
    </w:p>
    <w:p w14:paraId="361C338A">
      <w:pPr>
        <w:pStyle w:val="19"/>
        <w:keepNext w:val="0"/>
        <w:keepLines w:val="0"/>
        <w:pageBreakBefore w:val="0"/>
        <w:kinsoku/>
        <w:overflowPunct/>
        <w:topLinePunct w:val="0"/>
        <w:autoSpaceDE/>
        <w:autoSpaceDN/>
        <w:bidi w:val="0"/>
        <w:adjustRightInd/>
        <w:snapToGrid w:val="0"/>
        <w:spacing w:before="0" w:beforeAutospacing="0" w:after="0" w:afterAutospacing="0" w:line="360" w:lineRule="auto"/>
        <w:ind w:left="420" w:leftChars="200" w:firstLine="56" w:firstLineChars="27"/>
        <w:jc w:val="both"/>
        <w:textAlignment w:val="baseline"/>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（1）《政府采购促进中小企业发展管理办法》（财库〔2020〕 46号）；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（2）《关于进一步加大政府采购支持中小企业力度的通知》（财库〔2022〕 19号）；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（3）《财政部司法部关于政府采购支持监狱企业发展有关问题的通知》（财库〔2014〕 68号）；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（4）《国务院办公厅关于建立政府强制采购节能产品制度的通知》（国办发〔2007〕 51号）；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（5）《关于促进残疾人就业政府采购政策的通知》财库〔2017〕 141号；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（6）《关于调整优化节能产品、环境标志产品政府采购执行机制的通知》（财库〔2019〕 9号）；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（7）《关于运用政府采购政策支持乡村产业振兴的通知》（财库〔2021〕 19号）；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（8）《陕西省中小企业政府采购信用融资办法》（陕财办采〔2018〕 23号）；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（9）《陕西省财政厅关于加快推进我省中小企业政府采购信用融资工作的通知》（陕财办采〔2020〕 15号）；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（10）《陕西省财政厅关于进一步加强政府绿色采购有关问题的通知》（陕财办采〔2021〕 29号）；</w:t>
      </w:r>
      <w:r>
        <w:rPr>
          <w:rFonts w:hint="eastAsia" w:asciiTheme="minorEastAsia" w:hAnsiTheme="minorEastAsia" w:eastAsiaTheme="minorEastAsia" w:cstheme="minorEastAsia"/>
          <w:color w:val="auto"/>
          <w:kern w:val="2"/>
          <w:sz w:val="21"/>
          <w:szCs w:val="21"/>
          <w:lang w:val="en-US" w:eastAsia="zh-CN" w:bidi="ar-SA"/>
        </w:rPr>
        <w:br w:type="textWrapping"/>
      </w:r>
      <w:r>
        <w:rPr>
          <w:rFonts w:hint="eastAsia" w:asciiTheme="minorEastAsia" w:hAnsiTheme="minorEastAsia" w:eastAsiaTheme="minorEastAsia" w:cstheme="minorEastAsia"/>
          <w:color w:val="auto"/>
          <w:kern w:val="2"/>
          <w:sz w:val="21"/>
          <w:szCs w:val="21"/>
          <w:lang w:val="en-US" w:eastAsia="zh-CN" w:bidi="ar-SA"/>
        </w:rPr>
        <w:t>（11）其他需要落实的政府采购政策,如有最新颁布的政府采购政策，按最新的文件执行。</w:t>
      </w:r>
    </w:p>
    <w:p w14:paraId="27F4E176">
      <w:pPr>
        <w:pStyle w:val="19"/>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cs="宋体"/>
          <w:color w:val="auto"/>
          <w:sz w:val="21"/>
          <w:szCs w:val="21"/>
        </w:rPr>
      </w:pPr>
      <w:r>
        <w:rPr>
          <w:rFonts w:hint="eastAsia" w:cs="宋体"/>
          <w:color w:val="auto"/>
          <w:sz w:val="21"/>
          <w:szCs w:val="21"/>
          <w:shd w:val="clear" w:color="auto" w:fill="FFFFFF"/>
        </w:rPr>
        <w:t>3.本项目的特定资格要求：</w:t>
      </w:r>
    </w:p>
    <w:p w14:paraId="73C31988">
      <w:pPr>
        <w:pStyle w:val="19"/>
        <w:keepNext w:val="0"/>
        <w:keepLines w:val="0"/>
        <w:pageBreakBefore w:val="0"/>
        <w:kinsoku/>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asciiTheme="minorEastAsia" w:hAnsiTheme="minorEastAsia" w:eastAsiaTheme="minorEastAsia" w:cstheme="minorEastAsia"/>
          <w:b/>
          <w:bCs/>
          <w:color w:val="auto"/>
          <w:kern w:val="2"/>
          <w:sz w:val="21"/>
          <w:szCs w:val="21"/>
          <w:lang w:val="en-US" w:eastAsia="zh-CN" w:bidi="ar-SA"/>
        </w:rPr>
      </w:pPr>
      <w:r>
        <w:rPr>
          <w:rFonts w:hint="eastAsia" w:asciiTheme="minorEastAsia" w:hAnsiTheme="minorEastAsia" w:eastAsiaTheme="minorEastAsia" w:cstheme="minorEastAsia"/>
          <w:b/>
          <w:bCs/>
          <w:color w:val="auto"/>
          <w:kern w:val="2"/>
          <w:sz w:val="21"/>
          <w:szCs w:val="21"/>
          <w:lang w:val="en-US" w:eastAsia="zh-CN" w:bidi="ar-SA"/>
        </w:rPr>
        <w:t>合同包1(</w:t>
      </w:r>
      <w:r>
        <w:rPr>
          <w:rFonts w:hint="eastAsia" w:cs="宋体"/>
          <w:b/>
          <w:bCs/>
          <w:color w:val="auto"/>
          <w:sz w:val="21"/>
          <w:szCs w:val="21"/>
          <w:shd w:val="clear" w:color="auto" w:fill="FFFFFF"/>
          <w:lang w:val="en-US" w:eastAsia="zh-CN"/>
        </w:rPr>
        <w:t>旬邑县土桥镇地质灾害风险调查评价项目</w:t>
      </w:r>
      <w:r>
        <w:rPr>
          <w:rFonts w:hint="eastAsia" w:asciiTheme="minorEastAsia" w:hAnsiTheme="minorEastAsia" w:eastAsiaTheme="minorEastAsia" w:cstheme="minorEastAsia"/>
          <w:b/>
          <w:bCs/>
          <w:color w:val="auto"/>
          <w:kern w:val="2"/>
          <w:sz w:val="21"/>
          <w:szCs w:val="21"/>
          <w:lang w:val="en-US" w:eastAsia="zh-CN" w:bidi="ar-SA"/>
        </w:rPr>
        <w:t>)特定资格要求如下：</w:t>
      </w:r>
    </w:p>
    <w:p w14:paraId="19FBE85D">
      <w:pPr>
        <w:pStyle w:val="19"/>
        <w:snapToGrid w:val="0"/>
        <w:spacing w:before="0" w:beforeAutospacing="0" w:after="0" w:afterAutospacing="0" w:line="360" w:lineRule="auto"/>
        <w:ind w:firstLine="420" w:firstLineChars="200"/>
        <w:jc w:val="both"/>
        <w:textAlignment w:val="baseline"/>
        <w:rPr>
          <w:rFonts w:hint="eastAsia" w:cs="宋体"/>
          <w:b/>
          <w:bCs/>
          <w:color w:val="auto"/>
          <w:sz w:val="21"/>
          <w:szCs w:val="21"/>
          <w:shd w:val="clear" w:color="auto" w:fill="FFFFFF"/>
        </w:rPr>
      </w:pPr>
      <w:r>
        <w:rPr>
          <w:rFonts w:hint="eastAsia" w:cs="宋体"/>
          <w:color w:val="auto"/>
          <w:sz w:val="21"/>
          <w:szCs w:val="21"/>
          <w:shd w:val="clear" w:color="auto" w:fill="FFFFFF"/>
        </w:rPr>
        <w:t>（1）具有独立承担民事责任能力的法人、其他组织或自然人，并出具合法有效的营业执照或事业单位法人证书等国家规定的相关证明，自然人参与的提供其身份证明；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（2）具备地质灾害评估和治理工程勘察设计甲级及以上资质；</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（3）拟派项目负责人须具备相关专业中级及以上职称；</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4</w:t>
      </w:r>
      <w:r>
        <w:rPr>
          <w:rFonts w:hint="eastAsia" w:cs="宋体"/>
          <w:color w:val="auto"/>
          <w:sz w:val="21"/>
          <w:szCs w:val="21"/>
          <w:shd w:val="clear" w:color="auto" w:fill="FFFFFF"/>
        </w:rPr>
        <w:t>）法定代表人授权代表参加磋商的，提供法定代表人授权委托书及被授权人身份证原件；法定代表人参加磋商时,提供法定代表人身份证明及本人身份证原件；</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5</w:t>
      </w:r>
      <w:r>
        <w:rPr>
          <w:rFonts w:hint="eastAsia" w:cs="宋体"/>
          <w:color w:val="auto"/>
          <w:sz w:val="21"/>
          <w:szCs w:val="21"/>
          <w:shd w:val="clear" w:color="auto" w:fill="FFFFFF"/>
        </w:rPr>
        <w:t>）社会保障资金缴纳证明：供应商提供本单位响应截止时间前六个月内已缴纳的至少一个月的社会保障资金缴存单据或社保机构开具的社会保险参保缴费情况证明，单据或证明上应有社保机构或代收机构的公章。依法不需要缴纳社会保障资金的供应商应提供相关文件证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rPr>
        <w:t>）税收缴纳证明：供应商提供本单位响应截止时间前六个月内已缴纳的至少一个月的纳税证明或完税证明（增值税，印花税，企业所得税等一种或多种税种），依法免税的单位应提供相关证明材料；</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7</w:t>
      </w:r>
      <w:r>
        <w:rPr>
          <w:rFonts w:hint="eastAsia" w:cs="宋体"/>
          <w:color w:val="auto"/>
          <w:sz w:val="21"/>
          <w:szCs w:val="21"/>
          <w:shd w:val="clear" w:color="auto" w:fill="FFFFFF"/>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8</w:t>
      </w:r>
      <w:r>
        <w:rPr>
          <w:rFonts w:hint="eastAsia" w:cs="宋体"/>
          <w:color w:val="auto"/>
          <w:sz w:val="21"/>
          <w:szCs w:val="21"/>
          <w:shd w:val="clear" w:color="auto" w:fill="FFFFFF"/>
        </w:rPr>
        <w:t>）供应商应出具参加政府采购活动前3年内在经营活动中没有重大违法记录的书面声明；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9</w:t>
      </w:r>
      <w:r>
        <w:rPr>
          <w:rFonts w:hint="eastAsia" w:cs="宋体"/>
          <w:color w:val="auto"/>
          <w:sz w:val="21"/>
          <w:szCs w:val="21"/>
          <w:shd w:val="clear" w:color="auto" w:fill="FFFFFF"/>
        </w:rPr>
        <w:t>）供应商应出具履行合同所必需的设备和专业技术能力的承诺声明；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10</w:t>
      </w:r>
      <w:r>
        <w:rPr>
          <w:rFonts w:hint="eastAsia" w:cs="宋体"/>
          <w:color w:val="auto"/>
          <w:sz w:val="21"/>
          <w:szCs w:val="21"/>
          <w:shd w:val="clear" w:color="auto" w:fill="FFFFFF"/>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11</w:t>
      </w:r>
      <w:r>
        <w:rPr>
          <w:rFonts w:hint="eastAsia" w:cs="宋体"/>
          <w:color w:val="auto"/>
          <w:sz w:val="21"/>
          <w:szCs w:val="21"/>
          <w:shd w:val="clear" w:color="auto" w:fill="FFFFFF"/>
        </w:rPr>
        <w:t>）本项目不接受联合体磋商。</w:t>
      </w:r>
    </w:p>
    <w:p w14:paraId="0D00EF72">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三、获取采购文件</w:t>
      </w:r>
    </w:p>
    <w:p w14:paraId="222AE94E">
      <w:pPr>
        <w:pStyle w:val="19"/>
        <w:snapToGrid w:val="0"/>
        <w:spacing w:before="0" w:beforeAutospacing="0" w:after="0" w:afterAutospacing="0" w:line="360" w:lineRule="auto"/>
        <w:ind w:firstLine="420" w:firstLineChars="2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时间：</w:t>
      </w:r>
      <w:r>
        <w:rPr>
          <w:rFonts w:hint="eastAsia" w:cs="宋体"/>
          <w:color w:val="auto"/>
          <w:sz w:val="21"/>
          <w:szCs w:val="21"/>
          <w:shd w:val="clear" w:color="auto" w:fill="FFFFFF"/>
          <w:lang w:eastAsia="zh-CN"/>
        </w:rPr>
        <w:t>202</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lang w:eastAsia="zh-CN"/>
        </w:rPr>
        <w:t>年</w:t>
      </w:r>
      <w:r>
        <w:rPr>
          <w:rFonts w:hint="eastAsia" w:cs="宋体"/>
          <w:color w:val="auto"/>
          <w:sz w:val="21"/>
          <w:szCs w:val="21"/>
          <w:shd w:val="clear" w:color="auto" w:fill="FFFFFF"/>
          <w:lang w:val="en-US" w:eastAsia="zh-CN"/>
        </w:rPr>
        <w:t>08</w:t>
      </w:r>
      <w:r>
        <w:rPr>
          <w:rFonts w:hint="eastAsia" w:cs="宋体"/>
          <w:color w:val="auto"/>
          <w:sz w:val="21"/>
          <w:szCs w:val="21"/>
          <w:shd w:val="clear" w:color="auto" w:fill="FFFFFF"/>
          <w:lang w:eastAsia="zh-CN"/>
        </w:rPr>
        <w:t>月</w:t>
      </w:r>
      <w:r>
        <w:rPr>
          <w:rFonts w:hint="eastAsia" w:cs="宋体"/>
          <w:color w:val="auto"/>
          <w:sz w:val="21"/>
          <w:szCs w:val="21"/>
          <w:shd w:val="clear" w:color="auto" w:fill="FFFFFF"/>
          <w:lang w:val="en-US" w:eastAsia="zh-CN"/>
        </w:rPr>
        <w:t>25</w:t>
      </w:r>
      <w:r>
        <w:rPr>
          <w:rFonts w:hint="eastAsia" w:cs="宋体"/>
          <w:color w:val="auto"/>
          <w:sz w:val="21"/>
          <w:szCs w:val="21"/>
          <w:shd w:val="clear" w:color="auto" w:fill="FFFFFF"/>
          <w:lang w:eastAsia="zh-CN"/>
        </w:rPr>
        <w:t>日至202</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lang w:eastAsia="zh-CN"/>
        </w:rPr>
        <w:t>年</w:t>
      </w:r>
      <w:r>
        <w:rPr>
          <w:rFonts w:hint="eastAsia" w:cs="宋体"/>
          <w:color w:val="auto"/>
          <w:sz w:val="21"/>
          <w:szCs w:val="21"/>
          <w:shd w:val="clear" w:color="auto" w:fill="FFFFFF"/>
          <w:lang w:val="en-US" w:eastAsia="zh-CN"/>
        </w:rPr>
        <w:t>08</w:t>
      </w:r>
      <w:r>
        <w:rPr>
          <w:rFonts w:hint="eastAsia" w:cs="宋体"/>
          <w:color w:val="auto"/>
          <w:sz w:val="21"/>
          <w:szCs w:val="21"/>
          <w:shd w:val="clear" w:color="auto" w:fill="FFFFFF"/>
          <w:lang w:eastAsia="zh-CN"/>
        </w:rPr>
        <w:t>月</w:t>
      </w:r>
      <w:r>
        <w:rPr>
          <w:rFonts w:hint="eastAsia" w:cs="宋体"/>
          <w:color w:val="auto"/>
          <w:sz w:val="21"/>
          <w:szCs w:val="21"/>
          <w:shd w:val="clear" w:color="auto" w:fill="FFFFFF"/>
          <w:lang w:val="en-US" w:eastAsia="zh-CN"/>
        </w:rPr>
        <w:t>31</w:t>
      </w:r>
      <w:r>
        <w:rPr>
          <w:rFonts w:hint="eastAsia" w:cs="宋体"/>
          <w:color w:val="auto"/>
          <w:sz w:val="21"/>
          <w:szCs w:val="21"/>
          <w:shd w:val="clear" w:color="auto" w:fill="FFFFFF"/>
          <w:lang w:eastAsia="zh-CN"/>
        </w:rPr>
        <w:t>日</w:t>
      </w:r>
      <w:r>
        <w:rPr>
          <w:rFonts w:hint="eastAsia" w:cs="宋体"/>
          <w:color w:val="auto"/>
          <w:sz w:val="21"/>
          <w:szCs w:val="21"/>
          <w:shd w:val="clear" w:color="auto" w:fill="FFFFFF"/>
        </w:rPr>
        <w:t>，每天上午</w:t>
      </w:r>
      <w:r>
        <w:rPr>
          <w:rFonts w:hint="eastAsia" w:cs="宋体"/>
          <w:color w:val="auto"/>
          <w:sz w:val="21"/>
          <w:szCs w:val="21"/>
          <w:shd w:val="clear" w:color="auto" w:fill="FFFFFF"/>
          <w:lang w:val="en-US" w:eastAsia="zh-CN"/>
        </w:rPr>
        <w:t>09</w:t>
      </w:r>
      <w:r>
        <w:rPr>
          <w:rFonts w:hint="eastAsia" w:cs="宋体"/>
          <w:color w:val="auto"/>
          <w:sz w:val="21"/>
          <w:szCs w:val="21"/>
          <w:shd w:val="clear" w:color="auto" w:fill="FFFFFF"/>
        </w:rPr>
        <w:t>:00:00至12:00:00，下午14:00:00至1</w:t>
      </w:r>
      <w:r>
        <w:rPr>
          <w:rFonts w:hint="eastAsia" w:cs="宋体"/>
          <w:color w:val="auto"/>
          <w:sz w:val="21"/>
          <w:szCs w:val="21"/>
          <w:shd w:val="clear" w:color="auto" w:fill="FFFFFF"/>
          <w:lang w:val="en-US" w:eastAsia="zh-CN"/>
        </w:rPr>
        <w:t>7</w:t>
      </w:r>
      <w:r>
        <w:rPr>
          <w:rFonts w:hint="eastAsia" w:cs="宋体"/>
          <w:color w:val="auto"/>
          <w:sz w:val="21"/>
          <w:szCs w:val="21"/>
          <w:shd w:val="clear" w:color="auto" w:fill="FFFFFF"/>
        </w:rPr>
        <w:t>:00:00（北京时间,法定节假日除外）</w:t>
      </w:r>
    </w:p>
    <w:p w14:paraId="68071B95">
      <w:pPr>
        <w:pStyle w:val="19"/>
        <w:snapToGrid w:val="0"/>
        <w:spacing w:before="0" w:beforeAutospacing="0" w:after="0" w:afterAutospacing="0" w:line="360" w:lineRule="auto"/>
        <w:ind w:firstLine="420" w:firstLineChars="2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地点：陕西省咸阳市秦都区新华大厦1508室</w:t>
      </w:r>
    </w:p>
    <w:p w14:paraId="508D119D">
      <w:pPr>
        <w:pStyle w:val="19"/>
        <w:snapToGrid w:val="0"/>
        <w:spacing w:before="0" w:beforeAutospacing="0" w:after="0" w:afterAutospacing="0" w:line="360" w:lineRule="auto"/>
        <w:ind w:firstLine="420" w:firstLineChars="2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方式：现场获取</w:t>
      </w:r>
    </w:p>
    <w:p w14:paraId="1FD279C4">
      <w:pPr>
        <w:pStyle w:val="19"/>
        <w:snapToGrid w:val="0"/>
        <w:spacing w:before="0" w:beforeAutospacing="0" w:after="0" w:afterAutospacing="0" w:line="360" w:lineRule="auto"/>
        <w:ind w:firstLine="420" w:firstLineChars="200"/>
        <w:jc w:val="both"/>
        <w:textAlignment w:val="baseline"/>
        <w:rPr>
          <w:rFonts w:cs="宋体"/>
          <w:b/>
          <w:bCs/>
          <w:color w:val="auto"/>
          <w:sz w:val="21"/>
          <w:szCs w:val="21"/>
          <w:shd w:val="clear" w:color="auto" w:fill="FFFFFF"/>
        </w:rPr>
      </w:pPr>
      <w:r>
        <w:rPr>
          <w:rFonts w:hint="eastAsia" w:cs="宋体"/>
          <w:color w:val="auto"/>
          <w:sz w:val="21"/>
          <w:szCs w:val="21"/>
          <w:shd w:val="clear" w:color="auto" w:fill="FFFFFF"/>
        </w:rPr>
        <w:t>售价：</w:t>
      </w:r>
      <w:r>
        <w:rPr>
          <w:rFonts w:hint="eastAsia" w:cs="宋体"/>
          <w:color w:val="auto"/>
          <w:sz w:val="21"/>
          <w:szCs w:val="21"/>
          <w:shd w:val="clear" w:color="auto" w:fill="FFFFFF"/>
          <w:lang w:val="en-US" w:eastAsia="zh-CN"/>
        </w:rPr>
        <w:t>0元</w:t>
      </w:r>
    </w:p>
    <w:p w14:paraId="5AB0F641">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四、响应文件提交</w:t>
      </w:r>
    </w:p>
    <w:p w14:paraId="2B11F3FA">
      <w:pPr>
        <w:pStyle w:val="19"/>
        <w:snapToGrid w:val="0"/>
        <w:spacing w:before="0" w:beforeAutospacing="0" w:after="0" w:afterAutospacing="0" w:line="360" w:lineRule="auto"/>
        <w:ind w:firstLine="420" w:firstLineChars="2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截止时间：</w:t>
      </w:r>
      <w:r>
        <w:rPr>
          <w:rFonts w:hint="eastAsia" w:cs="宋体"/>
          <w:color w:val="auto"/>
          <w:sz w:val="21"/>
          <w:szCs w:val="21"/>
          <w:shd w:val="clear" w:color="auto" w:fill="FFFFFF"/>
          <w:lang w:eastAsia="zh-CN"/>
        </w:rPr>
        <w:t>202</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lang w:eastAsia="zh-CN"/>
        </w:rPr>
        <w:t>年</w:t>
      </w:r>
      <w:r>
        <w:rPr>
          <w:rFonts w:hint="eastAsia" w:cs="宋体"/>
          <w:color w:val="auto"/>
          <w:sz w:val="21"/>
          <w:szCs w:val="21"/>
          <w:shd w:val="clear" w:color="auto" w:fill="FFFFFF"/>
          <w:lang w:val="en-US" w:eastAsia="zh-CN"/>
        </w:rPr>
        <w:t>09</w:t>
      </w:r>
      <w:r>
        <w:rPr>
          <w:rFonts w:hint="eastAsia" w:cs="宋体"/>
          <w:color w:val="auto"/>
          <w:sz w:val="21"/>
          <w:szCs w:val="21"/>
          <w:shd w:val="clear" w:color="auto" w:fill="FFFFFF"/>
          <w:lang w:eastAsia="zh-CN"/>
        </w:rPr>
        <w:t>月</w:t>
      </w:r>
      <w:r>
        <w:rPr>
          <w:rFonts w:hint="eastAsia" w:cs="宋体"/>
          <w:color w:val="auto"/>
          <w:sz w:val="21"/>
          <w:szCs w:val="21"/>
          <w:shd w:val="clear" w:color="auto" w:fill="FFFFFF"/>
          <w:lang w:val="en-US" w:eastAsia="zh-CN"/>
        </w:rPr>
        <w:t>07</w:t>
      </w:r>
      <w:r>
        <w:rPr>
          <w:rFonts w:hint="eastAsia" w:cs="宋体"/>
          <w:color w:val="auto"/>
          <w:sz w:val="21"/>
          <w:szCs w:val="21"/>
          <w:shd w:val="clear" w:color="auto" w:fill="FFFFFF"/>
          <w:lang w:eastAsia="zh-CN"/>
        </w:rPr>
        <w:t>日1</w:t>
      </w:r>
      <w:r>
        <w:rPr>
          <w:rFonts w:hint="eastAsia" w:cs="宋体"/>
          <w:color w:val="auto"/>
          <w:sz w:val="21"/>
          <w:szCs w:val="21"/>
          <w:shd w:val="clear" w:color="auto" w:fill="FFFFFF"/>
          <w:lang w:val="en-US" w:eastAsia="zh-CN"/>
        </w:rPr>
        <w:t>4</w:t>
      </w:r>
      <w:r>
        <w:rPr>
          <w:rFonts w:hint="eastAsia" w:cs="宋体"/>
          <w:color w:val="auto"/>
          <w:sz w:val="21"/>
          <w:szCs w:val="21"/>
          <w:shd w:val="clear" w:color="auto" w:fill="FFFFFF"/>
          <w:lang w:eastAsia="zh-CN"/>
        </w:rPr>
        <w:t>时</w:t>
      </w:r>
      <w:r>
        <w:rPr>
          <w:rFonts w:hint="eastAsia" w:cs="宋体"/>
          <w:color w:val="auto"/>
          <w:sz w:val="21"/>
          <w:szCs w:val="21"/>
          <w:shd w:val="clear" w:color="auto" w:fill="FFFFFF"/>
          <w:lang w:val="en-US" w:eastAsia="zh-CN"/>
        </w:rPr>
        <w:t>30</w:t>
      </w:r>
      <w:r>
        <w:rPr>
          <w:rFonts w:hint="eastAsia" w:cs="宋体"/>
          <w:color w:val="auto"/>
          <w:sz w:val="21"/>
          <w:szCs w:val="21"/>
          <w:shd w:val="clear" w:color="auto" w:fill="FFFFFF"/>
          <w:lang w:eastAsia="zh-CN"/>
        </w:rPr>
        <w:t>分</w:t>
      </w:r>
      <w:r>
        <w:rPr>
          <w:rFonts w:hint="eastAsia" w:cs="宋体"/>
          <w:color w:val="auto"/>
          <w:sz w:val="21"/>
          <w:szCs w:val="21"/>
          <w:shd w:val="clear" w:color="auto" w:fill="FFFFFF"/>
        </w:rPr>
        <w:t>00秒（北京时间）</w:t>
      </w:r>
    </w:p>
    <w:p w14:paraId="00EDE6A8">
      <w:pPr>
        <w:pStyle w:val="19"/>
        <w:snapToGrid w:val="0"/>
        <w:spacing w:before="0" w:beforeAutospacing="0" w:after="0" w:afterAutospacing="0" w:line="360" w:lineRule="auto"/>
        <w:ind w:firstLine="420" w:firstLineChars="200"/>
        <w:jc w:val="both"/>
        <w:textAlignment w:val="baseline"/>
        <w:rPr>
          <w:rFonts w:cs="宋体"/>
          <w:b/>
          <w:bCs/>
          <w:color w:val="auto"/>
          <w:sz w:val="21"/>
          <w:szCs w:val="21"/>
          <w:shd w:val="clear" w:color="auto" w:fill="FFFFFF"/>
        </w:rPr>
      </w:pPr>
      <w:r>
        <w:rPr>
          <w:rFonts w:hint="eastAsia" w:cs="宋体"/>
          <w:color w:val="auto"/>
          <w:sz w:val="21"/>
          <w:szCs w:val="21"/>
          <w:shd w:val="clear" w:color="auto" w:fill="FFFFFF"/>
        </w:rPr>
        <w:t>地点：</w:t>
      </w:r>
      <w:r>
        <w:rPr>
          <w:rFonts w:hint="eastAsia" w:cs="宋体"/>
          <w:color w:val="auto"/>
          <w:sz w:val="21"/>
          <w:szCs w:val="21"/>
          <w:shd w:val="clear" w:color="auto" w:fill="FFFFFF"/>
          <w:lang w:eastAsia="zh-CN"/>
        </w:rPr>
        <w:t>陕西省咸阳市秦都区新华大厦1508室</w:t>
      </w:r>
    </w:p>
    <w:p w14:paraId="2F4474BB">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五、开启</w:t>
      </w:r>
    </w:p>
    <w:p w14:paraId="0FADC33C">
      <w:pPr>
        <w:pStyle w:val="19"/>
        <w:snapToGrid w:val="0"/>
        <w:spacing w:before="0" w:beforeAutospacing="0" w:after="0" w:afterAutospacing="0" w:line="360" w:lineRule="auto"/>
        <w:ind w:firstLine="420" w:firstLineChars="2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时间：</w:t>
      </w:r>
      <w:r>
        <w:rPr>
          <w:rFonts w:hint="eastAsia" w:cs="宋体"/>
          <w:color w:val="auto"/>
          <w:sz w:val="21"/>
          <w:szCs w:val="21"/>
          <w:shd w:val="clear" w:color="auto" w:fill="FFFFFF"/>
          <w:lang w:eastAsia="zh-CN"/>
        </w:rPr>
        <w:t>202</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lang w:eastAsia="zh-CN"/>
        </w:rPr>
        <w:t>年</w:t>
      </w:r>
      <w:r>
        <w:rPr>
          <w:rFonts w:hint="eastAsia" w:cs="宋体"/>
          <w:color w:val="auto"/>
          <w:sz w:val="21"/>
          <w:szCs w:val="21"/>
          <w:shd w:val="clear" w:color="auto" w:fill="FFFFFF"/>
          <w:lang w:val="en-US" w:eastAsia="zh-CN"/>
        </w:rPr>
        <w:t>09</w:t>
      </w:r>
      <w:r>
        <w:rPr>
          <w:rFonts w:hint="eastAsia" w:cs="宋体"/>
          <w:color w:val="auto"/>
          <w:sz w:val="21"/>
          <w:szCs w:val="21"/>
          <w:shd w:val="clear" w:color="auto" w:fill="FFFFFF"/>
          <w:lang w:eastAsia="zh-CN"/>
        </w:rPr>
        <w:t>月</w:t>
      </w:r>
      <w:r>
        <w:rPr>
          <w:rFonts w:hint="eastAsia" w:cs="宋体"/>
          <w:color w:val="auto"/>
          <w:sz w:val="21"/>
          <w:szCs w:val="21"/>
          <w:shd w:val="clear" w:color="auto" w:fill="FFFFFF"/>
          <w:lang w:val="en-US" w:eastAsia="zh-CN"/>
        </w:rPr>
        <w:t>07</w:t>
      </w:r>
      <w:r>
        <w:rPr>
          <w:rFonts w:hint="eastAsia" w:cs="宋体"/>
          <w:color w:val="auto"/>
          <w:sz w:val="21"/>
          <w:szCs w:val="21"/>
          <w:shd w:val="clear" w:color="auto" w:fill="FFFFFF"/>
          <w:lang w:eastAsia="zh-CN"/>
        </w:rPr>
        <w:t>日1</w:t>
      </w:r>
      <w:r>
        <w:rPr>
          <w:rFonts w:hint="eastAsia" w:cs="宋体"/>
          <w:color w:val="auto"/>
          <w:sz w:val="21"/>
          <w:szCs w:val="21"/>
          <w:shd w:val="clear" w:color="auto" w:fill="FFFFFF"/>
          <w:lang w:val="en-US" w:eastAsia="zh-CN"/>
        </w:rPr>
        <w:t>4</w:t>
      </w:r>
      <w:r>
        <w:rPr>
          <w:rFonts w:hint="eastAsia" w:cs="宋体"/>
          <w:color w:val="auto"/>
          <w:sz w:val="21"/>
          <w:szCs w:val="21"/>
          <w:shd w:val="clear" w:color="auto" w:fill="FFFFFF"/>
          <w:lang w:eastAsia="zh-CN"/>
        </w:rPr>
        <w:t>时</w:t>
      </w:r>
      <w:r>
        <w:rPr>
          <w:rFonts w:hint="eastAsia" w:cs="宋体"/>
          <w:color w:val="auto"/>
          <w:sz w:val="21"/>
          <w:szCs w:val="21"/>
          <w:shd w:val="clear" w:color="auto" w:fill="FFFFFF"/>
          <w:lang w:val="en-US" w:eastAsia="zh-CN"/>
        </w:rPr>
        <w:t>30</w:t>
      </w:r>
      <w:r>
        <w:rPr>
          <w:rFonts w:hint="eastAsia" w:cs="宋体"/>
          <w:color w:val="auto"/>
          <w:sz w:val="21"/>
          <w:szCs w:val="21"/>
          <w:shd w:val="clear" w:color="auto" w:fill="FFFFFF"/>
          <w:lang w:eastAsia="zh-CN"/>
        </w:rPr>
        <w:t>分</w:t>
      </w:r>
      <w:r>
        <w:rPr>
          <w:rFonts w:hint="eastAsia" w:cs="宋体"/>
          <w:color w:val="auto"/>
          <w:sz w:val="21"/>
          <w:szCs w:val="21"/>
          <w:shd w:val="clear" w:color="auto" w:fill="FFFFFF"/>
        </w:rPr>
        <w:t>00秒（北京时间）</w:t>
      </w:r>
    </w:p>
    <w:p w14:paraId="43E7323A">
      <w:pPr>
        <w:pStyle w:val="19"/>
        <w:snapToGrid w:val="0"/>
        <w:spacing w:before="0" w:beforeAutospacing="0" w:after="0" w:afterAutospacing="0" w:line="360" w:lineRule="auto"/>
        <w:ind w:firstLine="420" w:firstLineChars="200"/>
        <w:jc w:val="both"/>
        <w:textAlignment w:val="baseline"/>
        <w:rPr>
          <w:rFonts w:cs="宋体"/>
          <w:b/>
          <w:bCs/>
          <w:color w:val="auto"/>
          <w:sz w:val="21"/>
          <w:szCs w:val="21"/>
          <w:shd w:val="clear" w:color="auto" w:fill="FFFFFF"/>
        </w:rPr>
      </w:pPr>
      <w:r>
        <w:rPr>
          <w:rFonts w:hint="eastAsia" w:cs="宋体"/>
          <w:color w:val="auto"/>
          <w:sz w:val="21"/>
          <w:szCs w:val="21"/>
          <w:shd w:val="clear" w:color="auto" w:fill="FFFFFF"/>
        </w:rPr>
        <w:t>地点：</w:t>
      </w:r>
      <w:r>
        <w:rPr>
          <w:rFonts w:hint="eastAsia" w:cs="宋体"/>
          <w:color w:val="auto"/>
          <w:sz w:val="21"/>
          <w:szCs w:val="21"/>
          <w:shd w:val="clear" w:color="auto" w:fill="FFFFFF"/>
          <w:lang w:eastAsia="zh-CN"/>
        </w:rPr>
        <w:t>陕西省咸阳市秦都区新华大厦1508室</w:t>
      </w:r>
    </w:p>
    <w:p w14:paraId="744D217A">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六、公告期限</w:t>
      </w:r>
    </w:p>
    <w:p w14:paraId="50BCB081">
      <w:pPr>
        <w:pStyle w:val="19"/>
        <w:snapToGrid w:val="0"/>
        <w:spacing w:before="0" w:beforeAutospacing="0" w:after="0" w:afterAutospacing="0" w:line="360" w:lineRule="auto"/>
        <w:ind w:firstLine="420" w:firstLineChars="200"/>
        <w:jc w:val="both"/>
        <w:textAlignment w:val="baseline"/>
        <w:rPr>
          <w:rFonts w:cs="宋体"/>
          <w:b/>
          <w:bCs/>
          <w:color w:val="auto"/>
          <w:sz w:val="21"/>
          <w:szCs w:val="21"/>
          <w:shd w:val="clear" w:color="auto" w:fill="FFFFFF"/>
        </w:rPr>
      </w:pPr>
      <w:r>
        <w:rPr>
          <w:rFonts w:hint="eastAsia" w:cs="宋体"/>
          <w:color w:val="auto"/>
          <w:sz w:val="21"/>
          <w:szCs w:val="21"/>
          <w:shd w:val="clear" w:color="auto" w:fill="FFFFFF"/>
        </w:rPr>
        <w:t>自本公告发布之日起</w:t>
      </w:r>
      <w:r>
        <w:rPr>
          <w:rFonts w:hint="eastAsia" w:cs="宋体"/>
          <w:color w:val="auto"/>
          <w:sz w:val="21"/>
          <w:szCs w:val="21"/>
          <w:shd w:val="clear" w:color="auto" w:fill="FFFFFF"/>
          <w:lang w:val="en-US" w:eastAsia="zh-CN"/>
        </w:rPr>
        <w:t>3</w:t>
      </w:r>
      <w:r>
        <w:rPr>
          <w:rFonts w:hint="eastAsia" w:cs="宋体"/>
          <w:color w:val="auto"/>
          <w:sz w:val="21"/>
          <w:szCs w:val="21"/>
          <w:shd w:val="clear" w:color="auto" w:fill="FFFFFF"/>
        </w:rPr>
        <w:t>个工作日。</w:t>
      </w:r>
    </w:p>
    <w:p w14:paraId="3AE9FBB8">
      <w:pPr>
        <w:pStyle w:val="19"/>
        <w:snapToGrid w:val="0"/>
        <w:spacing w:before="0" w:beforeAutospacing="0" w:after="0" w:afterAutospacing="0" w:line="360" w:lineRule="auto"/>
        <w:jc w:val="both"/>
        <w:textAlignment w:val="baseline"/>
        <w:rPr>
          <w:rFonts w:cs="宋体"/>
          <w:b/>
          <w:bCs/>
          <w:color w:val="auto"/>
          <w:sz w:val="21"/>
          <w:szCs w:val="21"/>
          <w:shd w:val="clear" w:color="auto" w:fill="FFFFFF"/>
        </w:rPr>
      </w:pPr>
      <w:r>
        <w:rPr>
          <w:rFonts w:hint="eastAsia" w:cs="宋体"/>
          <w:b/>
          <w:bCs/>
          <w:color w:val="auto"/>
          <w:sz w:val="21"/>
          <w:szCs w:val="21"/>
          <w:shd w:val="clear" w:color="auto" w:fill="FFFFFF"/>
        </w:rPr>
        <w:t>七、其他补充事宜</w:t>
      </w:r>
    </w:p>
    <w:p w14:paraId="1B9623F4">
      <w:pPr>
        <w:pStyle w:val="19"/>
        <w:snapToGrid w:val="0"/>
        <w:spacing w:before="0" w:beforeAutospacing="0" w:after="0" w:afterAutospacing="0" w:line="360" w:lineRule="auto"/>
        <w:ind w:firstLine="420" w:firstLineChars="200"/>
        <w:jc w:val="both"/>
        <w:textAlignment w:val="baseline"/>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1、本项目专门面向中小企业采购。</w:t>
      </w:r>
    </w:p>
    <w:p w14:paraId="71A41A02">
      <w:pPr>
        <w:pStyle w:val="19"/>
        <w:snapToGrid w:val="0"/>
        <w:spacing w:before="0" w:beforeAutospacing="0" w:after="0" w:afterAutospacing="0" w:line="360" w:lineRule="auto"/>
        <w:ind w:firstLine="420" w:firstLineChars="200"/>
        <w:jc w:val="both"/>
        <w:textAlignment w:val="baseline"/>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2、获取竞争性磋商文件时需携带：单位介绍信、经办人身份证原件及复印件。法定代表人获取文件时携带法定代表人身份证明书及本人身份证原件 以上资料均须加盖供应商公章。</w:t>
      </w:r>
    </w:p>
    <w:p w14:paraId="4E12D90A">
      <w:pPr>
        <w:pStyle w:val="19"/>
        <w:snapToGrid w:val="0"/>
        <w:spacing w:before="0" w:beforeAutospacing="0" w:after="0" w:afterAutospacing="0" w:line="360" w:lineRule="auto"/>
        <w:ind w:firstLine="420" w:firstLineChars="200"/>
        <w:jc w:val="both"/>
        <w:textAlignment w:val="baseline"/>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3、投标人登记免费领取竞争性磋商文件的， 如不参与项目投标， 应在递交投标（或响应）文件截止时间一日前以书面形式告知采购代理机构。否则，采购代理机构可以向财政部门反映情况并提供相应的佐证。投标人一年内累计出现三次该情形，将被监管部门记录为失信行为。</w:t>
      </w:r>
    </w:p>
    <w:p w14:paraId="3CA023B4">
      <w:pPr>
        <w:pStyle w:val="19"/>
        <w:snapToGrid w:val="0"/>
        <w:spacing w:before="0" w:beforeAutospacing="0" w:after="0" w:afterAutospacing="0" w:line="360" w:lineRule="auto"/>
        <w:ind w:firstLine="420" w:firstLineChars="200"/>
        <w:jc w:val="both"/>
        <w:textAlignment w:val="baseline"/>
        <w:rPr>
          <w:rFonts w:cs="宋体"/>
          <w:b/>
          <w:bCs/>
          <w:color w:val="auto"/>
          <w:sz w:val="21"/>
          <w:szCs w:val="21"/>
          <w:shd w:val="clear" w:color="auto" w:fill="FFFFFF"/>
        </w:rPr>
      </w:pPr>
      <w:r>
        <w:rPr>
          <w:rFonts w:hint="eastAsia" w:ascii="宋体" w:hAnsi="宋体" w:eastAsia="宋体" w:cs="宋体"/>
          <w:color w:val="auto"/>
          <w:sz w:val="21"/>
          <w:szCs w:val="21"/>
          <w:shd w:val="clear" w:color="auto" w:fill="FFFFFF"/>
          <w:lang w:val="en-US" w:eastAsia="zh-CN"/>
        </w:rPr>
        <w:t>4、请投标人按照陕西省财政厅关于政府采购投标人注册登记有关事项的通知中的要求， 通过陕西省政府采购网（</w:t>
      </w:r>
      <w:r>
        <w:rPr>
          <w:rFonts w:hint="eastAsia" w:ascii="宋体" w:hAnsi="宋体" w:eastAsia="宋体" w:cs="宋体"/>
          <w:color w:val="auto"/>
          <w:sz w:val="21"/>
          <w:szCs w:val="21"/>
          <w:shd w:val="clear" w:color="auto" w:fill="FFFFFF"/>
          <w:lang w:val="en-US" w:eastAsia="zh-CN"/>
        </w:rPr>
        <w:fldChar w:fldCharType="begin"/>
      </w:r>
      <w:r>
        <w:rPr>
          <w:rFonts w:hint="eastAsia" w:ascii="宋体" w:hAnsi="宋体" w:eastAsia="宋体" w:cs="宋体"/>
          <w:color w:val="auto"/>
          <w:sz w:val="21"/>
          <w:szCs w:val="21"/>
          <w:shd w:val="clear" w:color="auto" w:fill="FFFFFF"/>
          <w:lang w:val="en-US" w:eastAsia="zh-CN"/>
        </w:rPr>
        <w:instrText xml:space="preserve"> HYPERLINK "http://www.ccgp-shaa" </w:instrText>
      </w:r>
      <w:r>
        <w:rPr>
          <w:rFonts w:hint="eastAsia" w:ascii="宋体" w:hAnsi="宋体" w:eastAsia="宋体" w:cs="宋体"/>
          <w:color w:val="auto"/>
          <w:sz w:val="21"/>
          <w:szCs w:val="21"/>
          <w:shd w:val="clear" w:color="auto" w:fill="FFFFFF"/>
          <w:lang w:val="en-US" w:eastAsia="zh-CN"/>
        </w:rPr>
        <w:fldChar w:fldCharType="separate"/>
      </w:r>
      <w:r>
        <w:rPr>
          <w:rFonts w:hint="eastAsia" w:ascii="宋体" w:hAnsi="宋体" w:eastAsia="宋体" w:cs="宋体"/>
          <w:color w:val="auto"/>
          <w:sz w:val="21"/>
          <w:szCs w:val="21"/>
          <w:shd w:val="clear" w:color="auto" w:fill="FFFFFF"/>
          <w:lang w:val="en-US" w:eastAsia="zh-CN"/>
        </w:rPr>
        <w:t>http://www.ccgp-shaa</w:t>
      </w:r>
      <w:r>
        <w:rPr>
          <w:rFonts w:hint="eastAsia" w:ascii="宋体" w:hAnsi="宋体" w:eastAsia="宋体" w:cs="宋体"/>
          <w:color w:val="auto"/>
          <w:sz w:val="21"/>
          <w:szCs w:val="21"/>
          <w:shd w:val="clear" w:color="auto" w:fill="FFFFFF"/>
          <w:lang w:val="en-US" w:eastAsia="zh-CN"/>
        </w:rPr>
        <w:fldChar w:fldCharType="end"/>
      </w:r>
      <w:r>
        <w:rPr>
          <w:rFonts w:hint="eastAsia" w:ascii="宋体" w:hAnsi="宋体" w:eastAsia="宋体" w:cs="宋体"/>
          <w:color w:val="auto"/>
          <w:sz w:val="21"/>
          <w:szCs w:val="21"/>
          <w:shd w:val="clear" w:color="auto" w:fill="FFFFFF"/>
          <w:lang w:val="en-US" w:eastAsia="zh-CN"/>
        </w:rPr>
        <w:fldChar w:fldCharType="begin"/>
      </w:r>
      <w:r>
        <w:rPr>
          <w:rFonts w:hint="eastAsia" w:ascii="宋体" w:hAnsi="宋体" w:eastAsia="宋体" w:cs="宋体"/>
          <w:color w:val="auto"/>
          <w:sz w:val="21"/>
          <w:szCs w:val="21"/>
          <w:shd w:val="clear" w:color="auto" w:fill="FFFFFF"/>
          <w:lang w:val="en-US" w:eastAsia="zh-CN"/>
        </w:rPr>
        <w:instrText xml:space="preserve"> HYPERLINK "nxi.gov.cn/" </w:instrText>
      </w:r>
      <w:r>
        <w:rPr>
          <w:rFonts w:hint="eastAsia" w:ascii="宋体" w:hAnsi="宋体" w:eastAsia="宋体" w:cs="宋体"/>
          <w:color w:val="auto"/>
          <w:sz w:val="21"/>
          <w:szCs w:val="21"/>
          <w:shd w:val="clear" w:color="auto" w:fill="FFFFFF"/>
          <w:lang w:val="en-US" w:eastAsia="zh-CN"/>
        </w:rPr>
        <w:fldChar w:fldCharType="separate"/>
      </w:r>
      <w:r>
        <w:rPr>
          <w:rFonts w:hint="eastAsia" w:ascii="宋体" w:hAnsi="宋体" w:eastAsia="宋体" w:cs="宋体"/>
          <w:color w:val="auto"/>
          <w:sz w:val="21"/>
          <w:szCs w:val="21"/>
          <w:shd w:val="clear" w:color="auto" w:fill="FFFFFF"/>
          <w:lang w:val="en-US" w:eastAsia="zh-CN"/>
        </w:rPr>
        <w:t>nxi.gov.cn/</w:t>
      </w:r>
      <w:r>
        <w:rPr>
          <w:rFonts w:hint="eastAsia" w:ascii="宋体" w:hAnsi="宋体" w:eastAsia="宋体" w:cs="宋体"/>
          <w:color w:val="auto"/>
          <w:sz w:val="21"/>
          <w:szCs w:val="21"/>
          <w:shd w:val="clear" w:color="auto" w:fill="FFFFFF"/>
          <w:lang w:val="en-US" w:eastAsia="zh-CN"/>
        </w:rPr>
        <w:fldChar w:fldCharType="end"/>
      </w:r>
      <w:r>
        <w:rPr>
          <w:rFonts w:hint="eastAsia" w:ascii="宋体" w:hAnsi="宋体" w:eastAsia="宋体" w:cs="宋体"/>
          <w:color w:val="auto"/>
          <w:sz w:val="21"/>
          <w:szCs w:val="21"/>
          <w:shd w:val="clear" w:color="auto" w:fill="FFFFFF"/>
          <w:lang w:val="en-US" w:eastAsia="zh-CN"/>
        </w:rPr>
        <w:t>）注册登记加入陕西省政府采购投标人库。</w:t>
      </w:r>
    </w:p>
    <w:p w14:paraId="1C8D0E01">
      <w:pPr>
        <w:pStyle w:val="19"/>
        <w:snapToGrid w:val="0"/>
        <w:spacing w:before="0" w:beforeAutospacing="0" w:after="0" w:afterAutospacing="0" w:line="360" w:lineRule="auto"/>
        <w:jc w:val="both"/>
        <w:textAlignment w:val="baseline"/>
        <w:rPr>
          <w:rFonts w:cs="宋体"/>
          <w:color w:val="auto"/>
          <w:sz w:val="21"/>
          <w:szCs w:val="21"/>
          <w:shd w:val="clear" w:color="auto" w:fill="FFFFFF"/>
        </w:rPr>
      </w:pPr>
      <w:r>
        <w:rPr>
          <w:rFonts w:hint="eastAsia" w:cs="宋体"/>
          <w:b/>
          <w:bCs/>
          <w:color w:val="auto"/>
          <w:sz w:val="21"/>
          <w:szCs w:val="21"/>
          <w:shd w:val="clear" w:color="auto" w:fill="FFFFFF"/>
        </w:rPr>
        <w:t>八、凡对本次采购提出询问，请按以下方式联系</w:t>
      </w:r>
      <w:r>
        <w:rPr>
          <w:rFonts w:hint="eastAsia" w:cs="宋体"/>
          <w:color w:val="auto"/>
          <w:sz w:val="21"/>
          <w:szCs w:val="21"/>
          <w:shd w:val="clear" w:color="auto" w:fill="FFFFFF"/>
        </w:rPr>
        <w:t>。</w:t>
      </w:r>
    </w:p>
    <w:p w14:paraId="27FD0557">
      <w:pPr>
        <w:pStyle w:val="19"/>
        <w:snapToGrid w:val="0"/>
        <w:spacing w:before="0" w:beforeAutospacing="0" w:after="0" w:afterAutospacing="0" w:line="360" w:lineRule="auto"/>
        <w:ind w:firstLine="420" w:firstLineChars="2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1.采购人信息</w:t>
      </w:r>
    </w:p>
    <w:p w14:paraId="47E89BE6">
      <w:pPr>
        <w:pStyle w:val="19"/>
        <w:snapToGrid w:val="0"/>
        <w:spacing w:before="0" w:beforeAutospacing="0" w:after="0" w:afterAutospacing="0" w:line="360" w:lineRule="auto"/>
        <w:ind w:firstLine="480"/>
        <w:jc w:val="both"/>
        <w:textAlignment w:val="baseline"/>
        <w:rPr>
          <w:rFonts w:hint="eastAsia" w:eastAsia="宋体" w:cs="宋体"/>
          <w:color w:val="auto"/>
          <w:sz w:val="21"/>
          <w:szCs w:val="21"/>
          <w:lang w:eastAsia="zh-CN"/>
        </w:rPr>
      </w:pPr>
      <w:r>
        <w:rPr>
          <w:rFonts w:hint="eastAsia" w:cs="宋体"/>
          <w:color w:val="auto"/>
          <w:sz w:val="21"/>
          <w:szCs w:val="21"/>
          <w:shd w:val="clear" w:color="auto" w:fill="FFFFFF"/>
        </w:rPr>
        <w:t>名称：</w:t>
      </w:r>
      <w:r>
        <w:rPr>
          <w:rFonts w:hint="eastAsia" w:cs="宋体"/>
          <w:color w:val="auto"/>
          <w:sz w:val="21"/>
          <w:szCs w:val="21"/>
          <w:shd w:val="clear" w:color="auto" w:fill="FFFFFF"/>
          <w:lang w:eastAsia="zh-CN"/>
        </w:rPr>
        <w:t xml:space="preserve">旬邑县自然资源局 </w:t>
      </w:r>
    </w:p>
    <w:p w14:paraId="2A425560">
      <w:pPr>
        <w:pStyle w:val="19"/>
        <w:snapToGrid w:val="0"/>
        <w:spacing w:before="0" w:beforeAutospacing="0" w:after="0" w:afterAutospacing="0" w:line="360" w:lineRule="auto"/>
        <w:ind w:firstLine="480"/>
        <w:jc w:val="both"/>
        <w:textAlignment w:val="baseline"/>
        <w:rPr>
          <w:rFonts w:hint="default" w:eastAsia="宋体" w:cs="宋体"/>
          <w:color w:val="auto"/>
          <w:sz w:val="21"/>
          <w:szCs w:val="21"/>
          <w:lang w:val="en-US" w:eastAsia="zh-CN"/>
        </w:rPr>
      </w:pPr>
      <w:r>
        <w:rPr>
          <w:rFonts w:hint="eastAsia" w:cs="宋体"/>
          <w:color w:val="auto"/>
          <w:sz w:val="21"/>
          <w:szCs w:val="21"/>
          <w:shd w:val="clear" w:color="auto" w:fill="FFFFFF"/>
        </w:rPr>
        <w:t>地址：</w:t>
      </w:r>
      <w:r>
        <w:rPr>
          <w:rFonts w:hint="eastAsia" w:cs="宋体"/>
          <w:color w:val="auto"/>
          <w:sz w:val="21"/>
          <w:szCs w:val="21"/>
          <w:shd w:val="clear" w:color="auto" w:fill="FFFFFF"/>
          <w:lang w:val="en-US" w:eastAsia="zh-CN"/>
        </w:rPr>
        <w:t>旬邑县东大街69号</w:t>
      </w:r>
    </w:p>
    <w:p w14:paraId="2D5200F2">
      <w:pPr>
        <w:pStyle w:val="19"/>
        <w:snapToGrid w:val="0"/>
        <w:spacing w:before="0" w:beforeAutospacing="0" w:after="0" w:afterAutospacing="0" w:line="360" w:lineRule="auto"/>
        <w:ind w:firstLine="480"/>
        <w:jc w:val="both"/>
        <w:textAlignment w:val="baseline"/>
        <w:rPr>
          <w:rFonts w:hint="default" w:eastAsia="宋体" w:cs="宋体"/>
          <w:color w:val="auto"/>
          <w:sz w:val="21"/>
          <w:szCs w:val="21"/>
          <w:shd w:val="clear" w:color="auto" w:fill="FFFFFF"/>
          <w:lang w:val="en-US" w:eastAsia="zh-CN"/>
        </w:rPr>
      </w:pPr>
      <w:r>
        <w:rPr>
          <w:rFonts w:hint="eastAsia" w:cs="宋体"/>
          <w:color w:val="auto"/>
          <w:sz w:val="21"/>
          <w:szCs w:val="21"/>
          <w:shd w:val="clear" w:color="auto" w:fill="FFFFFF"/>
        </w:rPr>
        <w:t>联系方式：</w:t>
      </w:r>
      <w:r>
        <w:rPr>
          <w:rFonts w:hint="eastAsia" w:cs="宋体"/>
          <w:color w:val="auto"/>
          <w:sz w:val="21"/>
          <w:szCs w:val="21"/>
          <w:shd w:val="clear" w:color="auto" w:fill="FFFFFF"/>
          <w:lang w:val="en-US" w:eastAsia="zh-CN"/>
        </w:rPr>
        <w:t>029-34422657</w:t>
      </w:r>
    </w:p>
    <w:p w14:paraId="5042269D">
      <w:pPr>
        <w:keepNext w:val="0"/>
        <w:keepLines w:val="0"/>
        <w:widowControl/>
        <w:snapToGrid w:val="0"/>
        <w:spacing w:before="0" w:after="0" w:line="360" w:lineRule="auto"/>
        <w:ind w:firstLine="420" w:firstLineChars="200"/>
        <w:jc w:val="left"/>
        <w:textAlignment w:val="baseline"/>
        <w:outlineLvl w:val="9"/>
        <w:rPr>
          <w:rFonts w:ascii="宋体" w:hAnsi="宋体" w:eastAsia="宋体" w:cs="宋体"/>
          <w:b w:val="0"/>
          <w:color w:val="auto"/>
          <w:sz w:val="21"/>
          <w:szCs w:val="21"/>
        </w:rPr>
      </w:pPr>
      <w:r>
        <w:rPr>
          <w:rFonts w:hint="eastAsia" w:ascii="宋体" w:hAnsi="宋体" w:eastAsia="宋体" w:cs="宋体"/>
          <w:b w:val="0"/>
          <w:color w:val="auto"/>
          <w:sz w:val="21"/>
          <w:szCs w:val="21"/>
          <w:shd w:val="clear" w:color="auto" w:fill="FFFFFF"/>
        </w:rPr>
        <w:t>2.采购代理机构信息</w:t>
      </w:r>
    </w:p>
    <w:p w14:paraId="2AA38CF1">
      <w:pPr>
        <w:pStyle w:val="19"/>
        <w:snapToGrid w:val="0"/>
        <w:spacing w:before="0" w:beforeAutospacing="0" w:after="0" w:afterAutospacing="0" w:line="360" w:lineRule="auto"/>
        <w:ind w:firstLine="480"/>
        <w:jc w:val="both"/>
        <w:textAlignment w:val="baseline"/>
        <w:outlineLvl w:val="9"/>
        <w:rPr>
          <w:rFonts w:cs="宋体"/>
          <w:color w:val="auto"/>
          <w:sz w:val="21"/>
          <w:szCs w:val="21"/>
        </w:rPr>
      </w:pPr>
      <w:r>
        <w:rPr>
          <w:rFonts w:hint="eastAsia" w:cs="宋体"/>
          <w:color w:val="auto"/>
          <w:sz w:val="21"/>
          <w:szCs w:val="21"/>
          <w:shd w:val="clear" w:color="auto" w:fill="FFFFFF"/>
        </w:rPr>
        <w:t>名称：陕西优正项目管理有限公司</w:t>
      </w:r>
    </w:p>
    <w:p w14:paraId="6B7B3690">
      <w:pPr>
        <w:pStyle w:val="19"/>
        <w:snapToGrid w:val="0"/>
        <w:spacing w:before="0" w:beforeAutospacing="0" w:after="0" w:afterAutospacing="0" w:line="360" w:lineRule="auto"/>
        <w:ind w:firstLine="480"/>
        <w:jc w:val="both"/>
        <w:textAlignment w:val="baseline"/>
        <w:outlineLvl w:val="9"/>
        <w:rPr>
          <w:rFonts w:cs="宋体"/>
          <w:color w:val="auto"/>
          <w:sz w:val="21"/>
          <w:szCs w:val="21"/>
        </w:rPr>
      </w:pPr>
      <w:r>
        <w:rPr>
          <w:rFonts w:hint="eastAsia" w:cs="宋体"/>
          <w:color w:val="auto"/>
          <w:sz w:val="21"/>
          <w:szCs w:val="21"/>
          <w:shd w:val="clear" w:color="auto" w:fill="FFFFFF"/>
        </w:rPr>
        <w:t>地址：陕西省咸阳市秦都区新华大厦1508室</w:t>
      </w:r>
    </w:p>
    <w:p w14:paraId="2FDB4903">
      <w:pPr>
        <w:pStyle w:val="19"/>
        <w:snapToGrid w:val="0"/>
        <w:spacing w:before="0" w:beforeAutospacing="0" w:after="0" w:afterAutospacing="0" w:line="360" w:lineRule="auto"/>
        <w:ind w:firstLine="480"/>
        <w:jc w:val="both"/>
        <w:textAlignment w:val="baseline"/>
        <w:outlineLvl w:val="9"/>
        <w:rPr>
          <w:rFonts w:hint="default" w:eastAsia="宋体" w:cs="宋体"/>
          <w:color w:val="auto"/>
          <w:sz w:val="21"/>
          <w:szCs w:val="21"/>
          <w:lang w:val="en-US" w:eastAsia="zh-CN"/>
        </w:rPr>
      </w:pPr>
      <w:r>
        <w:rPr>
          <w:rFonts w:hint="eastAsia" w:cs="宋体"/>
          <w:color w:val="auto"/>
          <w:sz w:val="21"/>
          <w:szCs w:val="21"/>
          <w:shd w:val="clear" w:color="auto" w:fill="FFFFFF"/>
        </w:rPr>
        <w:t>联系方式：</w:t>
      </w:r>
      <w:r>
        <w:rPr>
          <w:rFonts w:hint="eastAsia" w:cs="宋体"/>
          <w:color w:val="auto"/>
          <w:sz w:val="21"/>
          <w:szCs w:val="21"/>
          <w:shd w:val="clear" w:color="auto" w:fill="FFFFFF"/>
          <w:lang w:val="en-US" w:eastAsia="zh-CN"/>
        </w:rPr>
        <w:t>13060389978</w:t>
      </w:r>
    </w:p>
    <w:p w14:paraId="203A95F3">
      <w:pPr>
        <w:keepNext w:val="0"/>
        <w:keepLines w:val="0"/>
        <w:widowControl/>
        <w:snapToGrid w:val="0"/>
        <w:spacing w:before="0" w:after="0" w:line="360" w:lineRule="auto"/>
        <w:ind w:firstLine="420" w:firstLineChars="200"/>
        <w:jc w:val="left"/>
        <w:textAlignment w:val="baseline"/>
        <w:outlineLvl w:val="9"/>
        <w:rPr>
          <w:rFonts w:ascii="宋体" w:hAnsi="宋体" w:eastAsia="宋体" w:cs="宋体"/>
          <w:b w:val="0"/>
          <w:color w:val="auto"/>
          <w:sz w:val="21"/>
          <w:szCs w:val="21"/>
        </w:rPr>
      </w:pPr>
      <w:r>
        <w:rPr>
          <w:rFonts w:hint="eastAsia" w:ascii="宋体" w:hAnsi="宋体" w:eastAsia="宋体" w:cs="宋体"/>
          <w:b w:val="0"/>
          <w:color w:val="auto"/>
          <w:sz w:val="21"/>
          <w:szCs w:val="21"/>
          <w:shd w:val="clear" w:color="auto" w:fill="FFFFFF"/>
        </w:rPr>
        <w:t>3.项目联系方式</w:t>
      </w:r>
    </w:p>
    <w:p w14:paraId="1F15CC68">
      <w:pPr>
        <w:pStyle w:val="19"/>
        <w:snapToGrid w:val="0"/>
        <w:spacing w:before="0" w:beforeAutospacing="0" w:after="0" w:afterAutospacing="0" w:line="360" w:lineRule="auto"/>
        <w:ind w:firstLine="480"/>
        <w:jc w:val="both"/>
        <w:textAlignment w:val="baseline"/>
        <w:rPr>
          <w:rFonts w:hint="default" w:eastAsia="宋体" w:cs="宋体"/>
          <w:color w:val="auto"/>
          <w:sz w:val="21"/>
          <w:szCs w:val="21"/>
          <w:lang w:val="en-US" w:eastAsia="zh-CN"/>
        </w:rPr>
      </w:pPr>
      <w:r>
        <w:rPr>
          <w:rFonts w:hint="eastAsia" w:cs="宋体"/>
          <w:color w:val="auto"/>
          <w:sz w:val="21"/>
          <w:szCs w:val="21"/>
          <w:shd w:val="clear" w:color="auto" w:fill="FFFFFF"/>
        </w:rPr>
        <w:t>项目联系人：</w:t>
      </w:r>
      <w:r>
        <w:rPr>
          <w:rFonts w:hint="eastAsia" w:cs="宋体"/>
          <w:color w:val="auto"/>
          <w:sz w:val="21"/>
          <w:szCs w:val="21"/>
          <w:shd w:val="clear" w:color="auto" w:fill="FFFFFF"/>
          <w:lang w:val="en-US" w:eastAsia="zh-CN"/>
        </w:rPr>
        <w:t>王亚倩</w:t>
      </w:r>
    </w:p>
    <w:p w14:paraId="3990957D">
      <w:pPr>
        <w:pStyle w:val="19"/>
        <w:snapToGrid w:val="0"/>
        <w:spacing w:before="0" w:beforeAutospacing="0" w:after="0" w:afterAutospacing="0" w:line="360" w:lineRule="auto"/>
        <w:ind w:firstLine="420" w:firstLineChars="200"/>
        <w:jc w:val="both"/>
        <w:textAlignment w:val="baseline"/>
        <w:rPr>
          <w:rFonts w:hint="default" w:eastAsia="宋体" w:cs="宋体"/>
          <w:color w:val="auto"/>
          <w:sz w:val="21"/>
          <w:szCs w:val="21"/>
          <w:shd w:val="clear" w:color="auto" w:fill="FFFFFF"/>
          <w:lang w:val="en-US" w:eastAsia="zh-CN"/>
        </w:rPr>
      </w:pPr>
      <w:r>
        <w:rPr>
          <w:rFonts w:hint="eastAsia" w:cs="宋体"/>
          <w:color w:val="auto"/>
          <w:sz w:val="21"/>
          <w:szCs w:val="21"/>
          <w:shd w:val="clear" w:color="auto" w:fill="FFFFFF"/>
        </w:rPr>
        <w:t>电话：</w:t>
      </w:r>
      <w:r>
        <w:rPr>
          <w:rFonts w:hint="eastAsia" w:cs="宋体"/>
          <w:color w:val="auto"/>
          <w:sz w:val="21"/>
          <w:szCs w:val="21"/>
          <w:shd w:val="clear" w:color="auto" w:fill="FFFFFF"/>
          <w:lang w:val="en-US" w:eastAsia="zh-CN"/>
        </w:rPr>
        <w:t>13060389978</w:t>
      </w:r>
    </w:p>
    <w:p w14:paraId="681F2994">
      <w:pPr>
        <w:pStyle w:val="19"/>
        <w:snapToGrid w:val="0"/>
        <w:spacing w:before="0" w:beforeAutospacing="0" w:after="0" w:afterAutospacing="0" w:line="360" w:lineRule="auto"/>
        <w:ind w:firstLine="5460" w:firstLineChars="2600"/>
        <w:jc w:val="both"/>
        <w:textAlignment w:val="baseline"/>
        <w:rPr>
          <w:rFonts w:hint="eastAsia" w:cs="宋体"/>
          <w:color w:val="auto"/>
          <w:sz w:val="21"/>
          <w:szCs w:val="21"/>
          <w:shd w:val="clear" w:color="auto" w:fill="FFFFFF"/>
        </w:rPr>
      </w:pPr>
    </w:p>
    <w:p w14:paraId="374055ED">
      <w:pPr>
        <w:pStyle w:val="19"/>
        <w:snapToGrid w:val="0"/>
        <w:spacing w:before="0" w:beforeAutospacing="0" w:after="0" w:afterAutospacing="0" w:line="360" w:lineRule="auto"/>
        <w:ind w:firstLine="5460" w:firstLineChars="26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陕西优正项目管理有限公司</w:t>
      </w:r>
    </w:p>
    <w:p w14:paraId="3714DD96">
      <w:pPr>
        <w:pStyle w:val="19"/>
        <w:snapToGrid w:val="0"/>
        <w:spacing w:before="0" w:beforeAutospacing="0" w:after="0" w:afterAutospacing="0" w:line="360" w:lineRule="auto"/>
        <w:ind w:firstLine="5880" w:firstLineChars="2800"/>
        <w:jc w:val="both"/>
        <w:textAlignment w:val="baseline"/>
        <w:rPr>
          <w:rFonts w:cs="宋体"/>
          <w:color w:val="auto"/>
          <w:sz w:val="21"/>
          <w:szCs w:val="21"/>
          <w:shd w:val="clear" w:color="auto" w:fill="FFFFFF"/>
        </w:rPr>
      </w:pPr>
      <w:r>
        <w:rPr>
          <w:rFonts w:hint="eastAsia" w:cs="宋体"/>
          <w:color w:val="auto"/>
          <w:sz w:val="21"/>
          <w:szCs w:val="21"/>
          <w:shd w:val="clear" w:color="auto" w:fill="FFFFFF"/>
        </w:rPr>
        <w:t>202</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rPr>
        <w:t>年</w:t>
      </w:r>
      <w:r>
        <w:rPr>
          <w:rFonts w:hint="eastAsia" w:cs="宋体"/>
          <w:color w:val="auto"/>
          <w:sz w:val="21"/>
          <w:szCs w:val="21"/>
          <w:shd w:val="clear" w:color="auto" w:fill="FFFFFF"/>
          <w:lang w:val="en-US" w:eastAsia="zh-CN"/>
        </w:rPr>
        <w:t>08</w:t>
      </w:r>
      <w:r>
        <w:rPr>
          <w:rFonts w:hint="eastAsia" w:cs="宋体"/>
          <w:color w:val="auto"/>
          <w:sz w:val="21"/>
          <w:szCs w:val="21"/>
          <w:shd w:val="clear" w:color="auto" w:fill="FFFFFF"/>
        </w:rPr>
        <w:t>月</w:t>
      </w:r>
      <w:r>
        <w:rPr>
          <w:rFonts w:hint="eastAsia" w:cs="宋体"/>
          <w:color w:val="auto"/>
          <w:sz w:val="21"/>
          <w:szCs w:val="21"/>
          <w:shd w:val="clear" w:color="auto" w:fill="FFFFFF"/>
          <w:lang w:val="en-US" w:eastAsia="zh-CN"/>
        </w:rPr>
        <w:t>24</w:t>
      </w:r>
      <w:r>
        <w:rPr>
          <w:rFonts w:hint="eastAsia" w:cs="宋体"/>
          <w:color w:val="auto"/>
          <w:sz w:val="21"/>
          <w:szCs w:val="21"/>
          <w:shd w:val="clear" w:color="auto" w:fill="FFFFFF"/>
        </w:rPr>
        <w:t>日</w:t>
      </w:r>
    </w:p>
    <w:p w14:paraId="4FCCED9A">
      <w:pPr>
        <w:rPr>
          <w:rFonts w:ascii="宋体" w:hAnsi="宋体"/>
          <w:color w:val="auto"/>
          <w:sz w:val="44"/>
          <w:szCs w:val="44"/>
        </w:rPr>
      </w:pPr>
      <w:r>
        <w:rPr>
          <w:rFonts w:hint="eastAsia" w:ascii="宋体" w:hAnsi="宋体"/>
          <w:color w:val="auto"/>
          <w:sz w:val="44"/>
          <w:szCs w:val="44"/>
        </w:rPr>
        <w:br w:type="page"/>
      </w:r>
    </w:p>
    <w:p w14:paraId="0EC9134D">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44"/>
          <w:szCs w:val="44"/>
        </w:rPr>
      </w:pPr>
      <w:bookmarkStart w:id="13" w:name="_Toc23949"/>
      <w:bookmarkStart w:id="14" w:name="_Toc11466"/>
      <w:r>
        <w:rPr>
          <w:rFonts w:hint="eastAsia" w:ascii="宋体" w:hAnsi="宋体"/>
          <w:color w:val="auto"/>
          <w:sz w:val="44"/>
          <w:szCs w:val="44"/>
        </w:rPr>
        <w:t>第二章  供应商须知</w:t>
      </w:r>
      <w:bookmarkEnd w:id="4"/>
      <w:bookmarkEnd w:id="5"/>
      <w:bookmarkEnd w:id="6"/>
      <w:bookmarkEnd w:id="7"/>
      <w:bookmarkEnd w:id="8"/>
      <w:bookmarkEnd w:id="13"/>
      <w:bookmarkEnd w:id="14"/>
      <w:bookmarkStart w:id="15" w:name="_Toc184283909"/>
      <w:bookmarkStart w:id="16" w:name="_Toc184274915"/>
    </w:p>
    <w:p w14:paraId="7CB98BF5">
      <w:pPr>
        <w:jc w:val="center"/>
        <w:rPr>
          <w:b/>
          <w:bCs/>
          <w:color w:val="auto"/>
          <w:sz w:val="24"/>
        </w:rPr>
      </w:pPr>
      <w:bookmarkStart w:id="17" w:name="_Toc189727030"/>
      <w:bookmarkStart w:id="18" w:name="_Toc213396760"/>
      <w:bookmarkStart w:id="19" w:name="_Toc213397010"/>
      <w:bookmarkStart w:id="20" w:name="_Toc217446032"/>
      <w:bookmarkStart w:id="21" w:name="_Toc213496268"/>
      <w:bookmarkStart w:id="22" w:name="_Toc213396946"/>
      <w:r>
        <w:rPr>
          <w:rFonts w:hint="eastAsia"/>
          <w:b/>
          <w:bCs/>
          <w:color w:val="auto"/>
          <w:sz w:val="24"/>
        </w:rPr>
        <w:t>供应商须知前附表</w:t>
      </w:r>
    </w:p>
    <w:tbl>
      <w:tblPr>
        <w:tblStyle w:val="22"/>
        <w:tblW w:w="10138" w:type="dxa"/>
        <w:jc w:val="center"/>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Layout w:type="fixed"/>
        <w:tblCellMar>
          <w:top w:w="0" w:type="dxa"/>
          <w:left w:w="0" w:type="dxa"/>
          <w:bottom w:w="0" w:type="dxa"/>
          <w:right w:w="0" w:type="dxa"/>
        </w:tblCellMar>
      </w:tblPr>
      <w:tblGrid>
        <w:gridCol w:w="640"/>
        <w:gridCol w:w="2182"/>
        <w:gridCol w:w="7316"/>
      </w:tblGrid>
      <w:tr w14:paraId="68293A4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tblHeader/>
          <w:jc w:val="center"/>
        </w:trPr>
        <w:tc>
          <w:tcPr>
            <w:tcW w:w="640" w:type="dxa"/>
            <w:tcBorders>
              <w:bottom w:val="single" w:color="auto" w:sz="8" w:space="0"/>
              <w:right w:val="single" w:color="auto" w:sz="8" w:space="0"/>
            </w:tcBorders>
            <w:vAlign w:val="center"/>
          </w:tcPr>
          <w:p w14:paraId="0E328032">
            <w:pPr>
              <w:pStyle w:val="27"/>
              <w:snapToGrid w:val="0"/>
              <w:spacing w:line="360" w:lineRule="exact"/>
              <w:ind w:left="9"/>
              <w:jc w:val="center"/>
              <w:rPr>
                <w:b/>
                <w:bCs/>
                <w:color w:val="auto"/>
                <w:sz w:val="21"/>
                <w:szCs w:val="21"/>
                <w:lang w:val="zh-CN"/>
              </w:rPr>
            </w:pPr>
            <w:r>
              <w:rPr>
                <w:rFonts w:hint="eastAsia"/>
                <w:b/>
                <w:bCs/>
                <w:color w:val="auto"/>
                <w:sz w:val="21"/>
                <w:szCs w:val="21"/>
                <w:lang w:val="zh-CN"/>
              </w:rPr>
              <w:t xml:space="preserve">序号 </w:t>
            </w:r>
          </w:p>
        </w:tc>
        <w:tc>
          <w:tcPr>
            <w:tcW w:w="2182" w:type="dxa"/>
            <w:tcBorders>
              <w:left w:val="single" w:color="auto" w:sz="8" w:space="0"/>
              <w:bottom w:val="single" w:color="auto" w:sz="8" w:space="0"/>
              <w:right w:val="single" w:color="auto" w:sz="8" w:space="0"/>
            </w:tcBorders>
            <w:vAlign w:val="center"/>
          </w:tcPr>
          <w:p w14:paraId="0D8410DB">
            <w:pPr>
              <w:pStyle w:val="27"/>
              <w:snapToGrid w:val="0"/>
              <w:spacing w:line="360" w:lineRule="exact"/>
              <w:ind w:left="38"/>
              <w:jc w:val="center"/>
              <w:rPr>
                <w:b/>
                <w:bCs/>
                <w:color w:val="auto"/>
                <w:sz w:val="21"/>
                <w:szCs w:val="21"/>
                <w:lang w:val="zh-CN"/>
              </w:rPr>
            </w:pPr>
            <w:r>
              <w:rPr>
                <w:rFonts w:hint="eastAsia"/>
                <w:b/>
                <w:bCs/>
                <w:color w:val="auto"/>
                <w:sz w:val="21"/>
                <w:szCs w:val="21"/>
                <w:lang w:val="zh-CN"/>
              </w:rPr>
              <w:t>内容</w:t>
            </w:r>
          </w:p>
        </w:tc>
        <w:tc>
          <w:tcPr>
            <w:tcW w:w="7316" w:type="dxa"/>
            <w:tcBorders>
              <w:left w:val="single" w:color="auto" w:sz="8" w:space="0"/>
              <w:bottom w:val="single" w:color="auto" w:sz="8" w:space="0"/>
            </w:tcBorders>
            <w:vAlign w:val="center"/>
          </w:tcPr>
          <w:p w14:paraId="07BE3DFC">
            <w:pPr>
              <w:pStyle w:val="27"/>
              <w:snapToGrid w:val="0"/>
              <w:spacing w:line="360" w:lineRule="exact"/>
              <w:jc w:val="center"/>
              <w:rPr>
                <w:b/>
                <w:bCs/>
                <w:color w:val="auto"/>
                <w:sz w:val="21"/>
                <w:szCs w:val="21"/>
                <w:lang w:val="zh-CN"/>
              </w:rPr>
            </w:pPr>
            <w:r>
              <w:rPr>
                <w:rFonts w:hint="eastAsia"/>
                <w:b/>
                <w:bCs/>
                <w:color w:val="auto"/>
                <w:sz w:val="21"/>
                <w:szCs w:val="21"/>
                <w:lang w:val="zh-CN"/>
              </w:rPr>
              <w:t>说明和要求</w:t>
            </w:r>
          </w:p>
        </w:tc>
      </w:tr>
      <w:tr w14:paraId="21AD56B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74" w:hRule="atLeast"/>
          <w:jc w:val="center"/>
        </w:trPr>
        <w:tc>
          <w:tcPr>
            <w:tcW w:w="640" w:type="dxa"/>
            <w:tcBorders>
              <w:top w:val="single" w:color="auto" w:sz="8" w:space="0"/>
              <w:bottom w:val="single" w:color="auto" w:sz="8" w:space="0"/>
              <w:right w:val="single" w:color="auto" w:sz="8" w:space="0"/>
            </w:tcBorders>
            <w:vAlign w:val="center"/>
          </w:tcPr>
          <w:p w14:paraId="230A79B1">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w:t>
            </w:r>
          </w:p>
        </w:tc>
        <w:tc>
          <w:tcPr>
            <w:tcW w:w="2182" w:type="dxa"/>
            <w:tcBorders>
              <w:top w:val="single" w:color="auto" w:sz="8" w:space="0"/>
              <w:left w:val="single" w:color="auto" w:sz="8" w:space="0"/>
              <w:bottom w:val="single" w:color="auto" w:sz="8" w:space="0"/>
              <w:right w:val="single" w:color="auto" w:sz="8" w:space="0"/>
            </w:tcBorders>
            <w:vAlign w:val="center"/>
          </w:tcPr>
          <w:p w14:paraId="2FA5F4A4">
            <w:pPr>
              <w:pStyle w:val="27"/>
              <w:snapToGrid w:val="0"/>
              <w:spacing w:line="360" w:lineRule="exact"/>
              <w:jc w:val="center"/>
              <w:rPr>
                <w:color w:val="auto"/>
                <w:sz w:val="21"/>
                <w:szCs w:val="21"/>
                <w:lang w:val="zh-CN"/>
              </w:rPr>
            </w:pPr>
            <w:r>
              <w:rPr>
                <w:rFonts w:hint="eastAsia"/>
                <w:color w:val="auto"/>
                <w:sz w:val="21"/>
                <w:szCs w:val="21"/>
                <w:lang w:val="zh-CN"/>
              </w:rPr>
              <w:t>采购人</w:t>
            </w:r>
          </w:p>
        </w:tc>
        <w:tc>
          <w:tcPr>
            <w:tcW w:w="7316" w:type="dxa"/>
            <w:tcBorders>
              <w:top w:val="single" w:color="auto" w:sz="8" w:space="0"/>
              <w:left w:val="single" w:color="auto" w:sz="8" w:space="0"/>
              <w:bottom w:val="single" w:color="auto" w:sz="8" w:space="0"/>
            </w:tcBorders>
            <w:vAlign w:val="center"/>
          </w:tcPr>
          <w:p w14:paraId="4C9FCAD4">
            <w:pPr>
              <w:pStyle w:val="19"/>
              <w:snapToGrid w:val="0"/>
              <w:spacing w:before="0" w:beforeAutospacing="0" w:after="0" w:afterAutospacing="0" w:line="360" w:lineRule="auto"/>
              <w:jc w:val="both"/>
              <w:textAlignment w:val="baseline"/>
              <w:rPr>
                <w:rFonts w:hint="eastAsia" w:eastAsia="宋体" w:cs="宋体"/>
                <w:color w:val="auto"/>
                <w:sz w:val="21"/>
                <w:szCs w:val="21"/>
                <w:lang w:eastAsia="zh-CN"/>
              </w:rPr>
            </w:pPr>
            <w:r>
              <w:rPr>
                <w:rFonts w:hint="eastAsia" w:cs="宋体"/>
                <w:color w:val="auto"/>
                <w:sz w:val="21"/>
                <w:szCs w:val="21"/>
                <w:shd w:val="clear" w:color="auto" w:fill="FFFFFF"/>
              </w:rPr>
              <w:t>名称：</w:t>
            </w:r>
            <w:r>
              <w:rPr>
                <w:rFonts w:hint="eastAsia" w:cs="宋体"/>
                <w:color w:val="auto"/>
                <w:sz w:val="21"/>
                <w:szCs w:val="21"/>
                <w:shd w:val="clear" w:color="auto" w:fill="FFFFFF"/>
                <w:lang w:eastAsia="zh-CN"/>
              </w:rPr>
              <w:t xml:space="preserve">旬邑县自然资源局 </w:t>
            </w:r>
          </w:p>
          <w:p w14:paraId="164AC642">
            <w:pPr>
              <w:pStyle w:val="19"/>
              <w:snapToGrid w:val="0"/>
              <w:spacing w:before="0" w:beforeAutospacing="0" w:after="0" w:afterAutospacing="0" w:line="360" w:lineRule="auto"/>
              <w:jc w:val="both"/>
              <w:textAlignment w:val="baseline"/>
              <w:rPr>
                <w:rFonts w:hint="default" w:eastAsia="宋体" w:cs="宋体"/>
                <w:color w:val="auto"/>
                <w:sz w:val="21"/>
                <w:szCs w:val="21"/>
                <w:lang w:val="en-US" w:eastAsia="zh-CN"/>
              </w:rPr>
            </w:pPr>
            <w:r>
              <w:rPr>
                <w:rFonts w:hint="eastAsia" w:cs="宋体"/>
                <w:color w:val="auto"/>
                <w:sz w:val="21"/>
                <w:szCs w:val="21"/>
                <w:shd w:val="clear" w:color="auto" w:fill="FFFFFF"/>
              </w:rPr>
              <w:t>地址：</w:t>
            </w:r>
            <w:r>
              <w:rPr>
                <w:rFonts w:hint="eastAsia" w:cs="宋体"/>
                <w:color w:val="auto"/>
                <w:sz w:val="21"/>
                <w:szCs w:val="21"/>
                <w:shd w:val="clear" w:color="auto" w:fill="FFFFFF"/>
                <w:lang w:val="en-US" w:eastAsia="zh-CN"/>
              </w:rPr>
              <w:t>旬邑县东大街69号</w:t>
            </w:r>
          </w:p>
          <w:p w14:paraId="152C82D6">
            <w:pPr>
              <w:pStyle w:val="19"/>
              <w:snapToGrid w:val="0"/>
              <w:spacing w:before="0" w:beforeAutospacing="0" w:after="0" w:afterAutospacing="0" w:line="360" w:lineRule="auto"/>
              <w:jc w:val="both"/>
              <w:textAlignment w:val="baseline"/>
              <w:rPr>
                <w:rFonts w:hint="eastAsia" w:ascii="宋体" w:hAnsi="宋体" w:eastAsia="宋体"/>
                <w:bCs/>
                <w:color w:val="auto"/>
                <w:szCs w:val="21"/>
                <w:lang w:eastAsia="zh-CN"/>
              </w:rPr>
            </w:pPr>
            <w:r>
              <w:rPr>
                <w:rFonts w:hint="eastAsia" w:cs="宋体"/>
                <w:color w:val="auto"/>
                <w:sz w:val="21"/>
                <w:szCs w:val="21"/>
                <w:shd w:val="clear" w:color="auto" w:fill="FFFFFF"/>
              </w:rPr>
              <w:t>联系方式：</w:t>
            </w:r>
            <w:r>
              <w:rPr>
                <w:rFonts w:hint="eastAsia" w:cs="宋体"/>
                <w:color w:val="auto"/>
                <w:sz w:val="21"/>
                <w:szCs w:val="21"/>
                <w:shd w:val="clear" w:color="auto" w:fill="FFFFFF"/>
                <w:lang w:val="en-US" w:eastAsia="zh-CN"/>
              </w:rPr>
              <w:t>029-34422657</w:t>
            </w:r>
          </w:p>
        </w:tc>
      </w:tr>
      <w:tr w14:paraId="2DD080B7">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724" w:hRule="atLeast"/>
          <w:jc w:val="center"/>
        </w:trPr>
        <w:tc>
          <w:tcPr>
            <w:tcW w:w="640" w:type="dxa"/>
            <w:tcBorders>
              <w:top w:val="single" w:color="auto" w:sz="8" w:space="0"/>
              <w:bottom w:val="single" w:color="auto" w:sz="8" w:space="0"/>
              <w:right w:val="single" w:color="auto" w:sz="8" w:space="0"/>
            </w:tcBorders>
            <w:vAlign w:val="center"/>
          </w:tcPr>
          <w:p w14:paraId="170C159E">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p>
        </w:tc>
        <w:tc>
          <w:tcPr>
            <w:tcW w:w="2182" w:type="dxa"/>
            <w:tcBorders>
              <w:top w:val="single" w:color="auto" w:sz="8" w:space="0"/>
              <w:left w:val="single" w:color="auto" w:sz="8" w:space="0"/>
              <w:bottom w:val="single" w:color="auto" w:sz="8" w:space="0"/>
              <w:right w:val="single" w:color="auto" w:sz="8" w:space="0"/>
            </w:tcBorders>
            <w:vAlign w:val="center"/>
          </w:tcPr>
          <w:p w14:paraId="4095845A">
            <w:pPr>
              <w:adjustRightInd w:val="0"/>
              <w:snapToGrid w:val="0"/>
              <w:spacing w:line="360" w:lineRule="exact"/>
              <w:ind w:firstLine="210" w:firstLineChars="100"/>
              <w:jc w:val="center"/>
              <w:rPr>
                <w:color w:val="auto"/>
                <w:lang w:val="zh-CN"/>
              </w:rPr>
            </w:pPr>
            <w:r>
              <w:rPr>
                <w:rFonts w:hint="eastAsia"/>
                <w:color w:val="auto"/>
                <w:lang w:val="zh-CN"/>
              </w:rPr>
              <w:t>采购代理机构</w:t>
            </w:r>
          </w:p>
        </w:tc>
        <w:tc>
          <w:tcPr>
            <w:tcW w:w="7316" w:type="dxa"/>
            <w:tcBorders>
              <w:top w:val="single" w:color="auto" w:sz="8" w:space="0"/>
              <w:left w:val="single" w:color="auto" w:sz="8" w:space="0"/>
              <w:bottom w:val="single" w:color="auto" w:sz="8" w:space="0"/>
            </w:tcBorders>
            <w:vAlign w:val="center"/>
          </w:tcPr>
          <w:p w14:paraId="37A76992">
            <w:pPr>
              <w:adjustRightInd w:val="0"/>
              <w:snapToGrid w:val="0"/>
              <w:spacing w:line="360" w:lineRule="exact"/>
              <w:ind w:firstLine="210" w:firstLineChars="100"/>
              <w:jc w:val="left"/>
              <w:rPr>
                <w:color w:val="auto"/>
              </w:rPr>
            </w:pPr>
            <w:r>
              <w:rPr>
                <w:rFonts w:hint="eastAsia"/>
                <w:color w:val="auto"/>
              </w:rPr>
              <w:t>采购代理机构名称：陕西优正项目管理有限公司</w:t>
            </w:r>
          </w:p>
          <w:p w14:paraId="00AAF454">
            <w:pPr>
              <w:adjustRightInd w:val="0"/>
              <w:snapToGrid w:val="0"/>
              <w:spacing w:line="360" w:lineRule="exact"/>
              <w:ind w:firstLine="210" w:firstLineChars="100"/>
              <w:jc w:val="left"/>
              <w:rPr>
                <w:color w:val="auto"/>
              </w:rPr>
            </w:pPr>
            <w:r>
              <w:rPr>
                <w:rFonts w:hint="eastAsia"/>
                <w:color w:val="auto"/>
              </w:rPr>
              <w:t>地址：陕西省咸阳市秦都区新华大厦1508室</w:t>
            </w:r>
          </w:p>
          <w:p w14:paraId="14BC6026">
            <w:pPr>
              <w:adjustRightInd w:val="0"/>
              <w:snapToGrid w:val="0"/>
              <w:spacing w:line="360" w:lineRule="exact"/>
              <w:ind w:firstLine="210" w:firstLineChars="100"/>
              <w:jc w:val="left"/>
              <w:rPr>
                <w:rFonts w:hint="default" w:eastAsia="宋体"/>
                <w:color w:val="auto"/>
                <w:lang w:val="en-US" w:eastAsia="zh-CN"/>
              </w:rPr>
            </w:pPr>
            <w:r>
              <w:rPr>
                <w:rFonts w:hint="eastAsia"/>
                <w:color w:val="auto"/>
              </w:rPr>
              <w:t>联系人：</w:t>
            </w:r>
            <w:r>
              <w:rPr>
                <w:rFonts w:hint="eastAsia"/>
                <w:color w:val="auto"/>
                <w:lang w:val="en-US" w:eastAsia="zh-CN"/>
              </w:rPr>
              <w:t>王亚倩</w:t>
            </w:r>
          </w:p>
          <w:p w14:paraId="40DFB769">
            <w:pPr>
              <w:adjustRightInd w:val="0"/>
              <w:snapToGrid w:val="0"/>
              <w:spacing w:line="360" w:lineRule="exact"/>
              <w:ind w:firstLine="210" w:firstLineChars="100"/>
              <w:jc w:val="left"/>
              <w:rPr>
                <w:rFonts w:hint="default" w:eastAsia="宋体"/>
                <w:color w:val="auto"/>
                <w:lang w:val="en-US" w:eastAsia="zh-CN"/>
              </w:rPr>
            </w:pPr>
            <w:r>
              <w:rPr>
                <w:rFonts w:hint="eastAsia"/>
                <w:color w:val="auto"/>
              </w:rPr>
              <w:t>电话：</w:t>
            </w:r>
            <w:r>
              <w:rPr>
                <w:rFonts w:hint="eastAsia" w:ascii="宋体" w:hAnsi="宋体"/>
                <w:bCs/>
                <w:color w:val="auto"/>
                <w:kern w:val="0"/>
                <w:szCs w:val="21"/>
                <w:lang w:val="en-US" w:eastAsia="zh-CN"/>
              </w:rPr>
              <w:t>13060389978</w:t>
            </w:r>
          </w:p>
          <w:p w14:paraId="7E49C53A">
            <w:pPr>
              <w:adjustRightInd w:val="0"/>
              <w:snapToGrid w:val="0"/>
              <w:spacing w:line="360" w:lineRule="exact"/>
              <w:ind w:firstLine="210" w:firstLineChars="100"/>
              <w:jc w:val="left"/>
              <w:rPr>
                <w:rFonts w:hint="default" w:eastAsia="宋体"/>
                <w:color w:val="auto"/>
                <w:lang w:val="en-US" w:eastAsia="zh-CN"/>
              </w:rPr>
            </w:pPr>
            <w:r>
              <w:rPr>
                <w:rFonts w:hint="eastAsia"/>
                <w:color w:val="auto"/>
              </w:rPr>
              <w:t>电子邮箱：</w:t>
            </w:r>
            <w:r>
              <w:rPr>
                <w:rFonts w:hint="eastAsia" w:ascii="宋体" w:hAnsi="宋体" w:cs="宋体"/>
                <w:color w:val="auto"/>
                <w:lang w:val="en-US" w:eastAsia="zh-CN"/>
              </w:rPr>
              <w:t>2625967025@qq.com</w:t>
            </w:r>
          </w:p>
        </w:tc>
      </w:tr>
      <w:tr w14:paraId="316AF00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4" w:hRule="exact"/>
          <w:jc w:val="center"/>
        </w:trPr>
        <w:tc>
          <w:tcPr>
            <w:tcW w:w="640" w:type="dxa"/>
            <w:tcBorders>
              <w:top w:val="single" w:color="auto" w:sz="8" w:space="0"/>
              <w:bottom w:val="single" w:color="auto" w:sz="8" w:space="0"/>
              <w:right w:val="single" w:color="auto" w:sz="8" w:space="0"/>
            </w:tcBorders>
            <w:vAlign w:val="center"/>
          </w:tcPr>
          <w:p w14:paraId="325B951F">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p>
        </w:tc>
        <w:tc>
          <w:tcPr>
            <w:tcW w:w="2182" w:type="dxa"/>
            <w:tcBorders>
              <w:top w:val="single" w:color="auto" w:sz="8" w:space="0"/>
              <w:left w:val="single" w:color="auto" w:sz="8" w:space="0"/>
              <w:bottom w:val="single" w:color="auto" w:sz="8" w:space="0"/>
              <w:right w:val="single" w:color="auto" w:sz="8" w:space="0"/>
            </w:tcBorders>
            <w:vAlign w:val="center"/>
          </w:tcPr>
          <w:p w14:paraId="7B1828FC">
            <w:pPr>
              <w:pStyle w:val="27"/>
              <w:snapToGrid w:val="0"/>
              <w:spacing w:line="360" w:lineRule="exact"/>
              <w:ind w:left="38"/>
              <w:jc w:val="center"/>
              <w:rPr>
                <w:color w:val="auto"/>
                <w:sz w:val="21"/>
                <w:szCs w:val="21"/>
                <w:lang w:val="zh-CN"/>
              </w:rPr>
            </w:pPr>
            <w:r>
              <w:rPr>
                <w:rFonts w:hint="eastAsia"/>
                <w:color w:val="auto"/>
                <w:sz w:val="21"/>
                <w:szCs w:val="21"/>
                <w:lang w:val="zh-CN"/>
              </w:rPr>
              <w:t>项目名称</w:t>
            </w:r>
          </w:p>
        </w:tc>
        <w:tc>
          <w:tcPr>
            <w:tcW w:w="7316" w:type="dxa"/>
            <w:tcBorders>
              <w:top w:val="single" w:color="auto" w:sz="8" w:space="0"/>
              <w:left w:val="single" w:color="auto" w:sz="8" w:space="0"/>
              <w:bottom w:val="single" w:color="auto" w:sz="8" w:space="0"/>
            </w:tcBorders>
            <w:vAlign w:val="center"/>
          </w:tcPr>
          <w:p w14:paraId="7C057D92">
            <w:pPr>
              <w:adjustRightInd w:val="0"/>
              <w:snapToGrid w:val="0"/>
              <w:spacing w:line="360" w:lineRule="exact"/>
              <w:ind w:firstLine="210" w:firstLineChars="100"/>
              <w:rPr>
                <w:rFonts w:hint="eastAsia" w:ascii="宋体" w:hAnsi="宋体" w:eastAsia="宋体"/>
                <w:color w:val="auto"/>
                <w:lang w:eastAsia="zh-CN"/>
              </w:rPr>
            </w:pPr>
            <w:r>
              <w:rPr>
                <w:rFonts w:hint="eastAsia" w:ascii="宋体" w:hAnsi="宋体"/>
                <w:color w:val="auto"/>
                <w:lang w:eastAsia="zh-CN"/>
              </w:rPr>
              <w:t>旬邑县土桥镇地质灾害风险调查评价项目</w:t>
            </w:r>
          </w:p>
        </w:tc>
      </w:tr>
      <w:tr w14:paraId="67A5023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8" w:hRule="exact"/>
          <w:jc w:val="center"/>
        </w:trPr>
        <w:tc>
          <w:tcPr>
            <w:tcW w:w="640" w:type="dxa"/>
            <w:tcBorders>
              <w:top w:val="single" w:color="auto" w:sz="8" w:space="0"/>
              <w:bottom w:val="single" w:color="auto" w:sz="8" w:space="0"/>
              <w:right w:val="single" w:color="auto" w:sz="8" w:space="0"/>
            </w:tcBorders>
            <w:vAlign w:val="center"/>
          </w:tcPr>
          <w:p w14:paraId="76342F28">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4</w:t>
            </w:r>
          </w:p>
        </w:tc>
        <w:tc>
          <w:tcPr>
            <w:tcW w:w="2182" w:type="dxa"/>
            <w:tcBorders>
              <w:top w:val="single" w:color="auto" w:sz="8" w:space="0"/>
              <w:left w:val="single" w:color="auto" w:sz="8" w:space="0"/>
              <w:bottom w:val="single" w:color="auto" w:sz="8" w:space="0"/>
              <w:right w:val="single" w:color="auto" w:sz="8" w:space="0"/>
            </w:tcBorders>
            <w:vAlign w:val="center"/>
          </w:tcPr>
          <w:p w14:paraId="46C804E8">
            <w:pPr>
              <w:pStyle w:val="27"/>
              <w:snapToGrid w:val="0"/>
              <w:spacing w:line="360" w:lineRule="exact"/>
              <w:ind w:left="38"/>
              <w:jc w:val="center"/>
              <w:rPr>
                <w:color w:val="auto"/>
                <w:sz w:val="21"/>
                <w:szCs w:val="21"/>
                <w:lang w:val="zh-CN"/>
              </w:rPr>
            </w:pPr>
            <w:r>
              <w:rPr>
                <w:rFonts w:hint="eastAsia"/>
                <w:color w:val="auto"/>
                <w:sz w:val="21"/>
                <w:szCs w:val="21"/>
                <w:lang w:val="zh-CN"/>
              </w:rPr>
              <w:t>项目编号</w:t>
            </w:r>
          </w:p>
        </w:tc>
        <w:tc>
          <w:tcPr>
            <w:tcW w:w="7316" w:type="dxa"/>
            <w:tcBorders>
              <w:top w:val="single" w:color="auto" w:sz="8" w:space="0"/>
              <w:left w:val="single" w:color="auto" w:sz="8" w:space="0"/>
              <w:bottom w:val="single" w:color="auto" w:sz="8" w:space="0"/>
            </w:tcBorders>
            <w:vAlign w:val="center"/>
          </w:tcPr>
          <w:p w14:paraId="0925C228">
            <w:pPr>
              <w:adjustRightInd w:val="0"/>
              <w:snapToGrid w:val="0"/>
              <w:spacing w:line="360" w:lineRule="exact"/>
              <w:ind w:firstLine="210" w:firstLineChars="100"/>
              <w:rPr>
                <w:rFonts w:hint="eastAsia" w:ascii="宋体" w:hAnsi="宋体" w:eastAsia="宋体"/>
                <w:color w:val="auto"/>
                <w:lang w:eastAsia="zh-CN"/>
              </w:rPr>
            </w:pPr>
            <w:r>
              <w:rPr>
                <w:rFonts w:hint="eastAsia" w:ascii="宋体" w:hAnsi="宋体" w:cs="宋体"/>
                <w:color w:val="auto"/>
                <w:lang w:eastAsia="zh-CN"/>
              </w:rPr>
              <w:t>YZ2026-ZB037</w:t>
            </w:r>
          </w:p>
        </w:tc>
      </w:tr>
      <w:tr w14:paraId="76802AE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exact"/>
          <w:jc w:val="center"/>
        </w:trPr>
        <w:tc>
          <w:tcPr>
            <w:tcW w:w="640" w:type="dxa"/>
            <w:tcBorders>
              <w:top w:val="single" w:color="auto" w:sz="8" w:space="0"/>
              <w:bottom w:val="single" w:color="auto" w:sz="8" w:space="0"/>
              <w:right w:val="single" w:color="auto" w:sz="8" w:space="0"/>
            </w:tcBorders>
            <w:vAlign w:val="center"/>
          </w:tcPr>
          <w:p w14:paraId="70AF751C">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5</w:t>
            </w:r>
          </w:p>
        </w:tc>
        <w:tc>
          <w:tcPr>
            <w:tcW w:w="2182" w:type="dxa"/>
            <w:tcBorders>
              <w:top w:val="single" w:color="auto" w:sz="8" w:space="0"/>
              <w:left w:val="single" w:color="auto" w:sz="8" w:space="0"/>
              <w:bottom w:val="single" w:color="auto" w:sz="8" w:space="0"/>
              <w:right w:val="single" w:color="auto" w:sz="8" w:space="0"/>
            </w:tcBorders>
            <w:vAlign w:val="center"/>
          </w:tcPr>
          <w:p w14:paraId="1E824857">
            <w:pPr>
              <w:pStyle w:val="27"/>
              <w:snapToGrid w:val="0"/>
              <w:spacing w:line="360" w:lineRule="exact"/>
              <w:ind w:left="38"/>
              <w:jc w:val="center"/>
              <w:rPr>
                <w:color w:val="auto"/>
                <w:sz w:val="21"/>
                <w:szCs w:val="21"/>
                <w:lang w:val="zh-CN"/>
              </w:rPr>
            </w:pPr>
            <w:r>
              <w:rPr>
                <w:rFonts w:hint="eastAsia"/>
                <w:color w:val="auto"/>
                <w:sz w:val="21"/>
                <w:szCs w:val="21"/>
                <w:lang w:val="zh-CN"/>
              </w:rPr>
              <w:t>资金来源</w:t>
            </w:r>
          </w:p>
        </w:tc>
        <w:tc>
          <w:tcPr>
            <w:tcW w:w="7316" w:type="dxa"/>
            <w:tcBorders>
              <w:top w:val="single" w:color="auto" w:sz="8" w:space="0"/>
              <w:left w:val="single" w:color="auto" w:sz="8" w:space="0"/>
              <w:bottom w:val="single" w:color="auto" w:sz="8" w:space="0"/>
            </w:tcBorders>
            <w:vAlign w:val="center"/>
          </w:tcPr>
          <w:p w14:paraId="624402C2">
            <w:pPr>
              <w:adjustRightInd w:val="0"/>
              <w:snapToGrid w:val="0"/>
              <w:spacing w:line="360" w:lineRule="exact"/>
              <w:ind w:firstLine="105" w:firstLineChars="50"/>
              <w:rPr>
                <w:rFonts w:ascii="宋体" w:hAnsi="宋体"/>
                <w:color w:val="auto"/>
              </w:rPr>
            </w:pPr>
            <w:r>
              <w:rPr>
                <w:rFonts w:hint="eastAsia" w:ascii="宋体" w:hAnsi="宋体" w:eastAsia="宋体" w:cs="宋体"/>
                <w:color w:val="auto"/>
                <w:kern w:val="0"/>
                <w:sz w:val="21"/>
                <w:szCs w:val="21"/>
                <w:lang w:val="zh-CN" w:eastAsia="zh-CN" w:bidi="ar-SA"/>
              </w:rPr>
              <w:t xml:space="preserve"> 财政资金</w:t>
            </w:r>
          </w:p>
        </w:tc>
      </w:tr>
      <w:tr w14:paraId="3D5C5D7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7694DCA2">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6</w:t>
            </w:r>
          </w:p>
        </w:tc>
        <w:tc>
          <w:tcPr>
            <w:tcW w:w="2182" w:type="dxa"/>
            <w:tcBorders>
              <w:top w:val="single" w:color="auto" w:sz="8" w:space="0"/>
              <w:left w:val="single" w:color="auto" w:sz="8" w:space="0"/>
              <w:bottom w:val="single" w:color="auto" w:sz="8" w:space="0"/>
              <w:right w:val="single" w:color="auto" w:sz="8" w:space="0"/>
            </w:tcBorders>
            <w:vAlign w:val="center"/>
          </w:tcPr>
          <w:p w14:paraId="15AC7892">
            <w:pPr>
              <w:pStyle w:val="27"/>
              <w:snapToGrid w:val="0"/>
              <w:spacing w:line="360" w:lineRule="exact"/>
              <w:ind w:left="38"/>
              <w:jc w:val="center"/>
              <w:rPr>
                <w:color w:val="auto"/>
                <w:sz w:val="21"/>
                <w:szCs w:val="21"/>
                <w:lang w:val="zh-CN"/>
              </w:rPr>
            </w:pPr>
            <w:r>
              <w:rPr>
                <w:rFonts w:hint="eastAsia"/>
                <w:color w:val="auto"/>
                <w:sz w:val="21"/>
                <w:szCs w:val="21"/>
                <w:lang w:val="zh-CN"/>
              </w:rPr>
              <w:t>预算金额</w:t>
            </w:r>
          </w:p>
        </w:tc>
        <w:tc>
          <w:tcPr>
            <w:tcW w:w="7316" w:type="dxa"/>
            <w:tcBorders>
              <w:top w:val="single" w:color="auto" w:sz="8" w:space="0"/>
              <w:left w:val="single" w:color="auto" w:sz="8" w:space="0"/>
              <w:bottom w:val="single" w:color="auto" w:sz="8" w:space="0"/>
            </w:tcBorders>
            <w:vAlign w:val="center"/>
          </w:tcPr>
          <w:p w14:paraId="3BDED3F3">
            <w:pPr>
              <w:pStyle w:val="27"/>
              <w:snapToGrid w:val="0"/>
              <w:spacing w:line="360" w:lineRule="exact"/>
              <w:ind w:firstLine="210" w:firstLineChars="100"/>
              <w:jc w:val="both"/>
              <w:rPr>
                <w:rFonts w:hint="eastAsia" w:eastAsia="宋体"/>
                <w:color w:val="auto"/>
                <w:sz w:val="21"/>
                <w:szCs w:val="21"/>
                <w:lang w:eastAsia="zh-CN"/>
              </w:rPr>
            </w:pPr>
            <w:r>
              <w:rPr>
                <w:rFonts w:hint="eastAsia"/>
                <w:color w:val="auto"/>
                <w:sz w:val="21"/>
                <w:szCs w:val="21"/>
              </w:rPr>
              <w:t>本项目采购预算金额</w:t>
            </w:r>
            <w:r>
              <w:rPr>
                <w:rFonts w:hint="eastAsia"/>
                <w:color w:val="auto"/>
                <w:sz w:val="21"/>
                <w:szCs w:val="21"/>
                <w:u w:val="single"/>
              </w:rPr>
              <w:t>￥</w:t>
            </w:r>
            <w:r>
              <w:rPr>
                <w:rFonts w:hint="eastAsia"/>
                <w:color w:val="auto"/>
                <w:sz w:val="21"/>
                <w:szCs w:val="21"/>
                <w:u w:val="single"/>
                <w:lang w:val="en-US" w:eastAsia="zh-CN"/>
              </w:rPr>
              <w:t>1100000.00</w:t>
            </w:r>
            <w:r>
              <w:rPr>
                <w:rFonts w:hint="eastAsia"/>
                <w:color w:val="auto"/>
                <w:sz w:val="21"/>
                <w:szCs w:val="21"/>
                <w:u w:val="single"/>
                <w:lang w:eastAsia="zh-CN"/>
              </w:rPr>
              <w:t>；</w:t>
            </w:r>
          </w:p>
          <w:p w14:paraId="5A09C75D">
            <w:pPr>
              <w:pStyle w:val="27"/>
              <w:snapToGrid w:val="0"/>
              <w:spacing w:line="360" w:lineRule="exact"/>
              <w:ind w:firstLine="210" w:firstLineChars="100"/>
              <w:jc w:val="both"/>
              <w:rPr>
                <w:rFonts w:hint="eastAsia" w:eastAsia="宋体"/>
                <w:color w:val="auto"/>
                <w:sz w:val="21"/>
                <w:szCs w:val="21"/>
                <w:lang w:val="zh-CN" w:eastAsia="zh-CN"/>
              </w:rPr>
            </w:pPr>
            <w:r>
              <w:rPr>
                <w:rFonts w:hint="eastAsia"/>
                <w:color w:val="auto"/>
                <w:sz w:val="21"/>
                <w:szCs w:val="21"/>
              </w:rPr>
              <w:t>供应商磋商报价超出采购预算金额的，作为不实质性响应磋商文件，按无效响应文件处理</w:t>
            </w:r>
            <w:r>
              <w:rPr>
                <w:rFonts w:hint="eastAsia"/>
                <w:color w:val="auto"/>
                <w:sz w:val="21"/>
                <w:szCs w:val="21"/>
                <w:lang w:eastAsia="zh-CN"/>
              </w:rPr>
              <w:t>。</w:t>
            </w:r>
          </w:p>
        </w:tc>
      </w:tr>
      <w:tr w14:paraId="3B46FAE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234" w:hRule="exact"/>
          <w:jc w:val="center"/>
        </w:trPr>
        <w:tc>
          <w:tcPr>
            <w:tcW w:w="640" w:type="dxa"/>
            <w:tcBorders>
              <w:top w:val="single" w:color="auto" w:sz="8" w:space="0"/>
              <w:bottom w:val="single" w:color="auto" w:sz="8" w:space="0"/>
              <w:right w:val="single" w:color="auto" w:sz="8" w:space="0"/>
            </w:tcBorders>
            <w:vAlign w:val="center"/>
          </w:tcPr>
          <w:p w14:paraId="4E837BE9">
            <w:pPr>
              <w:snapToGrid w:val="0"/>
              <w:spacing w:line="360" w:lineRule="auto"/>
              <w:jc w:val="center"/>
              <w:rPr>
                <w:rFonts w:cs="Courier New"/>
                <w:color w:val="auto"/>
                <w:sz w:val="21"/>
                <w:szCs w:val="21"/>
                <w:lang w:val="zh-CN"/>
              </w:rPr>
            </w:pPr>
            <w:r>
              <w:rPr>
                <w:rFonts w:hint="eastAsia" w:ascii="宋体" w:hAnsi="宋体" w:cs="宋体"/>
                <w:sz w:val="21"/>
                <w:szCs w:val="21"/>
                <w:highlight w:val="none"/>
              </w:rPr>
              <w:t>7</w:t>
            </w:r>
          </w:p>
        </w:tc>
        <w:tc>
          <w:tcPr>
            <w:tcW w:w="2182" w:type="dxa"/>
            <w:tcBorders>
              <w:top w:val="single" w:color="auto" w:sz="8" w:space="0"/>
              <w:left w:val="single" w:color="auto" w:sz="8" w:space="0"/>
              <w:bottom w:val="single" w:color="auto" w:sz="8" w:space="0"/>
              <w:right w:val="single" w:color="auto" w:sz="8" w:space="0"/>
            </w:tcBorders>
            <w:vAlign w:val="center"/>
          </w:tcPr>
          <w:p w14:paraId="5C595D57">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rightChars="0" w:firstLine="0" w:firstLineChars="0"/>
              <w:jc w:val="center"/>
              <w:textAlignment w:val="auto"/>
              <w:rPr>
                <w:color w:val="auto"/>
                <w:sz w:val="21"/>
                <w:szCs w:val="21"/>
                <w:lang w:val="zh-CN"/>
              </w:rPr>
            </w:pPr>
            <w:r>
              <w:rPr>
                <w:rFonts w:hint="eastAsia" w:ascii="Times New Roman" w:hAnsi="Times New Roman" w:eastAsia="宋体" w:cs="Times New Roman"/>
                <w:b w:val="0"/>
                <w:bCs w:val="0"/>
                <w:lang w:val="en-US" w:eastAsia="zh-CN"/>
              </w:rPr>
              <w:t>包的划分</w:t>
            </w:r>
          </w:p>
        </w:tc>
        <w:tc>
          <w:tcPr>
            <w:tcW w:w="7316" w:type="dxa"/>
            <w:tcBorders>
              <w:top w:val="single" w:color="auto" w:sz="8" w:space="0"/>
              <w:left w:val="single" w:color="auto" w:sz="8" w:space="0"/>
              <w:bottom w:val="single" w:color="auto" w:sz="8" w:space="0"/>
            </w:tcBorders>
            <w:vAlign w:val="center"/>
          </w:tcPr>
          <w:p w14:paraId="77D03E9A">
            <w:pPr>
              <w:keepNext w:val="0"/>
              <w:keepLines w:val="0"/>
              <w:pageBreakBefore w:val="0"/>
              <w:suppressLineNumbers w:val="0"/>
              <w:kinsoku/>
              <w:wordWrap/>
              <w:overflowPunct/>
              <w:topLinePunct w:val="0"/>
              <w:autoSpaceDE/>
              <w:autoSpaceDN/>
              <w:bidi w:val="0"/>
              <w:adjustRightInd/>
              <w:snapToGrid/>
              <w:spacing w:before="0" w:beforeAutospacing="0" w:afterAutospacing="0" w:line="320" w:lineRule="exact"/>
              <w:ind w:left="0" w:leftChars="0" w:right="0" w:firstLine="210" w:firstLineChars="100"/>
              <w:textAlignment w:val="auto"/>
              <w:rPr>
                <w:rFonts w:eastAsiaTheme="minorEastAsia"/>
                <w:color w:val="auto"/>
                <w:sz w:val="21"/>
                <w:szCs w:val="21"/>
                <w:lang w:val="zh-CN"/>
              </w:rPr>
            </w:pPr>
            <w:r>
              <w:rPr>
                <w:rFonts w:hint="eastAsia" w:ascii="Times New Roman" w:hAnsi="Times New Roman" w:eastAsia="宋体" w:cs="Times New Roman"/>
                <w:b w:val="0"/>
                <w:bCs w:val="0"/>
              </w:rPr>
              <w:t>本次投标的最小单元为“包”，</w:t>
            </w:r>
            <w:r>
              <w:rPr>
                <w:rFonts w:hint="eastAsia" w:ascii="Times New Roman" w:hAnsi="Times New Roman" w:eastAsia="宋体" w:cs="Times New Roman"/>
                <w:b w:val="0"/>
                <w:bCs w:val="0"/>
                <w:lang w:val="en-US" w:eastAsia="zh-CN"/>
              </w:rPr>
              <w:t>投标人</w:t>
            </w:r>
            <w:r>
              <w:rPr>
                <w:rFonts w:hint="eastAsia" w:ascii="Times New Roman" w:hAnsi="Times New Roman" w:eastAsia="宋体" w:cs="Times New Roman"/>
                <w:b w:val="0"/>
                <w:bCs w:val="0"/>
              </w:rPr>
              <w:t>可根据自身的资质情况进行投标，但不得将其子目自行分解或针对该项目各品目进行不完全投标，任何不完全的投标将按无效投标处理。</w:t>
            </w:r>
          </w:p>
        </w:tc>
      </w:tr>
      <w:tr w14:paraId="6FB3AAF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9" w:hRule="exact"/>
          <w:jc w:val="center"/>
        </w:trPr>
        <w:tc>
          <w:tcPr>
            <w:tcW w:w="640" w:type="dxa"/>
            <w:tcBorders>
              <w:top w:val="single" w:color="auto" w:sz="8" w:space="0"/>
              <w:bottom w:val="single" w:color="auto" w:sz="8" w:space="0"/>
              <w:right w:val="single" w:color="auto" w:sz="8" w:space="0"/>
            </w:tcBorders>
            <w:vAlign w:val="center"/>
          </w:tcPr>
          <w:p w14:paraId="38E899E9">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8</w:t>
            </w:r>
          </w:p>
        </w:tc>
        <w:tc>
          <w:tcPr>
            <w:tcW w:w="2182" w:type="dxa"/>
            <w:tcBorders>
              <w:top w:val="single" w:color="auto" w:sz="8" w:space="0"/>
              <w:left w:val="single" w:color="auto" w:sz="8" w:space="0"/>
              <w:bottom w:val="single" w:color="auto" w:sz="8" w:space="0"/>
              <w:right w:val="single" w:color="auto" w:sz="8" w:space="0"/>
            </w:tcBorders>
            <w:vAlign w:val="center"/>
          </w:tcPr>
          <w:p w14:paraId="7F955F10">
            <w:pPr>
              <w:pStyle w:val="27"/>
              <w:snapToGrid w:val="0"/>
              <w:spacing w:line="360" w:lineRule="exact"/>
              <w:ind w:left="38"/>
              <w:jc w:val="center"/>
              <w:rPr>
                <w:color w:val="auto"/>
                <w:sz w:val="21"/>
                <w:szCs w:val="21"/>
                <w:lang w:val="zh-CN"/>
              </w:rPr>
            </w:pPr>
            <w:r>
              <w:rPr>
                <w:rFonts w:hint="eastAsia"/>
                <w:color w:val="auto"/>
                <w:sz w:val="21"/>
                <w:szCs w:val="21"/>
                <w:lang w:val="zh-CN"/>
              </w:rPr>
              <w:t>采购方式</w:t>
            </w:r>
          </w:p>
        </w:tc>
        <w:tc>
          <w:tcPr>
            <w:tcW w:w="7316" w:type="dxa"/>
            <w:tcBorders>
              <w:top w:val="single" w:color="auto" w:sz="8" w:space="0"/>
              <w:left w:val="single" w:color="auto" w:sz="8" w:space="0"/>
              <w:bottom w:val="single" w:color="auto" w:sz="8" w:space="0"/>
            </w:tcBorders>
            <w:vAlign w:val="center"/>
          </w:tcPr>
          <w:p w14:paraId="3796B5CF">
            <w:pPr>
              <w:pStyle w:val="27"/>
              <w:snapToGrid w:val="0"/>
              <w:spacing w:line="360" w:lineRule="exact"/>
              <w:jc w:val="both"/>
              <w:rPr>
                <w:color w:val="auto"/>
                <w:sz w:val="21"/>
                <w:szCs w:val="21"/>
                <w:lang w:val="zh-CN"/>
              </w:rPr>
            </w:pPr>
            <w:r>
              <w:rPr>
                <w:rFonts w:hint="eastAsia"/>
                <w:color w:val="auto"/>
                <w:sz w:val="21"/>
                <w:szCs w:val="21"/>
                <w:lang w:val="zh-CN"/>
              </w:rPr>
              <w:t xml:space="preserve">  竞争性磋商</w:t>
            </w:r>
          </w:p>
        </w:tc>
      </w:tr>
      <w:tr w14:paraId="0088F21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22" w:hRule="exact"/>
          <w:jc w:val="center"/>
        </w:trPr>
        <w:tc>
          <w:tcPr>
            <w:tcW w:w="640" w:type="dxa"/>
            <w:tcBorders>
              <w:top w:val="single" w:color="auto" w:sz="8" w:space="0"/>
              <w:bottom w:val="single" w:color="auto" w:sz="8" w:space="0"/>
              <w:right w:val="single" w:color="auto" w:sz="8" w:space="0"/>
            </w:tcBorders>
            <w:vAlign w:val="center"/>
          </w:tcPr>
          <w:p w14:paraId="28117250">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9</w:t>
            </w:r>
          </w:p>
        </w:tc>
        <w:tc>
          <w:tcPr>
            <w:tcW w:w="2182" w:type="dxa"/>
            <w:tcBorders>
              <w:top w:val="single" w:color="auto" w:sz="8" w:space="0"/>
              <w:left w:val="single" w:color="auto" w:sz="8" w:space="0"/>
              <w:bottom w:val="single" w:color="auto" w:sz="8" w:space="0"/>
              <w:right w:val="single" w:color="auto" w:sz="8" w:space="0"/>
            </w:tcBorders>
            <w:vAlign w:val="center"/>
          </w:tcPr>
          <w:p w14:paraId="7C55A194">
            <w:pPr>
              <w:pStyle w:val="27"/>
              <w:snapToGrid w:val="0"/>
              <w:spacing w:line="360" w:lineRule="exact"/>
              <w:ind w:left="38"/>
              <w:jc w:val="center"/>
              <w:rPr>
                <w:color w:val="auto"/>
                <w:sz w:val="21"/>
                <w:szCs w:val="21"/>
                <w:lang w:val="zh-CN"/>
              </w:rPr>
            </w:pPr>
            <w:r>
              <w:rPr>
                <w:rFonts w:hint="eastAsia"/>
                <w:color w:val="auto"/>
                <w:sz w:val="21"/>
                <w:szCs w:val="21"/>
                <w:lang w:val="zh-CN"/>
              </w:rPr>
              <w:t>采购内容</w:t>
            </w:r>
          </w:p>
        </w:tc>
        <w:tc>
          <w:tcPr>
            <w:tcW w:w="7316" w:type="dxa"/>
            <w:tcBorders>
              <w:top w:val="single" w:color="auto" w:sz="8" w:space="0"/>
              <w:left w:val="single" w:color="auto" w:sz="8" w:space="0"/>
              <w:bottom w:val="single" w:color="auto" w:sz="8" w:space="0"/>
            </w:tcBorders>
            <w:vAlign w:val="center"/>
          </w:tcPr>
          <w:p w14:paraId="0A038C12">
            <w:pPr>
              <w:pStyle w:val="27"/>
              <w:snapToGrid w:val="0"/>
              <w:spacing w:line="360" w:lineRule="exact"/>
              <w:jc w:val="both"/>
              <w:rPr>
                <w:color w:val="auto"/>
                <w:sz w:val="21"/>
                <w:szCs w:val="21"/>
                <w:lang w:val="zh-CN"/>
              </w:rPr>
            </w:pPr>
            <w:r>
              <w:rPr>
                <w:rFonts w:hint="eastAsia"/>
                <w:color w:val="auto"/>
                <w:sz w:val="21"/>
                <w:szCs w:val="21"/>
                <w:lang w:val="zh-CN"/>
              </w:rPr>
              <w:t xml:space="preserve">  详见第四章</w:t>
            </w:r>
          </w:p>
        </w:tc>
      </w:tr>
      <w:tr w14:paraId="39BE350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482" w:hRule="atLeast"/>
          <w:jc w:val="center"/>
        </w:trPr>
        <w:tc>
          <w:tcPr>
            <w:tcW w:w="640" w:type="dxa"/>
            <w:tcBorders>
              <w:top w:val="single" w:color="auto" w:sz="8" w:space="0"/>
              <w:bottom w:val="single" w:color="auto" w:sz="8" w:space="0"/>
              <w:right w:val="single" w:color="auto" w:sz="8" w:space="0"/>
            </w:tcBorders>
            <w:vAlign w:val="center"/>
          </w:tcPr>
          <w:p w14:paraId="45097C12">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10</w:t>
            </w:r>
          </w:p>
        </w:tc>
        <w:tc>
          <w:tcPr>
            <w:tcW w:w="2182" w:type="dxa"/>
            <w:tcBorders>
              <w:top w:val="single" w:color="auto" w:sz="8" w:space="0"/>
              <w:left w:val="single" w:color="auto" w:sz="8" w:space="0"/>
              <w:bottom w:val="single" w:color="auto" w:sz="8" w:space="0"/>
              <w:right w:val="single" w:color="auto" w:sz="8" w:space="0"/>
            </w:tcBorders>
            <w:vAlign w:val="center"/>
          </w:tcPr>
          <w:p w14:paraId="1401EC65">
            <w:pPr>
              <w:pStyle w:val="27"/>
              <w:snapToGrid w:val="0"/>
              <w:spacing w:line="360" w:lineRule="exact"/>
              <w:ind w:left="96"/>
              <w:jc w:val="center"/>
              <w:rPr>
                <w:rFonts w:hint="eastAsia" w:eastAsia="宋体"/>
                <w:color w:val="auto"/>
                <w:sz w:val="21"/>
                <w:szCs w:val="21"/>
                <w:lang w:val="zh-CN" w:eastAsia="zh-CN"/>
              </w:rPr>
            </w:pPr>
            <w:r>
              <w:rPr>
                <w:rFonts w:hint="eastAsia"/>
                <w:color w:val="auto"/>
                <w:sz w:val="21"/>
                <w:szCs w:val="21"/>
                <w:lang w:val="en-US" w:eastAsia="zh-CN"/>
              </w:rPr>
              <w:t>服务期</w:t>
            </w:r>
          </w:p>
        </w:tc>
        <w:tc>
          <w:tcPr>
            <w:tcW w:w="7316" w:type="dxa"/>
            <w:tcBorders>
              <w:top w:val="single" w:color="auto" w:sz="8" w:space="0"/>
              <w:left w:val="single" w:color="auto" w:sz="8" w:space="0"/>
              <w:bottom w:val="single" w:color="auto" w:sz="8" w:space="0"/>
            </w:tcBorders>
            <w:vAlign w:val="center"/>
          </w:tcPr>
          <w:p w14:paraId="0F5570A6">
            <w:pPr>
              <w:pStyle w:val="27"/>
              <w:snapToGrid w:val="0"/>
              <w:spacing w:line="360" w:lineRule="exact"/>
              <w:ind w:firstLine="210" w:firstLineChars="100"/>
              <w:jc w:val="both"/>
              <w:rPr>
                <w:rFonts w:hint="default" w:eastAsia="宋体"/>
                <w:color w:val="auto"/>
                <w:sz w:val="21"/>
                <w:szCs w:val="21"/>
                <w:lang w:val="en-US" w:eastAsia="zh-CN"/>
              </w:rPr>
            </w:pPr>
            <w:r>
              <w:rPr>
                <w:rFonts w:hint="eastAsia"/>
                <w:color w:val="auto"/>
                <w:sz w:val="21"/>
                <w:szCs w:val="21"/>
                <w:lang w:val="zh-CN"/>
              </w:rPr>
              <w:t>合同签订之日起</w:t>
            </w:r>
            <w:r>
              <w:rPr>
                <w:rFonts w:hint="eastAsia"/>
                <w:color w:val="auto"/>
                <w:sz w:val="21"/>
                <w:szCs w:val="21"/>
                <w:lang w:val="en-US" w:eastAsia="zh-CN"/>
              </w:rPr>
              <w:t>两个月内</w:t>
            </w:r>
          </w:p>
        </w:tc>
      </w:tr>
      <w:tr w14:paraId="23F554C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7" w:hRule="atLeast"/>
          <w:jc w:val="center"/>
        </w:trPr>
        <w:tc>
          <w:tcPr>
            <w:tcW w:w="640" w:type="dxa"/>
            <w:tcBorders>
              <w:top w:val="single" w:color="auto" w:sz="8" w:space="0"/>
              <w:bottom w:val="single" w:color="auto" w:sz="8" w:space="0"/>
              <w:right w:val="single" w:color="auto" w:sz="8" w:space="0"/>
            </w:tcBorders>
            <w:vAlign w:val="center"/>
          </w:tcPr>
          <w:p w14:paraId="12ED9D99">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11</w:t>
            </w:r>
          </w:p>
        </w:tc>
        <w:tc>
          <w:tcPr>
            <w:tcW w:w="2182" w:type="dxa"/>
            <w:tcBorders>
              <w:top w:val="single" w:color="auto" w:sz="8" w:space="0"/>
              <w:left w:val="single" w:color="auto" w:sz="8" w:space="0"/>
              <w:bottom w:val="single" w:color="auto" w:sz="8" w:space="0"/>
              <w:right w:val="single" w:color="auto" w:sz="8" w:space="0"/>
            </w:tcBorders>
            <w:vAlign w:val="center"/>
          </w:tcPr>
          <w:p w14:paraId="118CEC66">
            <w:pPr>
              <w:pStyle w:val="27"/>
              <w:snapToGrid w:val="0"/>
              <w:spacing w:line="360" w:lineRule="exact"/>
              <w:ind w:left="96"/>
              <w:jc w:val="center"/>
              <w:rPr>
                <w:color w:val="auto"/>
                <w:sz w:val="21"/>
                <w:szCs w:val="21"/>
                <w:lang w:val="zh-CN"/>
              </w:rPr>
            </w:pPr>
            <w:r>
              <w:rPr>
                <w:rFonts w:hint="eastAsia"/>
                <w:color w:val="auto"/>
                <w:sz w:val="21"/>
                <w:szCs w:val="21"/>
                <w:lang w:val="zh-CN"/>
              </w:rPr>
              <w:t>地点</w:t>
            </w:r>
          </w:p>
        </w:tc>
        <w:tc>
          <w:tcPr>
            <w:tcW w:w="7316" w:type="dxa"/>
            <w:tcBorders>
              <w:top w:val="single" w:color="auto" w:sz="8" w:space="0"/>
              <w:left w:val="single" w:color="auto" w:sz="8" w:space="0"/>
              <w:bottom w:val="single" w:color="auto" w:sz="8" w:space="0"/>
            </w:tcBorders>
            <w:vAlign w:val="center"/>
          </w:tcPr>
          <w:p w14:paraId="54E84F72">
            <w:pPr>
              <w:pStyle w:val="27"/>
              <w:snapToGrid w:val="0"/>
              <w:spacing w:line="360" w:lineRule="exact"/>
              <w:ind w:left="634" w:leftChars="102" w:hanging="420" w:hangingChars="200"/>
              <w:rPr>
                <w:color w:val="auto"/>
                <w:sz w:val="21"/>
                <w:szCs w:val="21"/>
                <w:lang w:val="zh-CN"/>
              </w:rPr>
            </w:pPr>
            <w:r>
              <w:rPr>
                <w:rFonts w:hint="eastAsia"/>
                <w:color w:val="auto"/>
                <w:sz w:val="21"/>
                <w:szCs w:val="21"/>
              </w:rPr>
              <w:t>采购人指定地点</w:t>
            </w:r>
          </w:p>
        </w:tc>
      </w:tr>
      <w:tr w14:paraId="700B59D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5" w:hRule="exact"/>
          <w:jc w:val="center"/>
        </w:trPr>
        <w:tc>
          <w:tcPr>
            <w:tcW w:w="640" w:type="dxa"/>
            <w:tcBorders>
              <w:top w:val="single" w:color="auto" w:sz="8" w:space="0"/>
              <w:bottom w:val="single" w:color="auto" w:sz="8" w:space="0"/>
              <w:right w:val="single" w:color="auto" w:sz="8" w:space="0"/>
            </w:tcBorders>
            <w:vAlign w:val="center"/>
          </w:tcPr>
          <w:p w14:paraId="48C0A75F">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12</w:t>
            </w:r>
          </w:p>
        </w:tc>
        <w:tc>
          <w:tcPr>
            <w:tcW w:w="2182" w:type="dxa"/>
            <w:tcBorders>
              <w:top w:val="single" w:color="auto" w:sz="8" w:space="0"/>
              <w:left w:val="single" w:color="auto" w:sz="8" w:space="0"/>
              <w:bottom w:val="single" w:color="auto" w:sz="8" w:space="0"/>
              <w:right w:val="single" w:color="auto" w:sz="8" w:space="0"/>
            </w:tcBorders>
            <w:vAlign w:val="center"/>
          </w:tcPr>
          <w:p w14:paraId="1CFD22AB">
            <w:pPr>
              <w:pStyle w:val="27"/>
              <w:snapToGrid w:val="0"/>
              <w:spacing w:line="360" w:lineRule="exact"/>
              <w:ind w:left="96"/>
              <w:jc w:val="center"/>
              <w:rPr>
                <w:color w:val="auto"/>
                <w:sz w:val="21"/>
                <w:szCs w:val="21"/>
                <w:lang w:val="zh-CN"/>
              </w:rPr>
            </w:pPr>
            <w:r>
              <w:rPr>
                <w:rFonts w:hint="eastAsia"/>
                <w:color w:val="auto"/>
                <w:sz w:val="21"/>
                <w:szCs w:val="21"/>
                <w:lang w:val="zh-CN"/>
              </w:rPr>
              <w:t>质量</w:t>
            </w:r>
          </w:p>
        </w:tc>
        <w:tc>
          <w:tcPr>
            <w:tcW w:w="7316" w:type="dxa"/>
            <w:tcBorders>
              <w:top w:val="single" w:color="auto" w:sz="8" w:space="0"/>
              <w:left w:val="single" w:color="auto" w:sz="8" w:space="0"/>
              <w:bottom w:val="single" w:color="auto" w:sz="8" w:space="0"/>
            </w:tcBorders>
            <w:vAlign w:val="center"/>
          </w:tcPr>
          <w:p w14:paraId="0F35B5B8">
            <w:pPr>
              <w:pStyle w:val="27"/>
              <w:snapToGrid w:val="0"/>
              <w:spacing w:line="360" w:lineRule="exact"/>
              <w:ind w:firstLine="210" w:firstLineChars="100"/>
              <w:jc w:val="both"/>
              <w:rPr>
                <w:color w:val="auto"/>
                <w:sz w:val="21"/>
                <w:szCs w:val="21"/>
              </w:rPr>
            </w:pPr>
            <w:r>
              <w:rPr>
                <w:rFonts w:hint="eastAsia" w:ascii="宋体" w:hAnsi="宋体" w:eastAsia="宋体" w:cs="宋体"/>
                <w:b w:val="0"/>
                <w:bCs w:val="0"/>
                <w:color w:val="auto"/>
                <w:sz w:val="21"/>
                <w:szCs w:val="21"/>
                <w:highlight w:val="none"/>
                <w:lang w:eastAsia="zh-CN"/>
              </w:rPr>
              <w:t>符合国家、行业标准以及有关技术规范</w:t>
            </w:r>
            <w:r>
              <w:rPr>
                <w:rFonts w:hint="eastAsia" w:ascii="宋体" w:hAnsi="宋体" w:cs="宋体"/>
                <w:b w:val="0"/>
                <w:bCs w:val="0"/>
                <w:color w:val="auto"/>
                <w:sz w:val="21"/>
                <w:szCs w:val="21"/>
                <w:highlight w:val="none"/>
                <w:lang w:val="en-US" w:eastAsia="zh-CN"/>
              </w:rPr>
              <w:t>及采购人要求</w:t>
            </w:r>
            <w:r>
              <w:rPr>
                <w:rFonts w:hint="eastAsia" w:ascii="宋体" w:hAnsi="宋体" w:eastAsia="宋体" w:cs="宋体"/>
                <w:color w:val="000000"/>
                <w:kern w:val="0"/>
                <w:sz w:val="21"/>
                <w:szCs w:val="21"/>
                <w:lang w:val="en-US" w:eastAsia="zh-CN" w:bidi="ar"/>
              </w:rPr>
              <w:t>。并通过</w:t>
            </w:r>
            <w:r>
              <w:rPr>
                <w:rFonts w:hint="eastAsia" w:cs="宋体"/>
                <w:color w:val="000000"/>
                <w:kern w:val="0"/>
                <w:sz w:val="21"/>
                <w:szCs w:val="21"/>
                <w:lang w:val="en-US" w:eastAsia="zh-CN" w:bidi="ar"/>
              </w:rPr>
              <w:t>省市级验收</w:t>
            </w:r>
            <w:r>
              <w:rPr>
                <w:rFonts w:hint="eastAsia" w:ascii="宋体" w:hAnsi="宋体" w:eastAsia="宋体" w:cs="宋体"/>
                <w:color w:val="000000"/>
                <w:kern w:val="0"/>
                <w:sz w:val="21"/>
                <w:szCs w:val="21"/>
                <w:lang w:val="en-US" w:eastAsia="zh-CN" w:bidi="ar"/>
              </w:rPr>
              <w:t>。</w:t>
            </w:r>
          </w:p>
        </w:tc>
      </w:tr>
      <w:tr w14:paraId="7EE03AF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39769810">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13</w:t>
            </w:r>
          </w:p>
        </w:tc>
        <w:tc>
          <w:tcPr>
            <w:tcW w:w="2182" w:type="dxa"/>
            <w:tcBorders>
              <w:top w:val="single" w:color="auto" w:sz="8" w:space="0"/>
              <w:left w:val="single" w:color="auto" w:sz="8" w:space="0"/>
              <w:bottom w:val="single" w:color="auto" w:sz="8" w:space="0"/>
              <w:right w:val="single" w:color="auto" w:sz="8" w:space="0"/>
            </w:tcBorders>
            <w:vAlign w:val="center"/>
          </w:tcPr>
          <w:p w14:paraId="3D8E03D8">
            <w:pPr>
              <w:pStyle w:val="27"/>
              <w:snapToGrid w:val="0"/>
              <w:spacing w:line="360" w:lineRule="exact"/>
              <w:jc w:val="center"/>
              <w:rPr>
                <w:color w:val="auto"/>
                <w:sz w:val="21"/>
                <w:szCs w:val="21"/>
                <w:lang w:val="zh-CN"/>
              </w:rPr>
            </w:pPr>
            <w:r>
              <w:rPr>
                <w:rFonts w:hint="eastAsia"/>
                <w:color w:val="auto"/>
                <w:sz w:val="21"/>
                <w:szCs w:val="21"/>
                <w:lang w:val="zh-CN"/>
              </w:rPr>
              <w:t>支付方式、</w:t>
            </w:r>
          </w:p>
          <w:p w14:paraId="74A596E1">
            <w:pPr>
              <w:pStyle w:val="27"/>
              <w:snapToGrid w:val="0"/>
              <w:spacing w:line="360" w:lineRule="exact"/>
              <w:jc w:val="center"/>
              <w:rPr>
                <w:color w:val="auto"/>
                <w:sz w:val="21"/>
                <w:szCs w:val="21"/>
                <w:lang w:val="zh-CN"/>
              </w:rPr>
            </w:pPr>
            <w:r>
              <w:rPr>
                <w:rFonts w:hint="eastAsia"/>
                <w:color w:val="auto"/>
                <w:sz w:val="21"/>
                <w:szCs w:val="21"/>
                <w:lang w:val="zh-CN"/>
              </w:rPr>
              <w:t>时间和条件</w:t>
            </w:r>
          </w:p>
        </w:tc>
        <w:tc>
          <w:tcPr>
            <w:tcW w:w="7316" w:type="dxa"/>
            <w:tcBorders>
              <w:top w:val="single" w:color="auto" w:sz="8" w:space="0"/>
              <w:left w:val="single" w:color="auto" w:sz="8" w:space="0"/>
              <w:bottom w:val="single" w:color="auto" w:sz="8" w:space="0"/>
            </w:tcBorders>
            <w:vAlign w:val="center"/>
          </w:tcPr>
          <w:p w14:paraId="78CC7D4A">
            <w:pPr>
              <w:adjustRightInd w:val="0"/>
              <w:snapToGrid w:val="0"/>
              <w:spacing w:line="360" w:lineRule="exact"/>
              <w:ind w:left="105" w:leftChars="50" w:right="105" w:rightChars="50" w:firstLine="105" w:firstLineChars="50"/>
              <w:rPr>
                <w:rFonts w:ascii="宋体" w:hAnsi="宋体"/>
                <w:color w:val="auto"/>
                <w:szCs w:val="21"/>
              </w:rPr>
            </w:pPr>
            <w:r>
              <w:rPr>
                <w:rFonts w:hint="eastAsia" w:ascii="宋体" w:hAnsi="宋体"/>
                <w:color w:val="auto"/>
                <w:szCs w:val="21"/>
              </w:rPr>
              <w:t>详见磋商文件第五章</w:t>
            </w:r>
          </w:p>
        </w:tc>
      </w:tr>
      <w:tr w14:paraId="7E30AC2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8" w:hRule="atLeast"/>
          <w:jc w:val="center"/>
        </w:trPr>
        <w:tc>
          <w:tcPr>
            <w:tcW w:w="640" w:type="dxa"/>
            <w:tcBorders>
              <w:top w:val="single" w:color="auto" w:sz="8" w:space="0"/>
              <w:bottom w:val="single" w:color="auto" w:sz="8" w:space="0"/>
              <w:right w:val="single" w:color="auto" w:sz="8" w:space="0"/>
            </w:tcBorders>
            <w:vAlign w:val="center"/>
          </w:tcPr>
          <w:p w14:paraId="24BD5A70">
            <w:pPr>
              <w:pStyle w:val="27"/>
              <w:snapToGrid w:val="0"/>
              <w:spacing w:line="360" w:lineRule="exact"/>
              <w:jc w:val="center"/>
              <w:rPr>
                <w:rFonts w:cs="Courier New"/>
                <w:color w:val="auto"/>
                <w:sz w:val="21"/>
                <w:szCs w:val="21"/>
              </w:rPr>
            </w:pPr>
            <w:r>
              <w:rPr>
                <w:rFonts w:hint="eastAsia" w:cs="Courier New"/>
                <w:color w:val="auto"/>
                <w:sz w:val="21"/>
                <w:szCs w:val="21"/>
              </w:rPr>
              <w:t>14</w:t>
            </w:r>
          </w:p>
        </w:tc>
        <w:tc>
          <w:tcPr>
            <w:tcW w:w="2182" w:type="dxa"/>
            <w:tcBorders>
              <w:top w:val="single" w:color="auto" w:sz="8" w:space="0"/>
              <w:left w:val="single" w:color="auto" w:sz="8" w:space="0"/>
              <w:bottom w:val="single" w:color="auto" w:sz="8" w:space="0"/>
              <w:right w:val="single" w:color="auto" w:sz="8" w:space="0"/>
            </w:tcBorders>
            <w:vAlign w:val="center"/>
          </w:tcPr>
          <w:p w14:paraId="29BAE96C">
            <w:pPr>
              <w:pStyle w:val="27"/>
              <w:snapToGrid w:val="0"/>
              <w:spacing w:line="360" w:lineRule="exact"/>
              <w:jc w:val="center"/>
              <w:rPr>
                <w:color w:val="auto"/>
                <w:sz w:val="21"/>
                <w:szCs w:val="21"/>
                <w:lang w:val="zh-CN"/>
              </w:rPr>
            </w:pPr>
            <w:r>
              <w:rPr>
                <w:rFonts w:hint="eastAsia"/>
                <w:color w:val="auto"/>
                <w:sz w:val="21"/>
                <w:szCs w:val="21"/>
                <w:lang w:val="zh-CN"/>
              </w:rPr>
              <w:t>项目属性</w:t>
            </w:r>
          </w:p>
        </w:tc>
        <w:tc>
          <w:tcPr>
            <w:tcW w:w="7316" w:type="dxa"/>
            <w:tcBorders>
              <w:top w:val="single" w:color="auto" w:sz="8" w:space="0"/>
              <w:left w:val="single" w:color="auto" w:sz="8" w:space="0"/>
              <w:bottom w:val="single" w:color="auto" w:sz="8" w:space="0"/>
            </w:tcBorders>
            <w:vAlign w:val="center"/>
          </w:tcPr>
          <w:p w14:paraId="5E0709D4">
            <w:pPr>
              <w:adjustRightInd w:val="0"/>
              <w:snapToGrid w:val="0"/>
              <w:spacing w:line="360" w:lineRule="exact"/>
              <w:ind w:left="105" w:leftChars="50" w:right="105" w:rightChars="50" w:firstLine="105" w:firstLineChars="50"/>
              <w:rPr>
                <w:rFonts w:ascii="宋体" w:hAnsi="宋体"/>
                <w:color w:val="auto"/>
                <w:szCs w:val="21"/>
              </w:rPr>
            </w:pPr>
            <w:r>
              <w:rPr>
                <w:rFonts w:hint="eastAsia" w:ascii="宋体" w:hAnsi="宋体"/>
                <w:color w:val="auto"/>
                <w:szCs w:val="21"/>
              </w:rPr>
              <w:t>政府采购</w:t>
            </w:r>
            <w:r>
              <w:rPr>
                <w:rFonts w:hint="eastAsia" w:ascii="宋体" w:hAnsi="宋体"/>
                <w:color w:val="auto"/>
                <w:szCs w:val="21"/>
                <w:lang w:val="en-US" w:eastAsia="zh-CN"/>
              </w:rPr>
              <w:t>服务</w:t>
            </w:r>
            <w:r>
              <w:rPr>
                <w:rFonts w:hint="eastAsia" w:ascii="宋体" w:hAnsi="宋体"/>
                <w:color w:val="auto"/>
                <w:szCs w:val="21"/>
              </w:rPr>
              <w:t>类</w:t>
            </w:r>
          </w:p>
        </w:tc>
      </w:tr>
      <w:tr w14:paraId="67C4696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76BC7446">
            <w:pPr>
              <w:pStyle w:val="27"/>
              <w:snapToGrid w:val="0"/>
              <w:spacing w:line="360" w:lineRule="exact"/>
              <w:jc w:val="center"/>
              <w:rPr>
                <w:rFonts w:cs="Courier New"/>
                <w:color w:val="auto"/>
                <w:sz w:val="21"/>
                <w:szCs w:val="21"/>
              </w:rPr>
            </w:pPr>
            <w:r>
              <w:rPr>
                <w:rFonts w:hint="eastAsia" w:cs="Courier New"/>
                <w:color w:val="auto"/>
                <w:sz w:val="21"/>
                <w:szCs w:val="21"/>
              </w:rPr>
              <w:t>15</w:t>
            </w:r>
          </w:p>
        </w:tc>
        <w:tc>
          <w:tcPr>
            <w:tcW w:w="2182" w:type="dxa"/>
            <w:tcBorders>
              <w:top w:val="single" w:color="auto" w:sz="8" w:space="0"/>
              <w:left w:val="single" w:color="auto" w:sz="8" w:space="0"/>
              <w:bottom w:val="single" w:color="auto" w:sz="8" w:space="0"/>
              <w:right w:val="single" w:color="auto" w:sz="8" w:space="0"/>
            </w:tcBorders>
            <w:vAlign w:val="center"/>
          </w:tcPr>
          <w:p w14:paraId="7E716F24">
            <w:pPr>
              <w:pStyle w:val="27"/>
              <w:snapToGrid w:val="0"/>
              <w:spacing w:line="360" w:lineRule="exact"/>
              <w:jc w:val="center"/>
              <w:rPr>
                <w:color w:val="auto"/>
                <w:sz w:val="21"/>
                <w:szCs w:val="21"/>
                <w:lang w:val="zh-CN"/>
              </w:rPr>
            </w:pPr>
            <w:r>
              <w:rPr>
                <w:rFonts w:hint="eastAsia"/>
                <w:color w:val="auto"/>
                <w:sz w:val="21"/>
                <w:szCs w:val="21"/>
              </w:rPr>
              <w:t>采购标的对应的中小企业所属行业</w:t>
            </w:r>
          </w:p>
        </w:tc>
        <w:tc>
          <w:tcPr>
            <w:tcW w:w="7316" w:type="dxa"/>
            <w:tcBorders>
              <w:top w:val="single" w:color="auto" w:sz="8" w:space="0"/>
              <w:left w:val="single" w:color="auto" w:sz="8" w:space="0"/>
              <w:bottom w:val="single" w:color="auto" w:sz="8" w:space="0"/>
            </w:tcBorders>
            <w:vAlign w:val="center"/>
          </w:tcPr>
          <w:p w14:paraId="05BA73AD">
            <w:pPr>
              <w:adjustRightInd w:val="0"/>
              <w:snapToGrid w:val="0"/>
              <w:spacing w:line="360" w:lineRule="exact"/>
              <w:ind w:left="105" w:leftChars="50" w:right="105" w:rightChars="50" w:firstLine="105" w:firstLineChars="50"/>
              <w:rPr>
                <w:rFonts w:hint="default" w:ascii="宋体" w:hAnsi="宋体" w:eastAsia="宋体"/>
                <w:color w:val="auto"/>
                <w:szCs w:val="21"/>
                <w:lang w:val="en-US" w:eastAsia="zh-CN"/>
              </w:rPr>
            </w:pPr>
            <w:r>
              <w:rPr>
                <w:rFonts w:hint="eastAsia" w:ascii="宋体" w:hAnsi="宋体" w:cs="宋体"/>
                <w:color w:val="auto"/>
                <w:szCs w:val="21"/>
                <w:lang w:val="en-US" w:eastAsia="zh-CN"/>
              </w:rPr>
              <w:t>其他未列明行业</w:t>
            </w:r>
          </w:p>
        </w:tc>
      </w:tr>
      <w:tr w14:paraId="43C40BE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67" w:hRule="atLeast"/>
          <w:jc w:val="center"/>
        </w:trPr>
        <w:tc>
          <w:tcPr>
            <w:tcW w:w="640" w:type="dxa"/>
            <w:tcBorders>
              <w:top w:val="single" w:color="auto" w:sz="8" w:space="0"/>
              <w:bottom w:val="single" w:color="auto" w:sz="8" w:space="0"/>
              <w:right w:val="single" w:color="auto" w:sz="8" w:space="0"/>
            </w:tcBorders>
            <w:vAlign w:val="center"/>
          </w:tcPr>
          <w:p w14:paraId="46B4EFEF">
            <w:pPr>
              <w:pStyle w:val="27"/>
              <w:snapToGrid w:val="0"/>
              <w:spacing w:line="360" w:lineRule="exact"/>
              <w:jc w:val="center"/>
              <w:rPr>
                <w:rFonts w:cs="Courier New"/>
                <w:color w:val="auto"/>
                <w:sz w:val="21"/>
                <w:szCs w:val="21"/>
              </w:rPr>
            </w:pPr>
            <w:r>
              <w:rPr>
                <w:rFonts w:hint="eastAsia" w:cs="Courier New"/>
                <w:color w:val="auto"/>
                <w:sz w:val="21"/>
                <w:szCs w:val="21"/>
              </w:rPr>
              <w:t>16</w:t>
            </w:r>
          </w:p>
        </w:tc>
        <w:tc>
          <w:tcPr>
            <w:tcW w:w="2182" w:type="dxa"/>
            <w:tcBorders>
              <w:top w:val="single" w:color="auto" w:sz="8" w:space="0"/>
              <w:left w:val="single" w:color="auto" w:sz="8" w:space="0"/>
              <w:bottom w:val="single" w:color="auto" w:sz="8" w:space="0"/>
              <w:right w:val="single" w:color="auto" w:sz="8" w:space="0"/>
            </w:tcBorders>
            <w:vAlign w:val="center"/>
          </w:tcPr>
          <w:p w14:paraId="550E534F">
            <w:pPr>
              <w:pStyle w:val="27"/>
              <w:spacing w:line="360" w:lineRule="exact"/>
              <w:ind w:left="38"/>
              <w:jc w:val="center"/>
              <w:rPr>
                <w:color w:val="auto"/>
                <w:sz w:val="21"/>
                <w:szCs w:val="21"/>
                <w:lang w:val="zh-CN"/>
              </w:rPr>
            </w:pPr>
            <w:r>
              <w:rPr>
                <w:rFonts w:hint="eastAsia"/>
                <w:color w:val="auto"/>
                <w:sz w:val="21"/>
                <w:szCs w:val="21"/>
                <w:lang w:val="zh-CN"/>
              </w:rPr>
              <w:t>是否专门面向中小</w:t>
            </w:r>
          </w:p>
          <w:p w14:paraId="23D56B85">
            <w:pPr>
              <w:pStyle w:val="27"/>
              <w:snapToGrid w:val="0"/>
              <w:spacing w:line="360" w:lineRule="exact"/>
              <w:jc w:val="center"/>
              <w:rPr>
                <w:color w:val="auto"/>
                <w:sz w:val="21"/>
                <w:szCs w:val="21"/>
                <w:lang w:val="zh-CN"/>
              </w:rPr>
            </w:pPr>
            <w:r>
              <w:rPr>
                <w:rFonts w:hint="eastAsia"/>
                <w:color w:val="auto"/>
                <w:sz w:val="21"/>
                <w:szCs w:val="21"/>
                <w:lang w:val="zh-CN"/>
              </w:rPr>
              <w:t>企业采购</w:t>
            </w:r>
          </w:p>
        </w:tc>
        <w:tc>
          <w:tcPr>
            <w:tcW w:w="7316" w:type="dxa"/>
            <w:tcBorders>
              <w:top w:val="single" w:color="auto" w:sz="8" w:space="0"/>
              <w:left w:val="single" w:color="auto" w:sz="8" w:space="0"/>
              <w:bottom w:val="single" w:color="auto" w:sz="8" w:space="0"/>
            </w:tcBorders>
            <w:vAlign w:val="center"/>
          </w:tcPr>
          <w:p w14:paraId="44A451A9">
            <w:pPr>
              <w:pStyle w:val="27"/>
              <w:spacing w:line="360" w:lineRule="exact"/>
              <w:ind w:firstLine="210" w:firstLineChars="100"/>
              <w:jc w:val="both"/>
              <w:rPr>
                <w:color w:val="auto"/>
                <w:szCs w:val="21"/>
              </w:rPr>
            </w:pPr>
            <w:r>
              <w:rPr>
                <w:rFonts w:hint="eastAsia"/>
                <w:color w:val="auto"/>
                <w:sz w:val="21"/>
                <w:szCs w:val="21"/>
              </w:rPr>
              <w:t xml:space="preserve">是 </w:t>
            </w:r>
          </w:p>
        </w:tc>
      </w:tr>
      <w:tr w14:paraId="5C25A3B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2BB6E8DE">
            <w:pPr>
              <w:pStyle w:val="27"/>
              <w:snapToGrid w:val="0"/>
              <w:spacing w:line="360" w:lineRule="exact"/>
              <w:jc w:val="center"/>
              <w:rPr>
                <w:rFonts w:cs="Courier New"/>
                <w:color w:val="auto"/>
                <w:sz w:val="21"/>
                <w:szCs w:val="21"/>
              </w:rPr>
            </w:pPr>
            <w:r>
              <w:rPr>
                <w:rFonts w:hint="eastAsia" w:cs="Courier New"/>
                <w:color w:val="auto"/>
                <w:sz w:val="21"/>
                <w:szCs w:val="21"/>
              </w:rPr>
              <w:t>17</w:t>
            </w:r>
          </w:p>
        </w:tc>
        <w:tc>
          <w:tcPr>
            <w:tcW w:w="2182" w:type="dxa"/>
            <w:tcBorders>
              <w:top w:val="single" w:color="auto" w:sz="8" w:space="0"/>
              <w:left w:val="single" w:color="auto" w:sz="8" w:space="0"/>
              <w:bottom w:val="single" w:color="auto" w:sz="8" w:space="0"/>
              <w:right w:val="single" w:color="auto" w:sz="8" w:space="0"/>
            </w:tcBorders>
            <w:vAlign w:val="center"/>
          </w:tcPr>
          <w:p w14:paraId="09800683">
            <w:pPr>
              <w:pStyle w:val="27"/>
              <w:spacing w:line="360" w:lineRule="exact"/>
              <w:jc w:val="center"/>
              <w:rPr>
                <w:color w:val="auto"/>
                <w:sz w:val="21"/>
                <w:szCs w:val="21"/>
                <w:lang w:val="zh-CN"/>
              </w:rPr>
            </w:pPr>
            <w:r>
              <w:rPr>
                <w:rFonts w:hint="eastAsia"/>
                <w:color w:val="auto"/>
                <w:sz w:val="21"/>
                <w:szCs w:val="21"/>
                <w:lang w:val="zh-CN"/>
              </w:rPr>
              <w:t>是否允许大中企业向小微企业分包</w:t>
            </w:r>
          </w:p>
        </w:tc>
        <w:tc>
          <w:tcPr>
            <w:tcW w:w="7316" w:type="dxa"/>
            <w:tcBorders>
              <w:top w:val="single" w:color="auto" w:sz="8" w:space="0"/>
              <w:left w:val="single" w:color="auto" w:sz="8" w:space="0"/>
              <w:bottom w:val="single" w:color="auto" w:sz="8" w:space="0"/>
            </w:tcBorders>
            <w:vAlign w:val="center"/>
          </w:tcPr>
          <w:p w14:paraId="561B4C3C">
            <w:pPr>
              <w:spacing w:line="360" w:lineRule="exact"/>
              <w:ind w:firstLine="210" w:firstLineChars="100"/>
              <w:jc w:val="left"/>
              <w:rPr>
                <w:rFonts w:ascii="宋体" w:hAnsi="宋体" w:cs="宋体"/>
                <w:color w:val="auto"/>
                <w:szCs w:val="21"/>
                <w:lang w:val="zh-CN"/>
              </w:rPr>
            </w:pPr>
            <w:r>
              <w:rPr>
                <w:rFonts w:hint="eastAsia" w:ascii="宋体" w:hAnsi="宋体" w:cs="宋体"/>
                <w:color w:val="auto"/>
                <w:szCs w:val="21"/>
                <w:lang w:val="zh-CN"/>
              </w:rPr>
              <w:t>否</w:t>
            </w:r>
          </w:p>
        </w:tc>
      </w:tr>
      <w:tr w14:paraId="3162D252">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51" w:hRule="atLeast"/>
          <w:jc w:val="center"/>
        </w:trPr>
        <w:tc>
          <w:tcPr>
            <w:tcW w:w="640" w:type="dxa"/>
            <w:tcBorders>
              <w:top w:val="single" w:color="auto" w:sz="8" w:space="0"/>
              <w:bottom w:val="single" w:color="auto" w:sz="8" w:space="0"/>
              <w:right w:val="single" w:color="auto" w:sz="8" w:space="0"/>
            </w:tcBorders>
            <w:vAlign w:val="center"/>
          </w:tcPr>
          <w:p w14:paraId="11C1CA4A">
            <w:pPr>
              <w:pStyle w:val="27"/>
              <w:snapToGrid w:val="0"/>
              <w:spacing w:line="360" w:lineRule="exact"/>
              <w:jc w:val="center"/>
              <w:rPr>
                <w:rFonts w:cs="Courier New"/>
                <w:color w:val="auto"/>
                <w:sz w:val="21"/>
                <w:szCs w:val="21"/>
              </w:rPr>
            </w:pPr>
            <w:r>
              <w:rPr>
                <w:rFonts w:hint="eastAsia" w:cs="Courier New"/>
                <w:color w:val="auto"/>
                <w:sz w:val="21"/>
                <w:szCs w:val="21"/>
              </w:rPr>
              <w:t>18</w:t>
            </w:r>
          </w:p>
        </w:tc>
        <w:tc>
          <w:tcPr>
            <w:tcW w:w="2182" w:type="dxa"/>
            <w:tcBorders>
              <w:top w:val="single" w:color="auto" w:sz="8" w:space="0"/>
              <w:left w:val="single" w:color="auto" w:sz="8" w:space="0"/>
              <w:bottom w:val="single" w:color="auto" w:sz="8" w:space="0"/>
              <w:right w:val="single" w:color="auto" w:sz="8" w:space="0"/>
            </w:tcBorders>
            <w:vAlign w:val="center"/>
          </w:tcPr>
          <w:p w14:paraId="7EF05B5F">
            <w:pPr>
              <w:pStyle w:val="27"/>
              <w:snapToGrid w:val="0"/>
              <w:spacing w:line="360" w:lineRule="exact"/>
              <w:ind w:left="96"/>
              <w:jc w:val="center"/>
              <w:rPr>
                <w:color w:val="auto"/>
                <w:sz w:val="21"/>
                <w:szCs w:val="21"/>
                <w:lang w:val="zh-CN"/>
              </w:rPr>
            </w:pPr>
            <w:r>
              <w:rPr>
                <w:rFonts w:hint="eastAsia"/>
                <w:color w:val="auto"/>
                <w:sz w:val="21"/>
                <w:szCs w:val="21"/>
                <w:lang w:val="zh-CN"/>
              </w:rPr>
              <w:t>支持中小企业</w:t>
            </w:r>
          </w:p>
        </w:tc>
        <w:tc>
          <w:tcPr>
            <w:tcW w:w="7316" w:type="dxa"/>
            <w:tcBorders>
              <w:top w:val="single" w:color="auto" w:sz="8" w:space="0"/>
              <w:left w:val="single" w:color="auto" w:sz="8" w:space="0"/>
              <w:bottom w:val="single" w:color="auto" w:sz="8" w:space="0"/>
            </w:tcBorders>
            <w:vAlign w:val="center"/>
          </w:tcPr>
          <w:p w14:paraId="7ACB1FB6">
            <w:pPr>
              <w:spacing w:line="360" w:lineRule="exact"/>
              <w:ind w:firstLine="210" w:firstLineChars="100"/>
              <w:jc w:val="left"/>
              <w:rPr>
                <w:rFonts w:ascii="宋体" w:hAnsi="宋体" w:cs="宋体"/>
                <w:color w:val="auto"/>
                <w:szCs w:val="21"/>
                <w:lang w:val="zh-CN"/>
              </w:rPr>
            </w:pPr>
            <w:r>
              <w:rPr>
                <w:rFonts w:hint="eastAsia" w:ascii="宋体" w:hAnsi="宋体" w:eastAsia="宋体" w:cs="宋体"/>
                <w:color w:val="auto"/>
                <w:szCs w:val="21"/>
                <w:lang w:val="en-US" w:eastAsia="zh-CN"/>
              </w:rPr>
              <w:t xml:space="preserve"> 本项目</w:t>
            </w:r>
            <w:r>
              <w:rPr>
                <w:rFonts w:hint="eastAsia" w:ascii="宋体" w:hAnsi="宋体" w:eastAsia="宋体" w:cs="宋体"/>
                <w:color w:val="auto"/>
                <w:szCs w:val="21"/>
                <w:lang w:val="zh-CN" w:eastAsia="zh-CN"/>
              </w:rPr>
              <w:t>专门面向中小企业</w:t>
            </w:r>
            <w:r>
              <w:rPr>
                <w:rFonts w:hint="eastAsia" w:ascii="宋体" w:hAnsi="宋体" w:eastAsia="宋体" w:cs="宋体"/>
                <w:color w:val="auto"/>
                <w:szCs w:val="21"/>
                <w:lang w:val="en-US" w:eastAsia="zh-CN"/>
              </w:rPr>
              <w:t>采购</w:t>
            </w:r>
            <w:r>
              <w:rPr>
                <w:rFonts w:hint="eastAsia" w:ascii="宋体" w:hAnsi="宋体" w:eastAsia="宋体" w:cs="宋体"/>
                <w:color w:val="auto"/>
                <w:szCs w:val="21"/>
                <w:lang w:val="zh-CN" w:eastAsia="zh-CN"/>
              </w:rPr>
              <w:t>，不再执行价格评审优惠的扶持政策。</w:t>
            </w:r>
          </w:p>
        </w:tc>
      </w:tr>
      <w:tr w14:paraId="3A638DB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00" w:hRule="atLeast"/>
          <w:jc w:val="center"/>
        </w:trPr>
        <w:tc>
          <w:tcPr>
            <w:tcW w:w="640" w:type="dxa"/>
            <w:tcBorders>
              <w:top w:val="single" w:color="auto" w:sz="8" w:space="0"/>
              <w:bottom w:val="single" w:color="auto" w:sz="8" w:space="0"/>
              <w:right w:val="single" w:color="auto" w:sz="8" w:space="0"/>
            </w:tcBorders>
            <w:vAlign w:val="center"/>
          </w:tcPr>
          <w:p w14:paraId="2D0864A7">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w:t>
            </w:r>
            <w:r>
              <w:rPr>
                <w:rFonts w:hint="eastAsia" w:cs="Courier New"/>
                <w:color w:val="auto"/>
                <w:sz w:val="21"/>
                <w:szCs w:val="21"/>
              </w:rPr>
              <w:t>9</w:t>
            </w:r>
          </w:p>
        </w:tc>
        <w:tc>
          <w:tcPr>
            <w:tcW w:w="2182" w:type="dxa"/>
            <w:tcBorders>
              <w:top w:val="single" w:color="auto" w:sz="8" w:space="0"/>
              <w:left w:val="single" w:color="auto" w:sz="8" w:space="0"/>
              <w:bottom w:val="single" w:color="auto" w:sz="8" w:space="0"/>
              <w:right w:val="single" w:color="auto" w:sz="8" w:space="0"/>
            </w:tcBorders>
            <w:vAlign w:val="center"/>
          </w:tcPr>
          <w:p w14:paraId="38F80839">
            <w:pPr>
              <w:pStyle w:val="27"/>
              <w:snapToGrid w:val="0"/>
              <w:spacing w:line="360" w:lineRule="exact"/>
              <w:jc w:val="center"/>
              <w:rPr>
                <w:color w:val="auto"/>
                <w:sz w:val="21"/>
                <w:szCs w:val="21"/>
                <w:lang w:val="zh-CN"/>
              </w:rPr>
            </w:pPr>
            <w:r>
              <w:rPr>
                <w:rFonts w:hint="eastAsia"/>
                <w:color w:val="auto"/>
                <w:sz w:val="21"/>
                <w:szCs w:val="21"/>
                <w:lang w:val="zh-CN"/>
              </w:rPr>
              <w:t>联合体磋商</w:t>
            </w:r>
          </w:p>
        </w:tc>
        <w:tc>
          <w:tcPr>
            <w:tcW w:w="7316" w:type="dxa"/>
            <w:tcBorders>
              <w:top w:val="single" w:color="auto" w:sz="8" w:space="0"/>
              <w:left w:val="single" w:color="auto" w:sz="8" w:space="0"/>
              <w:bottom w:val="single" w:color="auto" w:sz="8" w:space="0"/>
            </w:tcBorders>
            <w:vAlign w:val="center"/>
          </w:tcPr>
          <w:p w14:paraId="5B4BEF59">
            <w:pPr>
              <w:spacing w:line="360" w:lineRule="exact"/>
              <w:ind w:firstLine="210" w:firstLineChars="100"/>
              <w:jc w:val="left"/>
              <w:rPr>
                <w:rFonts w:ascii="宋体" w:hAnsi="宋体" w:cs="宋体"/>
                <w:color w:val="auto"/>
                <w:szCs w:val="21"/>
                <w:lang w:val="zh-CN"/>
              </w:rPr>
            </w:pPr>
            <w:r>
              <w:rPr>
                <w:rFonts w:hint="eastAsia" w:ascii="宋体" w:hAnsi="宋体" w:cs="宋体"/>
                <w:color w:val="auto"/>
                <w:szCs w:val="21"/>
                <w:lang w:val="zh-CN"/>
              </w:rPr>
              <w:t>不接受</w:t>
            </w:r>
          </w:p>
        </w:tc>
      </w:tr>
      <w:tr w14:paraId="55A7988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001" w:hRule="atLeast"/>
          <w:jc w:val="center"/>
        </w:trPr>
        <w:tc>
          <w:tcPr>
            <w:tcW w:w="640" w:type="dxa"/>
            <w:tcBorders>
              <w:top w:val="single" w:color="auto" w:sz="8" w:space="0"/>
              <w:bottom w:val="single" w:color="auto" w:sz="8" w:space="0"/>
              <w:right w:val="single" w:color="auto" w:sz="8" w:space="0"/>
            </w:tcBorders>
            <w:vAlign w:val="center"/>
          </w:tcPr>
          <w:p w14:paraId="409469BF">
            <w:pPr>
              <w:pStyle w:val="27"/>
              <w:snapToGrid w:val="0"/>
              <w:spacing w:line="360" w:lineRule="exact"/>
              <w:jc w:val="center"/>
              <w:rPr>
                <w:rFonts w:cs="Courier New"/>
                <w:color w:val="auto"/>
                <w:sz w:val="21"/>
                <w:szCs w:val="21"/>
              </w:rPr>
            </w:pPr>
            <w:r>
              <w:rPr>
                <w:rFonts w:hint="eastAsia" w:cs="Courier New"/>
                <w:color w:val="auto"/>
                <w:sz w:val="21"/>
                <w:szCs w:val="21"/>
              </w:rPr>
              <w:t>20</w:t>
            </w:r>
          </w:p>
        </w:tc>
        <w:tc>
          <w:tcPr>
            <w:tcW w:w="2182" w:type="dxa"/>
            <w:tcBorders>
              <w:top w:val="single" w:color="auto" w:sz="8" w:space="0"/>
              <w:left w:val="single" w:color="auto" w:sz="8" w:space="0"/>
              <w:bottom w:val="single" w:color="auto" w:sz="8" w:space="0"/>
              <w:right w:val="single" w:color="auto" w:sz="8" w:space="0"/>
            </w:tcBorders>
            <w:vAlign w:val="center"/>
          </w:tcPr>
          <w:p w14:paraId="5BD0DA01">
            <w:pPr>
              <w:pStyle w:val="27"/>
              <w:snapToGrid w:val="0"/>
              <w:spacing w:line="360" w:lineRule="exact"/>
              <w:jc w:val="center"/>
              <w:rPr>
                <w:color w:val="auto"/>
                <w:sz w:val="21"/>
                <w:szCs w:val="21"/>
              </w:rPr>
            </w:pPr>
            <w:r>
              <w:rPr>
                <w:rFonts w:hint="eastAsia"/>
                <w:color w:val="auto"/>
                <w:sz w:val="21"/>
                <w:szCs w:val="21"/>
                <w:lang w:val="zh-CN"/>
              </w:rPr>
              <w:t>磋商文件</w:t>
            </w:r>
            <w:r>
              <w:rPr>
                <w:rFonts w:hint="eastAsia"/>
                <w:color w:val="auto"/>
                <w:sz w:val="21"/>
                <w:szCs w:val="21"/>
              </w:rPr>
              <w:t>领取</w:t>
            </w:r>
          </w:p>
        </w:tc>
        <w:tc>
          <w:tcPr>
            <w:tcW w:w="7316" w:type="dxa"/>
            <w:tcBorders>
              <w:top w:val="single" w:color="auto" w:sz="8" w:space="0"/>
              <w:left w:val="single" w:color="auto" w:sz="8" w:space="0"/>
              <w:bottom w:val="single" w:color="auto" w:sz="8" w:space="0"/>
            </w:tcBorders>
          </w:tcPr>
          <w:p w14:paraId="3D2E8EB2">
            <w:pPr>
              <w:adjustRightInd w:val="0"/>
              <w:snapToGrid w:val="0"/>
              <w:spacing w:line="360" w:lineRule="auto"/>
              <w:ind w:left="105" w:leftChars="50" w:right="105" w:rightChars="50" w:firstLine="105" w:firstLineChars="50"/>
              <w:rPr>
                <w:rFonts w:ascii="宋体" w:hAnsi="宋体"/>
                <w:color w:val="auto"/>
                <w:szCs w:val="21"/>
              </w:rPr>
            </w:pPr>
            <w:r>
              <w:rPr>
                <w:rFonts w:hint="eastAsia" w:ascii="宋体" w:hAnsi="宋体"/>
                <w:color w:val="auto"/>
                <w:szCs w:val="21"/>
              </w:rPr>
              <w:t>领取时间：</w:t>
            </w:r>
            <w:r>
              <w:rPr>
                <w:rFonts w:hint="eastAsia" w:ascii="宋体" w:hAnsi="宋体" w:cs="宋体"/>
                <w:color w:val="auto"/>
                <w:szCs w:val="21"/>
                <w:lang w:eastAsia="zh-CN"/>
              </w:rPr>
              <w:t>202</w:t>
            </w:r>
            <w:r>
              <w:rPr>
                <w:rFonts w:hint="eastAsia" w:ascii="宋体" w:hAnsi="宋体" w:cs="宋体"/>
                <w:color w:val="auto"/>
                <w:szCs w:val="21"/>
                <w:lang w:val="en-US" w:eastAsia="zh-CN"/>
              </w:rPr>
              <w:t>6</w:t>
            </w:r>
            <w:r>
              <w:rPr>
                <w:rFonts w:hint="eastAsia" w:ascii="宋体" w:hAnsi="宋体" w:cs="宋体"/>
                <w:color w:val="auto"/>
                <w:szCs w:val="21"/>
                <w:lang w:eastAsia="zh-CN"/>
              </w:rPr>
              <w:t>年</w:t>
            </w:r>
            <w:r>
              <w:rPr>
                <w:rFonts w:hint="eastAsia" w:ascii="宋体" w:hAnsi="宋体" w:cs="宋体"/>
                <w:color w:val="auto"/>
                <w:szCs w:val="21"/>
                <w:lang w:val="en-US" w:eastAsia="zh-CN"/>
              </w:rPr>
              <w:t>08</w:t>
            </w:r>
            <w:r>
              <w:rPr>
                <w:rFonts w:hint="eastAsia" w:ascii="宋体" w:hAnsi="宋体" w:cs="宋体"/>
                <w:color w:val="auto"/>
                <w:szCs w:val="21"/>
                <w:lang w:eastAsia="zh-CN"/>
              </w:rPr>
              <w:t>月</w:t>
            </w:r>
            <w:r>
              <w:rPr>
                <w:rFonts w:hint="eastAsia" w:ascii="宋体" w:hAnsi="宋体" w:cs="宋体"/>
                <w:color w:val="auto"/>
                <w:szCs w:val="21"/>
                <w:lang w:val="en-US" w:eastAsia="zh-CN"/>
              </w:rPr>
              <w:t>25</w:t>
            </w:r>
            <w:r>
              <w:rPr>
                <w:rFonts w:hint="eastAsia" w:ascii="宋体" w:hAnsi="宋体" w:cs="宋体"/>
                <w:color w:val="auto"/>
                <w:szCs w:val="21"/>
                <w:lang w:eastAsia="zh-CN"/>
              </w:rPr>
              <w:t>日至202</w:t>
            </w:r>
            <w:r>
              <w:rPr>
                <w:rFonts w:hint="eastAsia" w:ascii="宋体" w:hAnsi="宋体" w:cs="宋体"/>
                <w:color w:val="auto"/>
                <w:szCs w:val="21"/>
                <w:lang w:val="en-US" w:eastAsia="zh-CN"/>
              </w:rPr>
              <w:t>6</w:t>
            </w:r>
            <w:r>
              <w:rPr>
                <w:rFonts w:hint="eastAsia" w:ascii="宋体" w:hAnsi="宋体" w:cs="宋体"/>
                <w:color w:val="auto"/>
                <w:szCs w:val="21"/>
                <w:lang w:eastAsia="zh-CN"/>
              </w:rPr>
              <w:t>年</w:t>
            </w:r>
            <w:r>
              <w:rPr>
                <w:rFonts w:hint="eastAsia" w:ascii="宋体" w:hAnsi="宋体" w:cs="宋体"/>
                <w:color w:val="auto"/>
                <w:szCs w:val="21"/>
                <w:lang w:val="en-US" w:eastAsia="zh-CN"/>
              </w:rPr>
              <w:t>08</w:t>
            </w:r>
            <w:r>
              <w:rPr>
                <w:rFonts w:hint="eastAsia" w:ascii="宋体" w:hAnsi="宋体" w:cs="宋体"/>
                <w:color w:val="auto"/>
                <w:szCs w:val="21"/>
                <w:lang w:eastAsia="zh-CN"/>
              </w:rPr>
              <w:t>月</w:t>
            </w:r>
            <w:r>
              <w:rPr>
                <w:rFonts w:hint="eastAsia" w:ascii="宋体" w:hAnsi="宋体" w:cs="宋体"/>
                <w:color w:val="auto"/>
                <w:szCs w:val="21"/>
                <w:lang w:val="en-US" w:eastAsia="zh-CN"/>
              </w:rPr>
              <w:t>31</w:t>
            </w:r>
            <w:r>
              <w:rPr>
                <w:rFonts w:hint="eastAsia" w:ascii="宋体" w:hAnsi="宋体" w:cs="宋体"/>
                <w:color w:val="auto"/>
                <w:szCs w:val="21"/>
                <w:lang w:eastAsia="zh-CN"/>
              </w:rPr>
              <w:t>日</w:t>
            </w:r>
            <w:r>
              <w:rPr>
                <w:rFonts w:hint="eastAsia" w:ascii="宋体" w:hAnsi="宋体" w:cs="宋体"/>
                <w:color w:val="auto"/>
                <w:szCs w:val="21"/>
              </w:rPr>
              <w:t>，每天上午</w:t>
            </w:r>
            <w:r>
              <w:rPr>
                <w:rFonts w:hint="eastAsia" w:ascii="宋体" w:hAnsi="宋体" w:cs="宋体"/>
                <w:color w:val="auto"/>
                <w:szCs w:val="21"/>
                <w:lang w:val="en-US" w:eastAsia="zh-CN"/>
              </w:rPr>
              <w:t>09</w:t>
            </w:r>
            <w:r>
              <w:rPr>
                <w:rFonts w:hint="eastAsia" w:ascii="宋体" w:hAnsi="宋体" w:cs="宋体"/>
                <w:color w:val="auto"/>
                <w:szCs w:val="21"/>
              </w:rPr>
              <w:t>:00:00至12:00:00，下午14:00:00至1</w:t>
            </w:r>
            <w:r>
              <w:rPr>
                <w:rFonts w:hint="eastAsia" w:ascii="宋体" w:hAnsi="宋体" w:cs="宋体"/>
                <w:color w:val="auto"/>
                <w:szCs w:val="21"/>
                <w:lang w:val="en-US" w:eastAsia="zh-CN"/>
              </w:rPr>
              <w:t>7</w:t>
            </w:r>
            <w:r>
              <w:rPr>
                <w:rFonts w:hint="eastAsia" w:ascii="宋体" w:hAnsi="宋体" w:cs="宋体"/>
                <w:color w:val="auto"/>
                <w:szCs w:val="21"/>
              </w:rPr>
              <w:t>:00:00（北京时间,法定节假日除外）</w:t>
            </w:r>
          </w:p>
          <w:p w14:paraId="6DB396A3">
            <w:pPr>
              <w:adjustRightInd w:val="0"/>
              <w:snapToGrid w:val="0"/>
              <w:spacing w:line="360" w:lineRule="auto"/>
              <w:ind w:left="105" w:leftChars="50" w:right="105" w:rightChars="50" w:firstLine="105" w:firstLineChars="50"/>
              <w:rPr>
                <w:rFonts w:ascii="宋体" w:hAnsi="宋体"/>
                <w:color w:val="auto"/>
                <w:szCs w:val="21"/>
              </w:rPr>
            </w:pPr>
            <w:r>
              <w:rPr>
                <w:rFonts w:hint="eastAsia" w:ascii="宋体" w:hAnsi="宋体"/>
                <w:color w:val="auto"/>
                <w:szCs w:val="21"/>
              </w:rPr>
              <w:t>领取地点：</w:t>
            </w:r>
            <w:r>
              <w:rPr>
                <w:rFonts w:hint="eastAsia" w:ascii="宋体" w:hAnsi="宋体" w:cs="宋体"/>
                <w:color w:val="auto"/>
                <w:szCs w:val="21"/>
              </w:rPr>
              <w:t>陕西省咸阳市秦都区人民中路新华大厦1508室</w:t>
            </w:r>
          </w:p>
        </w:tc>
      </w:tr>
      <w:tr w14:paraId="5F06A96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45" w:hRule="atLeast"/>
          <w:jc w:val="center"/>
        </w:trPr>
        <w:tc>
          <w:tcPr>
            <w:tcW w:w="640" w:type="dxa"/>
            <w:tcBorders>
              <w:top w:val="single" w:color="auto" w:sz="8" w:space="0"/>
              <w:bottom w:val="single" w:color="auto" w:sz="8" w:space="0"/>
              <w:right w:val="single" w:color="auto" w:sz="8" w:space="0"/>
            </w:tcBorders>
            <w:vAlign w:val="center"/>
          </w:tcPr>
          <w:p w14:paraId="18E4AF6B">
            <w:pPr>
              <w:pStyle w:val="27"/>
              <w:snapToGrid w:val="0"/>
              <w:spacing w:line="360" w:lineRule="exact"/>
              <w:jc w:val="center"/>
              <w:rPr>
                <w:rFonts w:cs="Courier New"/>
                <w:color w:val="auto"/>
                <w:sz w:val="21"/>
                <w:szCs w:val="21"/>
              </w:rPr>
            </w:pPr>
            <w:r>
              <w:rPr>
                <w:rFonts w:hint="eastAsia" w:cs="Courier New"/>
                <w:color w:val="auto"/>
                <w:sz w:val="21"/>
                <w:szCs w:val="21"/>
              </w:rPr>
              <w:t>21</w:t>
            </w:r>
          </w:p>
        </w:tc>
        <w:tc>
          <w:tcPr>
            <w:tcW w:w="2182" w:type="dxa"/>
            <w:tcBorders>
              <w:top w:val="single" w:color="auto" w:sz="8" w:space="0"/>
              <w:left w:val="single" w:color="auto" w:sz="8" w:space="0"/>
              <w:bottom w:val="single" w:color="auto" w:sz="8" w:space="0"/>
              <w:right w:val="single" w:color="auto" w:sz="8" w:space="0"/>
            </w:tcBorders>
            <w:vAlign w:val="center"/>
          </w:tcPr>
          <w:p w14:paraId="576F063C">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rPr>
              <w:t>磋商</w:t>
            </w:r>
            <w:r>
              <w:rPr>
                <w:rFonts w:hint="eastAsia"/>
                <w:color w:val="auto"/>
                <w:sz w:val="21"/>
                <w:szCs w:val="21"/>
                <w:lang w:val="zh-CN"/>
              </w:rPr>
              <w:t>文件售价</w:t>
            </w:r>
          </w:p>
        </w:tc>
        <w:tc>
          <w:tcPr>
            <w:tcW w:w="7316" w:type="dxa"/>
            <w:tcBorders>
              <w:top w:val="single" w:color="auto" w:sz="8" w:space="0"/>
              <w:left w:val="single" w:color="auto" w:sz="8" w:space="0"/>
              <w:bottom w:val="single" w:color="auto" w:sz="8" w:space="0"/>
            </w:tcBorders>
            <w:vAlign w:val="center"/>
          </w:tcPr>
          <w:p w14:paraId="4F91EB3A">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rPr>
              <w:t>按咸阳市财政局《关于促进政府采购公平竞争优化营商环境的通知》要求，磋商文件免费赠送。</w:t>
            </w:r>
          </w:p>
        </w:tc>
      </w:tr>
      <w:tr w14:paraId="35BD44C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71" w:hRule="atLeast"/>
          <w:jc w:val="center"/>
        </w:trPr>
        <w:tc>
          <w:tcPr>
            <w:tcW w:w="640" w:type="dxa"/>
            <w:tcBorders>
              <w:top w:val="single" w:color="auto" w:sz="8" w:space="0"/>
              <w:bottom w:val="single" w:color="auto" w:sz="8" w:space="0"/>
              <w:right w:val="single" w:color="auto" w:sz="8" w:space="0"/>
            </w:tcBorders>
            <w:vAlign w:val="center"/>
          </w:tcPr>
          <w:p w14:paraId="1B9C6F0E">
            <w:pPr>
              <w:pStyle w:val="27"/>
              <w:snapToGrid w:val="0"/>
              <w:spacing w:line="360" w:lineRule="exact"/>
              <w:jc w:val="center"/>
              <w:rPr>
                <w:rFonts w:cs="Courier New"/>
                <w:color w:val="auto"/>
                <w:sz w:val="21"/>
                <w:szCs w:val="21"/>
              </w:rPr>
            </w:pPr>
            <w:r>
              <w:rPr>
                <w:rFonts w:hint="eastAsia" w:cs="Courier New"/>
                <w:color w:val="auto"/>
                <w:sz w:val="21"/>
                <w:szCs w:val="21"/>
              </w:rPr>
              <w:t>22</w:t>
            </w:r>
          </w:p>
        </w:tc>
        <w:tc>
          <w:tcPr>
            <w:tcW w:w="2182" w:type="dxa"/>
            <w:tcBorders>
              <w:top w:val="single" w:color="auto" w:sz="8" w:space="0"/>
              <w:left w:val="single" w:color="auto" w:sz="8" w:space="0"/>
              <w:bottom w:val="single" w:color="auto" w:sz="8" w:space="0"/>
              <w:right w:val="single" w:color="auto" w:sz="8" w:space="0"/>
            </w:tcBorders>
            <w:vAlign w:val="center"/>
          </w:tcPr>
          <w:p w14:paraId="761A0A77">
            <w:pPr>
              <w:spacing w:line="360" w:lineRule="exact"/>
              <w:jc w:val="center"/>
              <w:rPr>
                <w:rFonts w:ascii="Times New Roman" w:hAnsi="Times New Roman" w:eastAsia="宋体" w:cs="Times New Roman"/>
                <w:color w:val="auto"/>
                <w:kern w:val="2"/>
                <w:sz w:val="21"/>
                <w:szCs w:val="21"/>
                <w:lang w:val="zh-CN" w:eastAsia="zh-CN" w:bidi="ar-SA"/>
              </w:rPr>
            </w:pPr>
            <w:r>
              <w:rPr>
                <w:rFonts w:hint="eastAsia" w:ascii="宋体" w:hAnsi="宋体" w:cs="宋体"/>
                <w:color w:val="auto"/>
                <w:szCs w:val="21"/>
                <w:lang w:val="zh-CN"/>
              </w:rPr>
              <w:t>获取文件规定</w:t>
            </w:r>
          </w:p>
        </w:tc>
        <w:tc>
          <w:tcPr>
            <w:tcW w:w="7316" w:type="dxa"/>
            <w:tcBorders>
              <w:top w:val="single" w:color="auto" w:sz="8" w:space="0"/>
              <w:left w:val="single" w:color="auto" w:sz="8" w:space="0"/>
              <w:bottom w:val="single" w:color="auto" w:sz="8" w:space="0"/>
            </w:tcBorders>
            <w:vAlign w:val="center"/>
          </w:tcPr>
          <w:p w14:paraId="20B75B4F">
            <w:pPr>
              <w:spacing w:line="360" w:lineRule="exact"/>
              <w:ind w:firstLine="210" w:firstLineChars="100"/>
              <w:jc w:val="left"/>
              <w:rPr>
                <w:rFonts w:ascii="Times New Roman" w:hAnsi="Times New Roman" w:eastAsia="宋体" w:cs="Times New Roman"/>
                <w:color w:val="auto"/>
                <w:kern w:val="2"/>
                <w:sz w:val="21"/>
                <w:szCs w:val="21"/>
                <w:lang w:val="zh-CN" w:eastAsia="zh-CN" w:bidi="ar-SA"/>
              </w:rPr>
            </w:pPr>
            <w:r>
              <w:rPr>
                <w:rFonts w:hint="eastAsia" w:ascii="宋体" w:hAnsi="宋体" w:cs="宋体"/>
                <w:color w:val="auto"/>
                <w:szCs w:val="21"/>
                <w:lang w:val="zh-CN"/>
              </w:rPr>
              <w:t>根据</w:t>
            </w:r>
            <w:r>
              <w:rPr>
                <w:rFonts w:hint="eastAsia" w:ascii="宋体" w:hAnsi="宋体" w:cs="宋体"/>
                <w:color w:val="auto"/>
                <w:szCs w:val="21"/>
              </w:rPr>
              <w:t>咸阳市</w:t>
            </w:r>
            <w:r>
              <w:rPr>
                <w:rFonts w:hint="eastAsia" w:ascii="宋体" w:hAnsi="宋体" w:cs="宋体"/>
                <w:color w:val="auto"/>
                <w:szCs w:val="21"/>
                <w:lang w:val="zh-CN"/>
              </w:rPr>
              <w:t>财政局《关于促进政府采购公平竞争优化营商环境的通知》规定 “供应商登记免费领取采购文件的，如不参与项目投标，应在递交投标（或</w:t>
            </w:r>
            <w:r>
              <w:rPr>
                <w:rFonts w:hint="eastAsia" w:ascii="宋体" w:hAnsi="宋体" w:cs="宋体"/>
                <w:color w:val="auto"/>
                <w:szCs w:val="21"/>
              </w:rPr>
              <w:t>响应</w:t>
            </w:r>
            <w:r>
              <w:rPr>
                <w:rFonts w:hint="eastAsia" w:ascii="宋体" w:hAnsi="宋体" w:cs="宋体"/>
                <w:color w:val="auto"/>
                <w:szCs w:val="21"/>
                <w:lang w:val="zh-CN"/>
              </w:rPr>
              <w:t>）文件截止时间前一日以书面形式告知采购代理机构。否则，采购代理机构可以向财政部门反映情况并提供相应的佐证。供应商一年内累计出现三次该情形，将被监管部门记录失信行为。”</w:t>
            </w:r>
          </w:p>
        </w:tc>
      </w:tr>
      <w:tr w14:paraId="2F323C7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71" w:hRule="atLeast"/>
          <w:jc w:val="center"/>
        </w:trPr>
        <w:tc>
          <w:tcPr>
            <w:tcW w:w="640" w:type="dxa"/>
            <w:tcBorders>
              <w:top w:val="single" w:color="auto" w:sz="8" w:space="0"/>
              <w:bottom w:val="single" w:color="auto" w:sz="8" w:space="0"/>
              <w:right w:val="single" w:color="auto" w:sz="8" w:space="0"/>
            </w:tcBorders>
            <w:vAlign w:val="center"/>
          </w:tcPr>
          <w:p w14:paraId="17F44E96">
            <w:pPr>
              <w:pStyle w:val="27"/>
              <w:snapToGrid w:val="0"/>
              <w:spacing w:line="360" w:lineRule="exact"/>
              <w:jc w:val="center"/>
              <w:rPr>
                <w:rFonts w:cs="Courier New"/>
                <w:color w:val="auto"/>
                <w:sz w:val="21"/>
                <w:szCs w:val="21"/>
              </w:rPr>
            </w:pPr>
            <w:r>
              <w:rPr>
                <w:rFonts w:hint="eastAsia" w:cs="Courier New"/>
                <w:color w:val="auto"/>
                <w:sz w:val="21"/>
                <w:szCs w:val="21"/>
              </w:rPr>
              <w:t>18</w:t>
            </w:r>
          </w:p>
        </w:tc>
        <w:tc>
          <w:tcPr>
            <w:tcW w:w="2182" w:type="dxa"/>
            <w:tcBorders>
              <w:top w:val="single" w:color="auto" w:sz="8" w:space="0"/>
              <w:left w:val="single" w:color="auto" w:sz="8" w:space="0"/>
              <w:bottom w:val="single" w:color="auto" w:sz="8" w:space="0"/>
              <w:right w:val="single" w:color="auto" w:sz="8" w:space="0"/>
            </w:tcBorders>
            <w:vAlign w:val="center"/>
          </w:tcPr>
          <w:p w14:paraId="0CD7D6DC">
            <w:pPr>
              <w:pStyle w:val="27"/>
              <w:snapToGrid w:val="0"/>
              <w:spacing w:line="360" w:lineRule="exact"/>
              <w:jc w:val="center"/>
              <w:rPr>
                <w:color w:val="auto"/>
                <w:sz w:val="21"/>
                <w:szCs w:val="21"/>
                <w:lang w:val="zh-CN"/>
              </w:rPr>
            </w:pPr>
            <w:r>
              <w:rPr>
                <w:rFonts w:hint="eastAsia"/>
                <w:color w:val="auto"/>
                <w:sz w:val="21"/>
                <w:szCs w:val="21"/>
                <w:lang w:val="zh-CN"/>
              </w:rPr>
              <w:t>考察现场、磋商前</w:t>
            </w:r>
          </w:p>
          <w:p w14:paraId="2A1BFBFF">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答疑会</w:t>
            </w:r>
          </w:p>
        </w:tc>
        <w:tc>
          <w:tcPr>
            <w:tcW w:w="7316" w:type="dxa"/>
            <w:tcBorders>
              <w:top w:val="single" w:color="auto" w:sz="8" w:space="0"/>
              <w:left w:val="single" w:color="auto" w:sz="8" w:space="0"/>
              <w:bottom w:val="single" w:color="auto" w:sz="8" w:space="0"/>
            </w:tcBorders>
            <w:vAlign w:val="center"/>
          </w:tcPr>
          <w:p w14:paraId="2BB0F742">
            <w:pPr>
              <w:pStyle w:val="27"/>
              <w:snapToGrid w:val="0"/>
              <w:spacing w:line="360" w:lineRule="exact"/>
              <w:ind w:left="210" w:leftChars="100"/>
              <w:rPr>
                <w:rFonts w:ascii="宋体" w:hAnsi="宋体" w:eastAsia="宋体" w:cs="宋体"/>
                <w:color w:val="auto"/>
                <w:sz w:val="21"/>
                <w:szCs w:val="21"/>
                <w:lang w:val="zh-CN" w:eastAsia="zh-CN" w:bidi="ar-SA"/>
              </w:rPr>
            </w:pPr>
            <w:r>
              <w:rPr>
                <w:rFonts w:hint="eastAsia"/>
                <w:color w:val="auto"/>
                <w:sz w:val="21"/>
                <w:szCs w:val="21"/>
                <w:lang w:val="zh-CN"/>
              </w:rPr>
              <w:t>不组织</w:t>
            </w:r>
          </w:p>
        </w:tc>
      </w:tr>
      <w:tr w14:paraId="5FACB4E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32" w:hRule="atLeast"/>
          <w:jc w:val="center"/>
        </w:trPr>
        <w:tc>
          <w:tcPr>
            <w:tcW w:w="640" w:type="dxa"/>
            <w:tcBorders>
              <w:top w:val="single" w:color="auto" w:sz="8" w:space="0"/>
              <w:bottom w:val="single" w:color="auto" w:sz="8" w:space="0"/>
              <w:right w:val="single" w:color="auto" w:sz="8" w:space="0"/>
            </w:tcBorders>
            <w:vAlign w:val="center"/>
          </w:tcPr>
          <w:p w14:paraId="74494DF8">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1</w:t>
            </w:r>
            <w:r>
              <w:rPr>
                <w:rFonts w:hint="eastAsia" w:cs="Courier New"/>
                <w:color w:val="auto"/>
                <w:sz w:val="21"/>
                <w:szCs w:val="21"/>
              </w:rPr>
              <w:t>9</w:t>
            </w:r>
          </w:p>
        </w:tc>
        <w:tc>
          <w:tcPr>
            <w:tcW w:w="2182" w:type="dxa"/>
            <w:tcBorders>
              <w:top w:val="single" w:color="auto" w:sz="8" w:space="0"/>
              <w:left w:val="single" w:color="auto" w:sz="8" w:space="0"/>
              <w:bottom w:val="single" w:color="auto" w:sz="8" w:space="0"/>
              <w:right w:val="single" w:color="auto" w:sz="8" w:space="0"/>
            </w:tcBorders>
            <w:vAlign w:val="center"/>
          </w:tcPr>
          <w:p w14:paraId="6574F72E">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转包与分包</w:t>
            </w:r>
          </w:p>
        </w:tc>
        <w:tc>
          <w:tcPr>
            <w:tcW w:w="7316" w:type="dxa"/>
            <w:tcBorders>
              <w:top w:val="single" w:color="auto" w:sz="8" w:space="0"/>
              <w:left w:val="single" w:color="auto" w:sz="8" w:space="0"/>
              <w:bottom w:val="single" w:color="auto" w:sz="8" w:space="0"/>
            </w:tcBorders>
            <w:vAlign w:val="center"/>
          </w:tcPr>
          <w:p w14:paraId="35F32FBB">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不得转</w:t>
            </w:r>
            <w:r>
              <w:rPr>
                <w:rFonts w:hint="eastAsia"/>
                <w:color w:val="auto"/>
                <w:sz w:val="21"/>
                <w:szCs w:val="21"/>
              </w:rPr>
              <w:t>包</w:t>
            </w:r>
          </w:p>
        </w:tc>
      </w:tr>
      <w:tr w14:paraId="37B7F93F">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39" w:hRule="atLeast"/>
          <w:jc w:val="center"/>
        </w:trPr>
        <w:tc>
          <w:tcPr>
            <w:tcW w:w="640" w:type="dxa"/>
            <w:tcBorders>
              <w:top w:val="single" w:color="auto" w:sz="8" w:space="0"/>
              <w:bottom w:val="single" w:color="auto" w:sz="8" w:space="0"/>
              <w:right w:val="single" w:color="auto" w:sz="8" w:space="0"/>
            </w:tcBorders>
            <w:vAlign w:val="center"/>
          </w:tcPr>
          <w:p w14:paraId="13A1885F">
            <w:pPr>
              <w:pStyle w:val="27"/>
              <w:snapToGrid w:val="0"/>
              <w:spacing w:line="360" w:lineRule="exact"/>
              <w:jc w:val="center"/>
              <w:rPr>
                <w:rFonts w:cs="Courier New"/>
                <w:color w:val="auto"/>
                <w:sz w:val="21"/>
                <w:szCs w:val="21"/>
              </w:rPr>
            </w:pPr>
            <w:r>
              <w:rPr>
                <w:rFonts w:hint="eastAsia" w:cs="Courier New"/>
                <w:color w:val="auto"/>
                <w:sz w:val="21"/>
                <w:szCs w:val="21"/>
              </w:rPr>
              <w:t>20</w:t>
            </w:r>
          </w:p>
        </w:tc>
        <w:tc>
          <w:tcPr>
            <w:tcW w:w="2182" w:type="dxa"/>
            <w:tcBorders>
              <w:top w:val="single" w:color="auto" w:sz="8" w:space="0"/>
              <w:left w:val="single" w:color="auto" w:sz="8" w:space="0"/>
              <w:bottom w:val="single" w:color="auto" w:sz="8" w:space="0"/>
              <w:right w:val="single" w:color="auto" w:sz="8" w:space="0"/>
            </w:tcBorders>
            <w:vAlign w:val="center"/>
          </w:tcPr>
          <w:p w14:paraId="3042EEB5">
            <w:pPr>
              <w:pStyle w:val="8"/>
              <w:adjustRightInd w:val="0"/>
              <w:snapToGrid w:val="0"/>
              <w:spacing w:line="360" w:lineRule="exact"/>
              <w:ind w:firstLine="0"/>
              <w:jc w:val="center"/>
              <w:rPr>
                <w:color w:val="auto"/>
                <w:szCs w:val="21"/>
              </w:rPr>
            </w:pPr>
            <w:r>
              <w:rPr>
                <w:rFonts w:hint="eastAsia"/>
                <w:color w:val="auto"/>
                <w:szCs w:val="21"/>
              </w:rPr>
              <w:t>磋商文件澄清或修改</w:t>
            </w:r>
          </w:p>
          <w:p w14:paraId="6C2FF150">
            <w:pPr>
              <w:pStyle w:val="8"/>
              <w:adjustRightInd w:val="0"/>
              <w:snapToGrid w:val="0"/>
              <w:spacing w:line="360" w:lineRule="exact"/>
              <w:ind w:firstLine="0" w:firstLineChars="0"/>
              <w:jc w:val="center"/>
              <w:rPr>
                <w:rFonts w:ascii="Times New Roman" w:hAnsi="Times New Roman" w:eastAsia="宋体" w:cs="Times New Roman"/>
                <w:color w:val="auto"/>
                <w:kern w:val="2"/>
                <w:sz w:val="21"/>
                <w:szCs w:val="21"/>
                <w:lang w:val="zh-CN" w:eastAsia="zh-CN" w:bidi="ar-SA"/>
              </w:rPr>
            </w:pPr>
            <w:r>
              <w:rPr>
                <w:rFonts w:hint="eastAsia"/>
                <w:color w:val="auto"/>
                <w:szCs w:val="21"/>
              </w:rPr>
              <w:t>时间、形式</w:t>
            </w:r>
          </w:p>
        </w:tc>
        <w:tc>
          <w:tcPr>
            <w:tcW w:w="7316" w:type="dxa"/>
            <w:tcBorders>
              <w:top w:val="single" w:color="auto" w:sz="8" w:space="0"/>
              <w:left w:val="single" w:color="auto" w:sz="8" w:space="0"/>
              <w:bottom w:val="single" w:color="auto" w:sz="8" w:space="0"/>
            </w:tcBorders>
            <w:vAlign w:val="center"/>
          </w:tcPr>
          <w:p w14:paraId="2CCC2451">
            <w:pPr>
              <w:pStyle w:val="8"/>
              <w:adjustRightInd w:val="0"/>
              <w:snapToGrid w:val="0"/>
              <w:spacing w:line="360" w:lineRule="exact"/>
              <w:ind w:firstLine="210" w:firstLineChars="100"/>
              <w:rPr>
                <w:rFonts w:ascii="宋体" w:hAnsi="宋体"/>
                <w:color w:val="auto"/>
                <w:szCs w:val="21"/>
              </w:rPr>
            </w:pPr>
            <w:r>
              <w:rPr>
                <w:rFonts w:hint="eastAsia"/>
                <w:color w:val="auto"/>
                <w:szCs w:val="21"/>
                <w:lang w:val="zh-CN"/>
              </w:rPr>
              <w:t>时间：</w:t>
            </w:r>
            <w:r>
              <w:rPr>
                <w:rFonts w:hint="eastAsia" w:ascii="宋体" w:hAnsi="宋体"/>
                <w:color w:val="auto"/>
                <w:szCs w:val="21"/>
              </w:rPr>
              <w:t>提交响应文件截至时间5日前</w:t>
            </w:r>
          </w:p>
          <w:p w14:paraId="61F8AA93">
            <w:pPr>
              <w:pStyle w:val="8"/>
              <w:adjustRightInd w:val="0"/>
              <w:snapToGrid w:val="0"/>
              <w:spacing w:line="360" w:lineRule="exact"/>
              <w:ind w:firstLine="210" w:firstLineChars="100"/>
              <w:rPr>
                <w:rFonts w:ascii="Times New Roman" w:hAnsi="Times New Roman" w:eastAsia="宋体" w:cs="Times New Roman"/>
                <w:color w:val="auto"/>
                <w:kern w:val="2"/>
                <w:sz w:val="21"/>
                <w:szCs w:val="21"/>
                <w:lang w:val="zh-CN" w:eastAsia="zh-CN" w:bidi="ar-SA"/>
              </w:rPr>
            </w:pPr>
            <w:r>
              <w:rPr>
                <w:rFonts w:hint="eastAsia" w:ascii="宋体" w:hAnsi="宋体"/>
                <w:color w:val="auto"/>
                <w:szCs w:val="21"/>
              </w:rPr>
              <w:t>形式：书面和公告</w:t>
            </w:r>
          </w:p>
        </w:tc>
      </w:tr>
      <w:tr w14:paraId="146AB8B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3B953CF0">
            <w:pPr>
              <w:pStyle w:val="27"/>
              <w:snapToGrid w:val="0"/>
              <w:spacing w:line="360" w:lineRule="exact"/>
              <w:jc w:val="center"/>
              <w:rPr>
                <w:rFonts w:cs="Courier New"/>
                <w:color w:val="auto"/>
                <w:sz w:val="21"/>
                <w:szCs w:val="21"/>
              </w:rPr>
            </w:pPr>
            <w:r>
              <w:rPr>
                <w:rFonts w:hint="eastAsia" w:cs="Courier New"/>
                <w:color w:val="auto"/>
                <w:sz w:val="21"/>
                <w:szCs w:val="21"/>
              </w:rPr>
              <w:t>21</w:t>
            </w:r>
          </w:p>
        </w:tc>
        <w:tc>
          <w:tcPr>
            <w:tcW w:w="2182" w:type="dxa"/>
            <w:tcBorders>
              <w:top w:val="single" w:color="auto" w:sz="8" w:space="0"/>
              <w:left w:val="single" w:color="auto" w:sz="8" w:space="0"/>
              <w:bottom w:val="single" w:color="auto" w:sz="8" w:space="0"/>
              <w:right w:val="single" w:color="auto" w:sz="8" w:space="0"/>
            </w:tcBorders>
            <w:vAlign w:val="center"/>
          </w:tcPr>
          <w:p w14:paraId="01EDE5C9">
            <w:pPr>
              <w:pStyle w:val="27"/>
              <w:snapToGrid w:val="0"/>
              <w:spacing w:line="360" w:lineRule="exact"/>
              <w:ind w:left="52"/>
              <w:jc w:val="center"/>
              <w:rPr>
                <w:color w:val="auto"/>
                <w:sz w:val="21"/>
                <w:szCs w:val="21"/>
              </w:rPr>
            </w:pPr>
            <w:r>
              <w:rPr>
                <w:rFonts w:hint="eastAsia"/>
                <w:color w:val="auto"/>
                <w:sz w:val="21"/>
                <w:szCs w:val="21"/>
                <w:lang w:val="zh-CN"/>
              </w:rPr>
              <w:t>构成磋商文件的其他</w:t>
            </w:r>
          </w:p>
          <w:p w14:paraId="675C70C9">
            <w:pPr>
              <w:pStyle w:val="27"/>
              <w:snapToGrid w:val="0"/>
              <w:spacing w:line="360" w:lineRule="exact"/>
              <w:ind w:left="52" w:leftChars="0"/>
              <w:jc w:val="center"/>
              <w:rPr>
                <w:rFonts w:ascii="宋体" w:hAnsi="宋体" w:eastAsia="宋体" w:cs="宋体"/>
                <w:color w:val="auto"/>
                <w:sz w:val="21"/>
                <w:szCs w:val="21"/>
                <w:lang w:val="zh-CN" w:eastAsia="zh-CN" w:bidi="ar-SA"/>
              </w:rPr>
            </w:pPr>
            <w:r>
              <w:rPr>
                <w:rFonts w:hint="eastAsia"/>
                <w:color w:val="auto"/>
                <w:sz w:val="21"/>
                <w:szCs w:val="21"/>
                <w:lang w:val="zh-CN"/>
              </w:rPr>
              <w:t>文件</w:t>
            </w:r>
          </w:p>
        </w:tc>
        <w:tc>
          <w:tcPr>
            <w:tcW w:w="7316" w:type="dxa"/>
            <w:tcBorders>
              <w:top w:val="single" w:color="auto" w:sz="8" w:space="0"/>
              <w:left w:val="single" w:color="auto" w:sz="8" w:space="0"/>
              <w:bottom w:val="single" w:color="auto" w:sz="8" w:space="0"/>
            </w:tcBorders>
            <w:vAlign w:val="center"/>
          </w:tcPr>
          <w:p w14:paraId="21999929">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磋商文件的澄清</w:t>
            </w:r>
            <w:r>
              <w:rPr>
                <w:rFonts w:hint="eastAsia"/>
                <w:color w:val="auto"/>
                <w:sz w:val="21"/>
                <w:szCs w:val="21"/>
              </w:rPr>
              <w:t>、修改书及有关补充通知为磋商文件的有效组成部分</w:t>
            </w:r>
          </w:p>
        </w:tc>
      </w:tr>
      <w:tr w14:paraId="516B0EC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337" w:hRule="atLeast"/>
          <w:jc w:val="center"/>
        </w:trPr>
        <w:tc>
          <w:tcPr>
            <w:tcW w:w="640" w:type="dxa"/>
            <w:tcBorders>
              <w:top w:val="single" w:color="auto" w:sz="8" w:space="0"/>
              <w:bottom w:val="single" w:color="auto" w:sz="8" w:space="0"/>
              <w:right w:val="single" w:color="auto" w:sz="8" w:space="0"/>
            </w:tcBorders>
            <w:vAlign w:val="center"/>
          </w:tcPr>
          <w:p w14:paraId="4CAD68D6">
            <w:pPr>
              <w:pStyle w:val="27"/>
              <w:snapToGrid w:val="0"/>
              <w:spacing w:line="360" w:lineRule="exact"/>
              <w:jc w:val="center"/>
              <w:rPr>
                <w:rFonts w:cs="Courier New"/>
                <w:color w:val="auto"/>
                <w:sz w:val="21"/>
                <w:szCs w:val="21"/>
              </w:rPr>
            </w:pPr>
            <w:r>
              <w:rPr>
                <w:rFonts w:hint="eastAsia" w:cs="Courier New"/>
                <w:color w:val="auto"/>
                <w:sz w:val="21"/>
                <w:szCs w:val="21"/>
              </w:rPr>
              <w:t>22</w:t>
            </w:r>
          </w:p>
        </w:tc>
        <w:tc>
          <w:tcPr>
            <w:tcW w:w="2182" w:type="dxa"/>
            <w:tcBorders>
              <w:top w:val="single" w:color="auto" w:sz="8" w:space="0"/>
              <w:left w:val="single" w:color="auto" w:sz="8" w:space="0"/>
              <w:bottom w:val="single" w:color="auto" w:sz="8" w:space="0"/>
              <w:right w:val="single" w:color="auto" w:sz="8" w:space="0"/>
            </w:tcBorders>
            <w:vAlign w:val="center"/>
          </w:tcPr>
          <w:p w14:paraId="1D804A3B">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供应商对磋商文件提出质疑的时间、形式</w:t>
            </w:r>
          </w:p>
        </w:tc>
        <w:tc>
          <w:tcPr>
            <w:tcW w:w="7316" w:type="dxa"/>
            <w:tcBorders>
              <w:top w:val="single" w:color="auto" w:sz="8" w:space="0"/>
              <w:left w:val="single" w:color="auto" w:sz="8" w:space="0"/>
              <w:bottom w:val="single" w:color="auto" w:sz="8" w:space="0"/>
            </w:tcBorders>
            <w:vAlign w:val="center"/>
          </w:tcPr>
          <w:p w14:paraId="74397A01">
            <w:pPr>
              <w:pStyle w:val="27"/>
              <w:snapToGrid w:val="0"/>
              <w:spacing w:line="360" w:lineRule="exact"/>
              <w:ind w:left="840" w:leftChars="100" w:hanging="630" w:hangingChars="300"/>
              <w:rPr>
                <w:color w:val="auto"/>
                <w:sz w:val="21"/>
                <w:szCs w:val="21"/>
                <w:lang w:val="zh-CN"/>
              </w:rPr>
            </w:pPr>
            <w:r>
              <w:rPr>
                <w:rFonts w:hint="eastAsia"/>
                <w:color w:val="auto"/>
                <w:sz w:val="21"/>
                <w:szCs w:val="21"/>
                <w:lang w:val="zh-CN"/>
              </w:rPr>
              <w:t>时间：自供应商收到磋商文件之日起7个工作日内，超过期限的采购人或采购代理机构不再受理</w:t>
            </w:r>
          </w:p>
          <w:p w14:paraId="2C168449">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形式：书面形式（详见</w:t>
            </w:r>
            <w:r>
              <w:rPr>
                <w:rFonts w:hint="eastAsia"/>
                <w:color w:val="auto"/>
                <w:sz w:val="21"/>
                <w:szCs w:val="21"/>
              </w:rPr>
              <w:t>供应商须知第12.1.2条款</w:t>
            </w:r>
            <w:r>
              <w:rPr>
                <w:rFonts w:hint="eastAsia"/>
                <w:color w:val="auto"/>
                <w:sz w:val="21"/>
                <w:szCs w:val="21"/>
                <w:lang w:val="zh-CN"/>
              </w:rPr>
              <w:t>）</w:t>
            </w:r>
          </w:p>
        </w:tc>
      </w:tr>
      <w:tr w14:paraId="6019EBE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15" w:hRule="atLeast"/>
          <w:jc w:val="center"/>
        </w:trPr>
        <w:tc>
          <w:tcPr>
            <w:tcW w:w="640" w:type="dxa"/>
            <w:tcBorders>
              <w:top w:val="single" w:color="auto" w:sz="8" w:space="0"/>
              <w:bottom w:val="single" w:color="auto" w:sz="8" w:space="0"/>
              <w:right w:val="single" w:color="auto" w:sz="8" w:space="0"/>
            </w:tcBorders>
            <w:vAlign w:val="center"/>
          </w:tcPr>
          <w:p w14:paraId="391222FA">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3</w:t>
            </w:r>
          </w:p>
        </w:tc>
        <w:tc>
          <w:tcPr>
            <w:tcW w:w="2182" w:type="dxa"/>
            <w:tcBorders>
              <w:top w:val="single" w:color="auto" w:sz="8" w:space="0"/>
              <w:left w:val="single" w:color="auto" w:sz="8" w:space="0"/>
              <w:bottom w:val="single" w:color="auto" w:sz="8" w:space="0"/>
              <w:right w:val="single" w:color="auto" w:sz="8" w:space="0"/>
            </w:tcBorders>
            <w:vAlign w:val="center"/>
          </w:tcPr>
          <w:p w14:paraId="410EBE17">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对供应商提出质疑答复时间、形式</w:t>
            </w:r>
          </w:p>
        </w:tc>
        <w:tc>
          <w:tcPr>
            <w:tcW w:w="7316" w:type="dxa"/>
            <w:tcBorders>
              <w:top w:val="single" w:color="auto" w:sz="8" w:space="0"/>
              <w:left w:val="single" w:color="auto" w:sz="8" w:space="0"/>
              <w:bottom w:val="single" w:color="auto" w:sz="8" w:space="0"/>
            </w:tcBorders>
            <w:vAlign w:val="center"/>
          </w:tcPr>
          <w:p w14:paraId="2458484D">
            <w:pPr>
              <w:pStyle w:val="27"/>
              <w:snapToGrid w:val="0"/>
              <w:spacing w:line="360" w:lineRule="exact"/>
              <w:ind w:firstLine="210" w:firstLineChars="100"/>
              <w:rPr>
                <w:color w:val="auto"/>
                <w:sz w:val="21"/>
                <w:szCs w:val="21"/>
                <w:lang w:val="zh-CN"/>
              </w:rPr>
            </w:pPr>
            <w:r>
              <w:rPr>
                <w:rFonts w:hint="eastAsia"/>
                <w:color w:val="auto"/>
                <w:sz w:val="21"/>
                <w:szCs w:val="21"/>
                <w:lang w:val="zh-CN"/>
              </w:rPr>
              <w:t>时间：自收到供应商质疑函之日起7个工作日内</w:t>
            </w:r>
          </w:p>
          <w:p w14:paraId="104FD1A6">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形式：书面形式</w:t>
            </w:r>
          </w:p>
        </w:tc>
      </w:tr>
      <w:tr w14:paraId="3650DA3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57" w:hRule="exact"/>
          <w:jc w:val="center"/>
        </w:trPr>
        <w:tc>
          <w:tcPr>
            <w:tcW w:w="640" w:type="dxa"/>
            <w:tcBorders>
              <w:top w:val="single" w:color="auto" w:sz="8" w:space="0"/>
              <w:bottom w:val="single" w:color="auto" w:sz="8" w:space="0"/>
              <w:right w:val="single" w:color="auto" w:sz="8" w:space="0"/>
            </w:tcBorders>
            <w:vAlign w:val="center"/>
          </w:tcPr>
          <w:p w14:paraId="5087530C">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4</w:t>
            </w:r>
          </w:p>
        </w:tc>
        <w:tc>
          <w:tcPr>
            <w:tcW w:w="2182" w:type="dxa"/>
            <w:tcBorders>
              <w:top w:val="single" w:color="auto" w:sz="8" w:space="0"/>
              <w:left w:val="single" w:color="auto" w:sz="8" w:space="0"/>
              <w:bottom w:val="single" w:color="auto" w:sz="8" w:space="0"/>
              <w:right w:val="single" w:color="auto" w:sz="8" w:space="0"/>
            </w:tcBorders>
            <w:vAlign w:val="center"/>
          </w:tcPr>
          <w:p w14:paraId="7807915B">
            <w:pPr>
              <w:pStyle w:val="27"/>
              <w:snapToGrid w:val="0"/>
              <w:spacing w:line="360" w:lineRule="exact"/>
              <w:ind w:left="33" w:leftChars="0"/>
              <w:jc w:val="center"/>
              <w:rPr>
                <w:rFonts w:ascii="宋体" w:hAnsi="宋体" w:eastAsia="宋体" w:cs="宋体"/>
                <w:color w:val="auto"/>
                <w:sz w:val="21"/>
                <w:szCs w:val="21"/>
                <w:lang w:val="zh-CN" w:eastAsia="zh-CN" w:bidi="ar-SA"/>
              </w:rPr>
            </w:pPr>
            <w:r>
              <w:rPr>
                <w:rFonts w:hint="eastAsia"/>
                <w:color w:val="auto"/>
                <w:sz w:val="21"/>
                <w:szCs w:val="21"/>
                <w:lang w:val="zh-CN"/>
              </w:rPr>
              <w:t>响应文件有效期</w:t>
            </w:r>
          </w:p>
        </w:tc>
        <w:tc>
          <w:tcPr>
            <w:tcW w:w="7316" w:type="dxa"/>
            <w:tcBorders>
              <w:top w:val="single" w:color="auto" w:sz="8" w:space="0"/>
              <w:left w:val="single" w:color="auto" w:sz="8" w:space="0"/>
              <w:bottom w:val="single" w:color="auto" w:sz="8" w:space="0"/>
            </w:tcBorders>
            <w:vAlign w:val="center"/>
          </w:tcPr>
          <w:p w14:paraId="4D1EF8AF">
            <w:pPr>
              <w:pStyle w:val="27"/>
              <w:snapToGrid w:val="0"/>
              <w:spacing w:line="360" w:lineRule="exact"/>
              <w:ind w:firstLine="210" w:firstLineChars="100"/>
              <w:jc w:val="both"/>
              <w:rPr>
                <w:rFonts w:ascii="宋体" w:hAnsi="宋体" w:eastAsia="宋体" w:cs="宋体"/>
                <w:color w:val="auto"/>
                <w:sz w:val="21"/>
                <w:szCs w:val="21"/>
                <w:lang w:val="zh-CN" w:eastAsia="zh-CN" w:bidi="ar-SA"/>
              </w:rPr>
            </w:pPr>
            <w:r>
              <w:rPr>
                <w:rFonts w:hint="eastAsia"/>
                <w:color w:val="auto"/>
                <w:sz w:val="21"/>
                <w:szCs w:val="21"/>
                <w:lang w:val="zh-CN"/>
              </w:rPr>
              <w:t>从响应文件首次提交截止之日起90</w:t>
            </w:r>
            <w:r>
              <w:rPr>
                <w:rFonts w:hint="eastAsia"/>
                <w:color w:val="auto"/>
                <w:sz w:val="21"/>
                <w:szCs w:val="21"/>
              </w:rPr>
              <w:t>日历天</w:t>
            </w:r>
          </w:p>
        </w:tc>
      </w:tr>
      <w:tr w14:paraId="46B5C9E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99" w:hRule="exact"/>
          <w:jc w:val="center"/>
        </w:trPr>
        <w:tc>
          <w:tcPr>
            <w:tcW w:w="640" w:type="dxa"/>
            <w:tcBorders>
              <w:top w:val="single" w:color="auto" w:sz="8" w:space="0"/>
              <w:bottom w:val="single" w:color="auto" w:sz="8" w:space="0"/>
              <w:right w:val="single" w:color="auto" w:sz="8" w:space="0"/>
            </w:tcBorders>
            <w:vAlign w:val="center"/>
          </w:tcPr>
          <w:p w14:paraId="2B930A04">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5</w:t>
            </w:r>
          </w:p>
        </w:tc>
        <w:tc>
          <w:tcPr>
            <w:tcW w:w="2182" w:type="dxa"/>
            <w:tcBorders>
              <w:top w:val="single" w:color="auto" w:sz="8" w:space="0"/>
              <w:left w:val="single" w:color="auto" w:sz="8" w:space="0"/>
              <w:bottom w:val="single" w:color="auto" w:sz="8" w:space="0"/>
              <w:right w:val="single" w:color="auto" w:sz="8" w:space="0"/>
            </w:tcBorders>
            <w:vAlign w:val="center"/>
          </w:tcPr>
          <w:p w14:paraId="53AC17A0">
            <w:pPr>
              <w:pStyle w:val="27"/>
              <w:snapToGrid w:val="0"/>
              <w:spacing w:line="360" w:lineRule="exact"/>
              <w:ind w:left="33" w:leftChars="0"/>
              <w:jc w:val="center"/>
              <w:rPr>
                <w:rFonts w:ascii="宋体" w:hAnsi="宋体" w:eastAsia="宋体" w:cs="宋体"/>
                <w:color w:val="auto"/>
                <w:sz w:val="21"/>
                <w:szCs w:val="21"/>
                <w:lang w:val="zh-CN" w:eastAsia="zh-CN" w:bidi="ar-SA"/>
              </w:rPr>
            </w:pPr>
            <w:r>
              <w:rPr>
                <w:rFonts w:hint="eastAsia"/>
                <w:color w:val="auto"/>
                <w:sz w:val="21"/>
                <w:szCs w:val="21"/>
                <w:lang w:val="zh-CN"/>
              </w:rPr>
              <w:t>是否允许递交多个备选磋商方案</w:t>
            </w:r>
          </w:p>
        </w:tc>
        <w:tc>
          <w:tcPr>
            <w:tcW w:w="7316" w:type="dxa"/>
            <w:tcBorders>
              <w:top w:val="single" w:color="auto" w:sz="8" w:space="0"/>
              <w:left w:val="single" w:color="auto" w:sz="8" w:space="0"/>
              <w:bottom w:val="single" w:color="auto" w:sz="8" w:space="0"/>
            </w:tcBorders>
            <w:vAlign w:val="center"/>
          </w:tcPr>
          <w:p w14:paraId="0E7170CD">
            <w:pPr>
              <w:pStyle w:val="27"/>
              <w:snapToGrid w:val="0"/>
              <w:spacing w:line="360" w:lineRule="exact"/>
              <w:ind w:firstLine="210" w:firstLineChars="100"/>
              <w:jc w:val="both"/>
              <w:rPr>
                <w:rFonts w:ascii="宋体" w:hAnsi="宋体" w:eastAsia="宋体" w:cs="宋体"/>
                <w:color w:val="auto"/>
                <w:sz w:val="21"/>
                <w:szCs w:val="21"/>
                <w:lang w:val="zh-CN" w:eastAsia="zh-CN" w:bidi="ar-SA"/>
              </w:rPr>
            </w:pPr>
            <w:r>
              <w:rPr>
                <w:rFonts w:hint="eastAsia"/>
                <w:color w:val="auto"/>
                <w:sz w:val="21"/>
                <w:szCs w:val="21"/>
                <w:lang w:val="zh-CN"/>
              </w:rPr>
              <w:t>不允许</w:t>
            </w:r>
          </w:p>
        </w:tc>
      </w:tr>
      <w:tr w14:paraId="51D1736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79" w:hRule="exact"/>
          <w:jc w:val="center"/>
        </w:trPr>
        <w:tc>
          <w:tcPr>
            <w:tcW w:w="640" w:type="dxa"/>
            <w:tcBorders>
              <w:top w:val="single" w:color="auto" w:sz="8" w:space="0"/>
              <w:bottom w:val="single" w:color="auto" w:sz="8" w:space="0"/>
              <w:right w:val="single" w:color="auto" w:sz="8" w:space="0"/>
            </w:tcBorders>
            <w:vAlign w:val="center"/>
          </w:tcPr>
          <w:p w14:paraId="2892CA26">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6</w:t>
            </w:r>
          </w:p>
        </w:tc>
        <w:tc>
          <w:tcPr>
            <w:tcW w:w="2182" w:type="dxa"/>
            <w:tcBorders>
              <w:top w:val="single" w:color="auto" w:sz="8" w:space="0"/>
              <w:left w:val="single" w:color="auto" w:sz="8" w:space="0"/>
              <w:bottom w:val="single" w:color="auto" w:sz="8" w:space="0"/>
              <w:right w:val="single" w:color="auto" w:sz="8" w:space="0"/>
            </w:tcBorders>
            <w:vAlign w:val="center"/>
          </w:tcPr>
          <w:p w14:paraId="2763189B">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rPr>
              <w:t>磋商</w:t>
            </w:r>
            <w:r>
              <w:rPr>
                <w:rFonts w:hint="eastAsia"/>
                <w:color w:val="auto"/>
                <w:sz w:val="21"/>
                <w:szCs w:val="21"/>
                <w:lang w:val="zh-CN"/>
              </w:rPr>
              <w:t>保证金</w:t>
            </w:r>
          </w:p>
        </w:tc>
        <w:tc>
          <w:tcPr>
            <w:tcW w:w="7316" w:type="dxa"/>
            <w:tcBorders>
              <w:top w:val="single" w:color="auto" w:sz="8" w:space="0"/>
              <w:left w:val="single" w:color="auto" w:sz="8" w:space="0"/>
              <w:bottom w:val="single" w:color="auto" w:sz="8" w:space="0"/>
            </w:tcBorders>
            <w:vAlign w:val="center"/>
          </w:tcPr>
          <w:p w14:paraId="34EBE765">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rPr>
              <w:t>按咸阳市财政局《关于促进政府采购公平竞争优化营商环境的通知》要求，本项目不收取保证金。</w:t>
            </w:r>
          </w:p>
        </w:tc>
      </w:tr>
      <w:tr w14:paraId="3711E6A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19" w:hRule="atLeast"/>
          <w:jc w:val="center"/>
        </w:trPr>
        <w:tc>
          <w:tcPr>
            <w:tcW w:w="640" w:type="dxa"/>
            <w:tcBorders>
              <w:top w:val="single" w:color="auto" w:sz="8" w:space="0"/>
              <w:bottom w:val="single" w:color="auto" w:sz="8" w:space="0"/>
              <w:right w:val="single" w:color="auto" w:sz="8" w:space="0"/>
            </w:tcBorders>
            <w:vAlign w:val="center"/>
          </w:tcPr>
          <w:p w14:paraId="0146D7AC">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7</w:t>
            </w:r>
          </w:p>
        </w:tc>
        <w:tc>
          <w:tcPr>
            <w:tcW w:w="2182" w:type="dxa"/>
            <w:tcBorders>
              <w:top w:val="single" w:color="auto" w:sz="8" w:space="0"/>
              <w:left w:val="single" w:color="auto" w:sz="8" w:space="0"/>
              <w:bottom w:val="single" w:color="auto" w:sz="8" w:space="0"/>
              <w:right w:val="single" w:color="auto" w:sz="8" w:space="0"/>
            </w:tcBorders>
            <w:vAlign w:val="center"/>
          </w:tcPr>
          <w:p w14:paraId="271DCEC2">
            <w:pPr>
              <w:pStyle w:val="27"/>
              <w:snapToGrid w:val="0"/>
              <w:spacing w:line="360" w:lineRule="exact"/>
              <w:jc w:val="center"/>
              <w:rPr>
                <w:color w:val="auto"/>
                <w:sz w:val="21"/>
                <w:szCs w:val="21"/>
                <w:lang w:val="zh-CN"/>
              </w:rPr>
            </w:pPr>
            <w:r>
              <w:rPr>
                <w:rFonts w:hint="eastAsia"/>
                <w:color w:val="auto"/>
                <w:sz w:val="21"/>
                <w:szCs w:val="21"/>
                <w:lang w:val="zh-CN"/>
              </w:rPr>
              <w:t>不予退还磋商保证金</w:t>
            </w:r>
          </w:p>
          <w:p w14:paraId="636655C9">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的情形</w:t>
            </w:r>
          </w:p>
        </w:tc>
        <w:tc>
          <w:tcPr>
            <w:tcW w:w="7316" w:type="dxa"/>
            <w:tcBorders>
              <w:top w:val="single" w:color="auto" w:sz="8" w:space="0"/>
              <w:left w:val="single" w:color="auto" w:sz="8" w:space="0"/>
              <w:bottom w:val="single" w:color="auto" w:sz="8" w:space="0"/>
            </w:tcBorders>
            <w:vAlign w:val="center"/>
          </w:tcPr>
          <w:p w14:paraId="1E5E3531">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详见</w:t>
            </w:r>
            <w:r>
              <w:rPr>
                <w:rFonts w:hint="eastAsia"/>
                <w:color w:val="auto"/>
                <w:sz w:val="21"/>
                <w:szCs w:val="21"/>
              </w:rPr>
              <w:t>供应商须知第4.5.3.2条款</w:t>
            </w:r>
          </w:p>
        </w:tc>
      </w:tr>
      <w:tr w14:paraId="23521E4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7" w:hRule="exact"/>
          <w:jc w:val="center"/>
        </w:trPr>
        <w:tc>
          <w:tcPr>
            <w:tcW w:w="640" w:type="dxa"/>
            <w:tcBorders>
              <w:top w:val="single" w:color="auto" w:sz="8" w:space="0"/>
              <w:bottom w:val="single" w:color="auto" w:sz="8" w:space="0"/>
              <w:right w:val="single" w:color="auto" w:sz="8" w:space="0"/>
            </w:tcBorders>
            <w:vAlign w:val="center"/>
          </w:tcPr>
          <w:p w14:paraId="4FD70872">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8</w:t>
            </w:r>
          </w:p>
        </w:tc>
        <w:tc>
          <w:tcPr>
            <w:tcW w:w="2182" w:type="dxa"/>
            <w:tcBorders>
              <w:top w:val="single" w:color="auto" w:sz="8" w:space="0"/>
              <w:left w:val="single" w:color="auto" w:sz="8" w:space="0"/>
              <w:bottom w:val="single" w:color="auto" w:sz="8" w:space="0"/>
              <w:right w:val="single" w:color="auto" w:sz="8" w:space="0"/>
            </w:tcBorders>
            <w:vAlign w:val="center"/>
          </w:tcPr>
          <w:p w14:paraId="6A195C3E">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响应文件份数</w:t>
            </w:r>
          </w:p>
        </w:tc>
        <w:tc>
          <w:tcPr>
            <w:tcW w:w="7316" w:type="dxa"/>
            <w:tcBorders>
              <w:top w:val="single" w:color="auto" w:sz="8" w:space="0"/>
              <w:left w:val="single" w:color="auto" w:sz="8" w:space="0"/>
              <w:bottom w:val="single" w:color="auto" w:sz="8" w:space="0"/>
            </w:tcBorders>
            <w:vAlign w:val="center"/>
          </w:tcPr>
          <w:p w14:paraId="2D8BEF4F">
            <w:pPr>
              <w:pStyle w:val="27"/>
              <w:snapToGrid w:val="0"/>
              <w:spacing w:line="360" w:lineRule="exact"/>
              <w:ind w:firstLine="210" w:firstLineChars="100"/>
              <w:rPr>
                <w:rFonts w:hint="default" w:ascii="宋体" w:hAnsi="宋体" w:eastAsia="宋体" w:cs="宋体"/>
                <w:color w:val="auto"/>
                <w:sz w:val="21"/>
                <w:szCs w:val="21"/>
                <w:lang w:val="en-US" w:eastAsia="zh-CN" w:bidi="ar-SA"/>
              </w:rPr>
            </w:pPr>
            <w:r>
              <w:rPr>
                <w:rFonts w:hint="eastAsia" w:cs="仿宋_GB2312"/>
                <w:color w:val="auto"/>
                <w:sz w:val="21"/>
                <w:szCs w:val="21"/>
              </w:rPr>
              <w:t>正本1套、副本</w:t>
            </w:r>
            <w:r>
              <w:rPr>
                <w:rFonts w:hint="eastAsia" w:cs="仿宋_GB2312"/>
                <w:color w:val="auto"/>
                <w:sz w:val="21"/>
                <w:szCs w:val="21"/>
                <w:lang w:val="en-US" w:eastAsia="zh-CN"/>
              </w:rPr>
              <w:t>2</w:t>
            </w:r>
            <w:r>
              <w:rPr>
                <w:rFonts w:hint="eastAsia" w:cs="仿宋_GB2312"/>
                <w:color w:val="auto"/>
                <w:sz w:val="21"/>
                <w:szCs w:val="21"/>
              </w:rPr>
              <w:t>套和电子文件U盘2份</w:t>
            </w:r>
            <w:r>
              <w:rPr>
                <w:rFonts w:hint="eastAsia" w:cs="仿宋_GB2312"/>
                <w:color w:val="auto"/>
                <w:sz w:val="21"/>
                <w:szCs w:val="21"/>
                <w:lang w:eastAsia="zh-CN"/>
              </w:rPr>
              <w:t>（</w:t>
            </w:r>
            <w:r>
              <w:rPr>
                <w:rFonts w:hint="eastAsia" w:cs="仿宋_GB2312"/>
                <w:color w:val="auto"/>
                <w:sz w:val="21"/>
                <w:szCs w:val="21"/>
                <w:lang w:val="en-US" w:eastAsia="zh-CN"/>
              </w:rPr>
              <w:t>签章PDF版可编辑word版；需在盘面上标注供应商全称</w:t>
            </w:r>
            <w:r>
              <w:rPr>
                <w:rFonts w:hint="eastAsia" w:cs="仿宋_GB2312"/>
                <w:color w:val="auto"/>
                <w:sz w:val="21"/>
                <w:szCs w:val="21"/>
                <w:lang w:eastAsia="zh-CN"/>
              </w:rPr>
              <w:t>）</w:t>
            </w:r>
            <w:r>
              <w:rPr>
                <w:rFonts w:hint="eastAsia" w:cs="仿宋_GB2312"/>
                <w:color w:val="auto"/>
                <w:sz w:val="21"/>
                <w:szCs w:val="21"/>
                <w:lang w:val="en-US" w:eastAsia="zh-CN"/>
              </w:rPr>
              <w:t>。</w:t>
            </w:r>
          </w:p>
        </w:tc>
      </w:tr>
      <w:tr w14:paraId="12C7E5A1">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7" w:hRule="exact"/>
          <w:jc w:val="center"/>
        </w:trPr>
        <w:tc>
          <w:tcPr>
            <w:tcW w:w="640" w:type="dxa"/>
            <w:tcBorders>
              <w:top w:val="single" w:color="auto" w:sz="8" w:space="0"/>
              <w:bottom w:val="single" w:color="auto" w:sz="8" w:space="0"/>
              <w:right w:val="single" w:color="auto" w:sz="8" w:space="0"/>
            </w:tcBorders>
            <w:vAlign w:val="center"/>
          </w:tcPr>
          <w:p w14:paraId="17FF1C66">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2</w:t>
            </w:r>
            <w:r>
              <w:rPr>
                <w:rFonts w:hint="eastAsia" w:cs="Courier New"/>
                <w:color w:val="auto"/>
                <w:sz w:val="21"/>
                <w:szCs w:val="21"/>
              </w:rPr>
              <w:t>9</w:t>
            </w:r>
          </w:p>
        </w:tc>
        <w:tc>
          <w:tcPr>
            <w:tcW w:w="2182" w:type="dxa"/>
            <w:tcBorders>
              <w:top w:val="single" w:color="auto" w:sz="8" w:space="0"/>
              <w:left w:val="single" w:color="auto" w:sz="8" w:space="0"/>
              <w:bottom w:val="single" w:color="auto" w:sz="8" w:space="0"/>
              <w:right w:val="single" w:color="auto" w:sz="8" w:space="0"/>
            </w:tcBorders>
            <w:vAlign w:val="center"/>
          </w:tcPr>
          <w:p w14:paraId="4F822181">
            <w:pPr>
              <w:pStyle w:val="27"/>
              <w:snapToGrid w:val="0"/>
              <w:spacing w:line="360" w:lineRule="exact"/>
              <w:jc w:val="center"/>
              <w:rPr>
                <w:color w:val="auto"/>
                <w:sz w:val="21"/>
                <w:szCs w:val="21"/>
                <w:lang w:val="zh-CN"/>
              </w:rPr>
            </w:pPr>
            <w:r>
              <w:rPr>
                <w:rFonts w:hint="eastAsia"/>
                <w:color w:val="auto"/>
                <w:sz w:val="21"/>
                <w:szCs w:val="21"/>
                <w:lang w:val="zh-CN"/>
              </w:rPr>
              <w:t>响应文件签字或盖章</w:t>
            </w:r>
          </w:p>
          <w:p w14:paraId="477D2C5D">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要求</w:t>
            </w:r>
          </w:p>
        </w:tc>
        <w:tc>
          <w:tcPr>
            <w:tcW w:w="7316" w:type="dxa"/>
            <w:tcBorders>
              <w:top w:val="single" w:color="auto" w:sz="8" w:space="0"/>
              <w:left w:val="single" w:color="auto" w:sz="8" w:space="0"/>
              <w:bottom w:val="single" w:color="auto" w:sz="8" w:space="0"/>
            </w:tcBorders>
            <w:vAlign w:val="center"/>
          </w:tcPr>
          <w:p w14:paraId="47A7F559">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供应商必须按照磋商文件的规定和要求签字、盖章</w:t>
            </w:r>
          </w:p>
        </w:tc>
      </w:tr>
      <w:tr w14:paraId="0EC09D9E">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62" w:hRule="exact"/>
          <w:jc w:val="center"/>
        </w:trPr>
        <w:tc>
          <w:tcPr>
            <w:tcW w:w="640" w:type="dxa"/>
            <w:tcBorders>
              <w:top w:val="single" w:color="auto" w:sz="8" w:space="0"/>
              <w:bottom w:val="single" w:color="auto" w:sz="8" w:space="0"/>
              <w:right w:val="single" w:color="auto" w:sz="8" w:space="0"/>
            </w:tcBorders>
            <w:vAlign w:val="center"/>
          </w:tcPr>
          <w:p w14:paraId="010CEF78">
            <w:pPr>
              <w:pStyle w:val="27"/>
              <w:snapToGrid w:val="0"/>
              <w:spacing w:line="360" w:lineRule="exact"/>
              <w:jc w:val="center"/>
              <w:rPr>
                <w:rFonts w:cs="Courier New"/>
                <w:color w:val="auto"/>
                <w:sz w:val="21"/>
                <w:szCs w:val="21"/>
              </w:rPr>
            </w:pPr>
            <w:r>
              <w:rPr>
                <w:rFonts w:hint="eastAsia" w:cs="Courier New"/>
                <w:color w:val="auto"/>
                <w:sz w:val="21"/>
                <w:szCs w:val="21"/>
              </w:rPr>
              <w:t>30</w:t>
            </w:r>
          </w:p>
        </w:tc>
        <w:tc>
          <w:tcPr>
            <w:tcW w:w="2182" w:type="dxa"/>
            <w:tcBorders>
              <w:top w:val="single" w:color="auto" w:sz="8" w:space="0"/>
              <w:left w:val="single" w:color="auto" w:sz="8" w:space="0"/>
              <w:bottom w:val="single" w:color="auto" w:sz="8" w:space="0"/>
              <w:right w:val="single" w:color="auto" w:sz="8" w:space="0"/>
            </w:tcBorders>
            <w:vAlign w:val="center"/>
          </w:tcPr>
          <w:p w14:paraId="6282717C">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响应文件装订</w:t>
            </w:r>
          </w:p>
        </w:tc>
        <w:tc>
          <w:tcPr>
            <w:tcW w:w="7316" w:type="dxa"/>
            <w:tcBorders>
              <w:top w:val="single" w:color="auto" w:sz="8" w:space="0"/>
              <w:left w:val="single" w:color="auto" w:sz="8" w:space="0"/>
              <w:bottom w:val="single" w:color="auto" w:sz="8" w:space="0"/>
            </w:tcBorders>
            <w:vAlign w:val="center"/>
          </w:tcPr>
          <w:p w14:paraId="182A5654">
            <w:pPr>
              <w:autoSpaceDE w:val="0"/>
              <w:autoSpaceDN w:val="0"/>
              <w:adjustRightInd w:val="0"/>
              <w:snapToGrid w:val="0"/>
              <w:spacing w:line="360" w:lineRule="exact"/>
              <w:ind w:firstLine="210" w:firstLineChars="100"/>
              <w:rPr>
                <w:rFonts w:ascii="宋体" w:hAnsi="宋体" w:eastAsia="宋体" w:cs="仿宋_GB2312"/>
                <w:color w:val="auto"/>
                <w:kern w:val="0"/>
                <w:sz w:val="21"/>
                <w:szCs w:val="21"/>
                <w:lang w:val="zh-CN" w:eastAsia="zh-CN" w:bidi="ar-SA"/>
              </w:rPr>
            </w:pPr>
            <w:r>
              <w:rPr>
                <w:rFonts w:hint="eastAsia" w:ascii="宋体" w:hAnsi="宋体" w:cs="仿宋_GB2312"/>
                <w:color w:val="auto"/>
                <w:kern w:val="0"/>
                <w:szCs w:val="21"/>
              </w:rPr>
              <w:t>磋商响应文件应当采用A4页幅、</w:t>
            </w:r>
            <w:r>
              <w:rPr>
                <w:rFonts w:hint="eastAsia" w:ascii="宋体" w:hAnsi="宋体" w:cs="仿宋_GB2312"/>
                <w:color w:val="auto"/>
                <w:kern w:val="0"/>
                <w:szCs w:val="21"/>
                <w:lang w:val="en-US" w:eastAsia="zh-CN"/>
              </w:rPr>
              <w:t>建议</w:t>
            </w:r>
            <w:r>
              <w:rPr>
                <w:rFonts w:hint="eastAsia" w:ascii="宋体" w:hAnsi="宋体" w:cs="仿宋_GB2312"/>
                <w:color w:val="auto"/>
                <w:kern w:val="0"/>
                <w:szCs w:val="21"/>
              </w:rPr>
              <w:t>双面打印、左侧胶装方式装订，装订应牢固、不易拆散和换页，</w:t>
            </w:r>
            <w:r>
              <w:rPr>
                <w:rFonts w:hint="eastAsia"/>
                <w:color w:val="auto"/>
                <w:szCs w:val="21"/>
              </w:rPr>
              <w:t>正副本分别密封，电子文件置于正本密封袋中。</w:t>
            </w:r>
          </w:p>
        </w:tc>
      </w:tr>
      <w:tr w14:paraId="58DF5ABA">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123" w:hRule="exact"/>
          <w:jc w:val="center"/>
        </w:trPr>
        <w:tc>
          <w:tcPr>
            <w:tcW w:w="640" w:type="dxa"/>
            <w:tcBorders>
              <w:top w:val="single" w:color="auto" w:sz="8" w:space="0"/>
              <w:bottom w:val="single" w:color="auto" w:sz="8" w:space="0"/>
              <w:right w:val="single" w:color="auto" w:sz="8" w:space="0"/>
            </w:tcBorders>
            <w:vAlign w:val="center"/>
          </w:tcPr>
          <w:p w14:paraId="4B6AE220">
            <w:pPr>
              <w:pStyle w:val="27"/>
              <w:snapToGrid w:val="0"/>
              <w:spacing w:line="360" w:lineRule="exact"/>
              <w:jc w:val="center"/>
              <w:rPr>
                <w:rFonts w:cs="Courier New"/>
                <w:color w:val="auto"/>
                <w:sz w:val="21"/>
                <w:szCs w:val="21"/>
              </w:rPr>
            </w:pPr>
            <w:r>
              <w:rPr>
                <w:rFonts w:hint="eastAsia" w:cs="Courier New"/>
                <w:color w:val="auto"/>
                <w:sz w:val="21"/>
                <w:szCs w:val="21"/>
              </w:rPr>
              <w:t>31</w:t>
            </w:r>
          </w:p>
        </w:tc>
        <w:tc>
          <w:tcPr>
            <w:tcW w:w="2182" w:type="dxa"/>
            <w:tcBorders>
              <w:top w:val="single" w:color="auto" w:sz="8" w:space="0"/>
              <w:left w:val="single" w:color="auto" w:sz="8" w:space="0"/>
              <w:bottom w:val="single" w:color="auto" w:sz="8" w:space="0"/>
              <w:right w:val="single" w:color="auto" w:sz="8" w:space="0"/>
            </w:tcBorders>
            <w:vAlign w:val="center"/>
          </w:tcPr>
          <w:p w14:paraId="40751FE7">
            <w:pPr>
              <w:pStyle w:val="27"/>
              <w:snapToGrid w:val="0"/>
              <w:spacing w:line="360" w:lineRule="exact"/>
              <w:jc w:val="center"/>
              <w:rPr>
                <w:rFonts w:ascii="宋体" w:hAnsi="宋体" w:eastAsia="宋体" w:cs="Arial"/>
                <w:color w:val="auto"/>
                <w:sz w:val="21"/>
                <w:szCs w:val="21"/>
                <w:lang w:val="zh-CN" w:eastAsia="zh-CN" w:bidi="ar-SA"/>
              </w:rPr>
            </w:pPr>
            <w:r>
              <w:rPr>
                <w:rFonts w:hint="eastAsia"/>
                <w:color w:val="auto"/>
                <w:sz w:val="21"/>
                <w:szCs w:val="21"/>
                <w:lang w:val="zh-CN"/>
              </w:rPr>
              <w:t>响应文件封面标注</w:t>
            </w:r>
          </w:p>
        </w:tc>
        <w:tc>
          <w:tcPr>
            <w:tcW w:w="7316" w:type="dxa"/>
            <w:tcBorders>
              <w:top w:val="single" w:color="auto" w:sz="8" w:space="0"/>
              <w:left w:val="single" w:color="auto" w:sz="8" w:space="0"/>
              <w:bottom w:val="single" w:color="auto" w:sz="8" w:space="0"/>
            </w:tcBorders>
            <w:vAlign w:val="center"/>
          </w:tcPr>
          <w:p w14:paraId="716F96DE">
            <w:pPr>
              <w:pStyle w:val="27"/>
              <w:snapToGrid w:val="0"/>
              <w:spacing w:line="360" w:lineRule="exact"/>
              <w:ind w:firstLine="210" w:firstLineChars="100"/>
              <w:jc w:val="both"/>
              <w:rPr>
                <w:rFonts w:ascii="宋体" w:hAnsi="宋体" w:eastAsia="宋体" w:cs="宋体"/>
                <w:color w:val="auto"/>
                <w:sz w:val="21"/>
                <w:szCs w:val="21"/>
                <w:lang w:val="zh-CN" w:eastAsia="zh-CN" w:bidi="ar-SA"/>
              </w:rPr>
            </w:pPr>
            <w:r>
              <w:rPr>
                <w:rFonts w:hint="eastAsia"/>
                <w:color w:val="auto"/>
                <w:sz w:val="21"/>
                <w:szCs w:val="21"/>
                <w:lang w:val="zh-CN"/>
              </w:rPr>
              <w:t>响应文件正本和副本的封面上均应标明：采购项目名称、项目编号、供应商名称、年月日；并分别在右上角标明</w:t>
            </w:r>
            <w:bookmarkStart w:id="126" w:name="_GoBack"/>
            <w:bookmarkEnd w:id="126"/>
            <w:r>
              <w:rPr>
                <w:rFonts w:hint="eastAsia"/>
                <w:color w:val="auto"/>
                <w:sz w:val="21"/>
                <w:szCs w:val="21"/>
                <w:lang w:val="zh-CN"/>
              </w:rPr>
              <w:t>“正本”和“副本”字样</w:t>
            </w:r>
          </w:p>
        </w:tc>
      </w:tr>
      <w:tr w14:paraId="47BC074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40" w:type="dxa"/>
            <w:tcBorders>
              <w:top w:val="single" w:color="auto" w:sz="8" w:space="0"/>
              <w:bottom w:val="single" w:color="auto" w:sz="8" w:space="0"/>
              <w:right w:val="single" w:color="auto" w:sz="8" w:space="0"/>
            </w:tcBorders>
            <w:vAlign w:val="center"/>
          </w:tcPr>
          <w:p w14:paraId="597F2721">
            <w:pPr>
              <w:pStyle w:val="27"/>
              <w:snapToGrid w:val="0"/>
              <w:spacing w:line="360" w:lineRule="exact"/>
              <w:jc w:val="center"/>
              <w:rPr>
                <w:rFonts w:cs="Arial"/>
                <w:color w:val="auto"/>
                <w:sz w:val="21"/>
                <w:szCs w:val="21"/>
              </w:rPr>
            </w:pPr>
            <w:r>
              <w:rPr>
                <w:rFonts w:hint="eastAsia" w:cs="Courier New"/>
                <w:color w:val="auto"/>
                <w:sz w:val="21"/>
                <w:szCs w:val="21"/>
              </w:rPr>
              <w:t>32</w:t>
            </w:r>
          </w:p>
        </w:tc>
        <w:tc>
          <w:tcPr>
            <w:tcW w:w="2182" w:type="dxa"/>
            <w:tcBorders>
              <w:top w:val="single" w:color="auto" w:sz="8" w:space="0"/>
              <w:left w:val="single" w:color="auto" w:sz="8" w:space="0"/>
              <w:bottom w:val="single" w:color="auto" w:sz="8" w:space="0"/>
              <w:right w:val="single" w:color="auto" w:sz="8" w:space="0"/>
            </w:tcBorders>
            <w:vAlign w:val="center"/>
          </w:tcPr>
          <w:p w14:paraId="25F4AEE0">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封套上应载明的信息</w:t>
            </w:r>
          </w:p>
        </w:tc>
        <w:tc>
          <w:tcPr>
            <w:tcW w:w="7316" w:type="dxa"/>
            <w:tcBorders>
              <w:top w:val="single" w:color="auto" w:sz="8" w:space="0"/>
              <w:left w:val="single" w:color="auto" w:sz="8" w:space="0"/>
              <w:bottom w:val="single" w:color="auto" w:sz="8" w:space="0"/>
            </w:tcBorders>
            <w:vAlign w:val="center"/>
          </w:tcPr>
          <w:p w14:paraId="55C5F03E">
            <w:pPr>
              <w:pStyle w:val="27"/>
              <w:snapToGrid w:val="0"/>
              <w:spacing w:line="360" w:lineRule="exact"/>
              <w:ind w:firstLine="210" w:firstLineChars="100"/>
              <w:jc w:val="both"/>
              <w:rPr>
                <w:color w:val="auto"/>
                <w:sz w:val="21"/>
                <w:szCs w:val="21"/>
                <w:lang w:val="zh-CN"/>
              </w:rPr>
            </w:pPr>
            <w:r>
              <w:rPr>
                <w:rFonts w:hint="eastAsia"/>
                <w:color w:val="auto"/>
                <w:sz w:val="21"/>
                <w:szCs w:val="21"/>
                <w:lang w:val="zh-CN"/>
              </w:rPr>
              <w:t>项目编号：“正本”或“副本”字样</w:t>
            </w:r>
          </w:p>
          <w:p w14:paraId="513A2709">
            <w:pPr>
              <w:pStyle w:val="27"/>
              <w:snapToGrid w:val="0"/>
              <w:spacing w:line="360" w:lineRule="exact"/>
              <w:ind w:firstLine="210" w:firstLineChars="100"/>
              <w:jc w:val="both"/>
              <w:rPr>
                <w:color w:val="auto"/>
                <w:sz w:val="21"/>
                <w:szCs w:val="21"/>
                <w:lang w:val="zh-CN"/>
              </w:rPr>
            </w:pPr>
            <w:r>
              <w:rPr>
                <w:rFonts w:hint="eastAsia"/>
                <w:color w:val="auto"/>
                <w:sz w:val="21"/>
                <w:szCs w:val="21"/>
                <w:lang w:val="zh-CN"/>
              </w:rPr>
              <w:t>项目名称：</w:t>
            </w:r>
          </w:p>
          <w:p w14:paraId="7329ADCE">
            <w:pPr>
              <w:pStyle w:val="27"/>
              <w:snapToGrid w:val="0"/>
              <w:spacing w:line="360" w:lineRule="exact"/>
              <w:ind w:firstLine="210" w:firstLineChars="100"/>
              <w:jc w:val="both"/>
              <w:rPr>
                <w:color w:val="auto"/>
                <w:sz w:val="21"/>
                <w:szCs w:val="21"/>
                <w:lang w:val="zh-CN"/>
              </w:rPr>
            </w:pPr>
            <w:r>
              <w:rPr>
                <w:rFonts w:hint="eastAsia"/>
                <w:color w:val="auto"/>
                <w:sz w:val="21"/>
                <w:szCs w:val="21"/>
                <w:lang w:val="zh-CN"/>
              </w:rPr>
              <w:t>响应文件</w:t>
            </w:r>
          </w:p>
          <w:p w14:paraId="0D4989D1">
            <w:pPr>
              <w:pStyle w:val="27"/>
              <w:snapToGrid w:val="0"/>
              <w:spacing w:line="360" w:lineRule="exact"/>
              <w:ind w:firstLine="210" w:firstLineChars="100"/>
              <w:jc w:val="both"/>
              <w:rPr>
                <w:color w:val="auto"/>
                <w:sz w:val="21"/>
                <w:szCs w:val="21"/>
                <w:lang w:val="zh-CN"/>
              </w:rPr>
            </w:pPr>
            <w:r>
              <w:rPr>
                <w:rFonts w:hint="eastAsia"/>
                <w:color w:val="auto"/>
                <w:sz w:val="21"/>
                <w:szCs w:val="21"/>
                <w:lang w:val="zh-CN"/>
              </w:rPr>
              <w:t>采购人名称：</w:t>
            </w:r>
          </w:p>
          <w:p w14:paraId="4459E145">
            <w:pPr>
              <w:pStyle w:val="27"/>
              <w:snapToGrid w:val="0"/>
              <w:spacing w:line="360" w:lineRule="exact"/>
              <w:ind w:firstLine="210" w:firstLineChars="100"/>
              <w:jc w:val="both"/>
              <w:rPr>
                <w:color w:val="auto"/>
                <w:sz w:val="21"/>
                <w:szCs w:val="21"/>
                <w:lang w:val="zh-CN"/>
              </w:rPr>
            </w:pPr>
            <w:r>
              <w:rPr>
                <w:rFonts w:hint="eastAsia"/>
                <w:color w:val="auto"/>
                <w:sz w:val="21"/>
                <w:szCs w:val="21"/>
                <w:lang w:val="zh-CN"/>
              </w:rPr>
              <w:t>供应商名称：</w:t>
            </w:r>
          </w:p>
          <w:p w14:paraId="5840E8F1">
            <w:pPr>
              <w:pStyle w:val="27"/>
              <w:snapToGrid w:val="0"/>
              <w:spacing w:line="360" w:lineRule="exact"/>
              <w:ind w:firstLine="210" w:firstLineChars="100"/>
              <w:jc w:val="both"/>
              <w:rPr>
                <w:rFonts w:ascii="宋体" w:hAnsi="宋体" w:eastAsia="宋体" w:cs="宋体"/>
                <w:color w:val="auto"/>
                <w:sz w:val="21"/>
                <w:szCs w:val="21"/>
                <w:lang w:val="zh-CN" w:eastAsia="zh-CN" w:bidi="ar-SA"/>
              </w:rPr>
            </w:pPr>
            <w:r>
              <w:rPr>
                <w:rFonts w:hint="eastAsia"/>
                <w:color w:val="auto"/>
                <w:sz w:val="21"/>
                <w:szCs w:val="21"/>
                <w:lang w:val="zh-CN"/>
              </w:rPr>
              <w:t>在    年  月  日  时  分前不得开启</w:t>
            </w:r>
          </w:p>
        </w:tc>
      </w:tr>
      <w:tr w14:paraId="2818D506">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15" w:hRule="atLeast"/>
          <w:jc w:val="center"/>
        </w:trPr>
        <w:tc>
          <w:tcPr>
            <w:tcW w:w="640" w:type="dxa"/>
            <w:tcBorders>
              <w:top w:val="single" w:color="auto" w:sz="8" w:space="0"/>
              <w:bottom w:val="single" w:color="auto" w:sz="8" w:space="0"/>
              <w:right w:val="single" w:color="auto" w:sz="8" w:space="0"/>
            </w:tcBorders>
            <w:vAlign w:val="center"/>
          </w:tcPr>
          <w:p w14:paraId="4DDB282A">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r>
              <w:rPr>
                <w:rFonts w:hint="eastAsia" w:cs="Courier New"/>
                <w:color w:val="auto"/>
                <w:sz w:val="21"/>
                <w:szCs w:val="21"/>
              </w:rPr>
              <w:t>3</w:t>
            </w:r>
          </w:p>
        </w:tc>
        <w:tc>
          <w:tcPr>
            <w:tcW w:w="2182" w:type="dxa"/>
            <w:tcBorders>
              <w:top w:val="single" w:color="auto" w:sz="8" w:space="0"/>
              <w:left w:val="single" w:color="auto" w:sz="8" w:space="0"/>
              <w:bottom w:val="single" w:color="auto" w:sz="8" w:space="0"/>
              <w:right w:val="single" w:color="auto" w:sz="8" w:space="0"/>
            </w:tcBorders>
            <w:vAlign w:val="center"/>
          </w:tcPr>
          <w:p w14:paraId="1C3D429B">
            <w:pPr>
              <w:pStyle w:val="27"/>
              <w:snapToGrid w:val="0"/>
              <w:spacing w:line="360" w:lineRule="exact"/>
              <w:jc w:val="center"/>
              <w:rPr>
                <w:color w:val="auto"/>
                <w:sz w:val="21"/>
                <w:szCs w:val="21"/>
                <w:lang w:val="zh-CN"/>
              </w:rPr>
            </w:pPr>
            <w:r>
              <w:rPr>
                <w:rFonts w:hint="eastAsia"/>
                <w:color w:val="auto"/>
                <w:sz w:val="21"/>
                <w:szCs w:val="21"/>
                <w:lang w:val="zh-CN"/>
              </w:rPr>
              <w:t>提交响应文件截至</w:t>
            </w:r>
          </w:p>
          <w:p w14:paraId="572E7672">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时间</w:t>
            </w:r>
          </w:p>
        </w:tc>
        <w:tc>
          <w:tcPr>
            <w:tcW w:w="7316" w:type="dxa"/>
            <w:tcBorders>
              <w:top w:val="single" w:color="auto" w:sz="8" w:space="0"/>
              <w:left w:val="single" w:color="auto" w:sz="8" w:space="0"/>
              <w:bottom w:val="single" w:color="auto" w:sz="8" w:space="0"/>
            </w:tcBorders>
            <w:vAlign w:val="center"/>
          </w:tcPr>
          <w:p w14:paraId="2A004467">
            <w:pPr>
              <w:pStyle w:val="27"/>
              <w:snapToGrid w:val="0"/>
              <w:spacing w:line="360" w:lineRule="exact"/>
              <w:ind w:firstLine="210" w:firstLineChars="100"/>
              <w:rPr>
                <w:rFonts w:ascii="宋体" w:hAnsi="宋体" w:eastAsia="宋体" w:cs="宋体"/>
                <w:color w:val="auto"/>
                <w:sz w:val="24"/>
                <w:szCs w:val="24"/>
                <w:lang w:val="zh-CN" w:eastAsia="zh-CN" w:bidi="ar-SA"/>
              </w:rPr>
            </w:pPr>
            <w:r>
              <w:rPr>
                <w:rFonts w:hint="eastAsia"/>
                <w:color w:val="auto"/>
                <w:sz w:val="21"/>
                <w:szCs w:val="21"/>
              </w:rPr>
              <w:t>202</w:t>
            </w:r>
            <w:r>
              <w:rPr>
                <w:rFonts w:hint="eastAsia"/>
                <w:color w:val="auto"/>
                <w:sz w:val="21"/>
                <w:szCs w:val="21"/>
                <w:lang w:val="en-US" w:eastAsia="zh-CN"/>
              </w:rPr>
              <w:t>6-09</w:t>
            </w:r>
            <w:r>
              <w:rPr>
                <w:rFonts w:hint="eastAsia"/>
                <w:color w:val="auto"/>
                <w:sz w:val="21"/>
                <w:szCs w:val="21"/>
              </w:rPr>
              <w:t>-</w:t>
            </w:r>
            <w:r>
              <w:rPr>
                <w:rFonts w:hint="eastAsia"/>
                <w:color w:val="auto"/>
                <w:sz w:val="21"/>
                <w:szCs w:val="21"/>
                <w:lang w:val="en-US" w:eastAsia="zh-CN"/>
              </w:rPr>
              <w:t>07</w:t>
            </w:r>
            <w:r>
              <w:rPr>
                <w:rFonts w:hint="eastAsia"/>
                <w:color w:val="auto"/>
                <w:sz w:val="21"/>
                <w:szCs w:val="21"/>
              </w:rPr>
              <w:t xml:space="preserve"> </w:t>
            </w:r>
            <w:r>
              <w:rPr>
                <w:rFonts w:hint="eastAsia"/>
                <w:color w:val="auto"/>
                <w:sz w:val="21"/>
                <w:szCs w:val="21"/>
                <w:lang w:val="en-US" w:eastAsia="zh-CN"/>
              </w:rPr>
              <w:t>14</w:t>
            </w:r>
            <w:r>
              <w:rPr>
                <w:rFonts w:hint="eastAsia"/>
                <w:color w:val="auto"/>
                <w:sz w:val="21"/>
                <w:szCs w:val="21"/>
              </w:rPr>
              <w:t>:</w:t>
            </w:r>
            <w:r>
              <w:rPr>
                <w:rFonts w:hint="eastAsia"/>
                <w:color w:val="auto"/>
                <w:sz w:val="21"/>
                <w:szCs w:val="21"/>
                <w:lang w:val="en-US" w:eastAsia="zh-CN"/>
              </w:rPr>
              <w:t>3</w:t>
            </w:r>
            <w:r>
              <w:rPr>
                <w:rFonts w:hint="eastAsia"/>
                <w:color w:val="auto"/>
                <w:sz w:val="21"/>
                <w:szCs w:val="21"/>
              </w:rPr>
              <w:t xml:space="preserve">0:00 </w:t>
            </w:r>
          </w:p>
        </w:tc>
      </w:tr>
      <w:tr w14:paraId="709B608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51" w:hRule="exact"/>
          <w:jc w:val="center"/>
        </w:trPr>
        <w:tc>
          <w:tcPr>
            <w:tcW w:w="640" w:type="dxa"/>
            <w:tcBorders>
              <w:top w:val="single" w:color="auto" w:sz="8" w:space="0"/>
              <w:bottom w:val="single" w:color="auto" w:sz="8" w:space="0"/>
              <w:right w:val="single" w:color="auto" w:sz="8" w:space="0"/>
            </w:tcBorders>
            <w:vAlign w:val="center"/>
          </w:tcPr>
          <w:p w14:paraId="3D0F47CC">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r>
              <w:rPr>
                <w:rFonts w:hint="eastAsia" w:cs="Courier New"/>
                <w:color w:val="auto"/>
                <w:sz w:val="21"/>
                <w:szCs w:val="21"/>
              </w:rPr>
              <w:t>4</w:t>
            </w:r>
          </w:p>
        </w:tc>
        <w:tc>
          <w:tcPr>
            <w:tcW w:w="2182" w:type="dxa"/>
            <w:tcBorders>
              <w:top w:val="single" w:color="auto" w:sz="8" w:space="0"/>
              <w:left w:val="single" w:color="auto" w:sz="8" w:space="0"/>
              <w:bottom w:val="single" w:color="auto" w:sz="8" w:space="0"/>
              <w:right w:val="single" w:color="auto" w:sz="8" w:space="0"/>
            </w:tcBorders>
            <w:vAlign w:val="center"/>
          </w:tcPr>
          <w:p w14:paraId="2FCDB8ED">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提交响应文件地点</w:t>
            </w:r>
          </w:p>
        </w:tc>
        <w:tc>
          <w:tcPr>
            <w:tcW w:w="7316" w:type="dxa"/>
            <w:tcBorders>
              <w:top w:val="single" w:color="auto" w:sz="8" w:space="0"/>
              <w:left w:val="single" w:color="auto" w:sz="8" w:space="0"/>
              <w:bottom w:val="single" w:color="auto" w:sz="8" w:space="0"/>
            </w:tcBorders>
            <w:vAlign w:val="center"/>
          </w:tcPr>
          <w:p w14:paraId="34C430A3">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陕西省咸阳市秦都区新华大厦1508室开标室</w:t>
            </w:r>
            <w:r>
              <w:rPr>
                <w:color w:val="auto"/>
                <w:sz w:val="21"/>
                <w:szCs w:val="21"/>
              </w:rPr>
              <w:t xml:space="preserve"> </w:t>
            </w:r>
          </w:p>
        </w:tc>
      </w:tr>
      <w:tr w14:paraId="5B1616D8">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10" w:hRule="exact"/>
          <w:jc w:val="center"/>
        </w:trPr>
        <w:tc>
          <w:tcPr>
            <w:tcW w:w="640" w:type="dxa"/>
            <w:tcBorders>
              <w:top w:val="single" w:color="auto" w:sz="8" w:space="0"/>
              <w:bottom w:val="single" w:color="auto" w:sz="8" w:space="0"/>
              <w:right w:val="single" w:color="auto" w:sz="8" w:space="0"/>
            </w:tcBorders>
            <w:vAlign w:val="center"/>
          </w:tcPr>
          <w:p w14:paraId="2A4F4E20">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r>
              <w:rPr>
                <w:rFonts w:hint="eastAsia" w:cs="Courier New"/>
                <w:color w:val="auto"/>
                <w:sz w:val="21"/>
                <w:szCs w:val="21"/>
              </w:rPr>
              <w:t>5</w:t>
            </w:r>
          </w:p>
        </w:tc>
        <w:tc>
          <w:tcPr>
            <w:tcW w:w="2182" w:type="dxa"/>
            <w:tcBorders>
              <w:top w:val="single" w:color="auto" w:sz="8" w:space="0"/>
              <w:left w:val="single" w:color="auto" w:sz="8" w:space="0"/>
              <w:bottom w:val="single" w:color="auto" w:sz="8" w:space="0"/>
              <w:right w:val="single" w:color="auto" w:sz="8" w:space="0"/>
            </w:tcBorders>
            <w:vAlign w:val="center"/>
          </w:tcPr>
          <w:p w14:paraId="09E139B2">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响应文件是否退还</w:t>
            </w:r>
          </w:p>
        </w:tc>
        <w:tc>
          <w:tcPr>
            <w:tcW w:w="7316" w:type="dxa"/>
            <w:tcBorders>
              <w:top w:val="single" w:color="auto" w:sz="8" w:space="0"/>
              <w:left w:val="single" w:color="auto" w:sz="8" w:space="0"/>
              <w:bottom w:val="single" w:color="auto" w:sz="8" w:space="0"/>
            </w:tcBorders>
            <w:vAlign w:val="center"/>
          </w:tcPr>
          <w:p w14:paraId="37F912BE">
            <w:pPr>
              <w:autoSpaceDE w:val="0"/>
              <w:autoSpaceDN w:val="0"/>
              <w:adjustRightInd w:val="0"/>
              <w:snapToGrid w:val="0"/>
              <w:spacing w:line="360" w:lineRule="exact"/>
              <w:ind w:firstLine="210" w:firstLineChars="100"/>
              <w:jc w:val="left"/>
              <w:rPr>
                <w:rFonts w:ascii="MS Mincho" w:hAnsi="MS Mincho" w:eastAsia="宋体" w:cs="MS Mincho"/>
                <w:color w:val="auto"/>
                <w:kern w:val="2"/>
                <w:sz w:val="21"/>
                <w:szCs w:val="24"/>
                <w:lang w:val="zh-CN" w:eastAsia="zh-CN" w:bidi="ar-SA"/>
              </w:rPr>
            </w:pPr>
            <w:r>
              <w:rPr>
                <w:rFonts w:hint="eastAsia" w:ascii="宋体" w:hAnsi="宋体"/>
                <w:color w:val="auto"/>
              </w:rPr>
              <w:t>否</w:t>
            </w:r>
          </w:p>
        </w:tc>
      </w:tr>
      <w:tr w14:paraId="00F42EF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999" w:hRule="exact"/>
          <w:jc w:val="center"/>
        </w:trPr>
        <w:tc>
          <w:tcPr>
            <w:tcW w:w="640" w:type="dxa"/>
            <w:tcBorders>
              <w:top w:val="single" w:color="auto" w:sz="8" w:space="0"/>
              <w:bottom w:val="single" w:color="auto" w:sz="8" w:space="0"/>
              <w:right w:val="single" w:color="auto" w:sz="8" w:space="0"/>
            </w:tcBorders>
            <w:vAlign w:val="center"/>
          </w:tcPr>
          <w:p w14:paraId="2AE1062E">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r>
              <w:rPr>
                <w:rFonts w:hint="eastAsia" w:cs="Courier New"/>
                <w:color w:val="auto"/>
                <w:sz w:val="21"/>
                <w:szCs w:val="21"/>
              </w:rPr>
              <w:t>6</w:t>
            </w:r>
          </w:p>
        </w:tc>
        <w:tc>
          <w:tcPr>
            <w:tcW w:w="2182" w:type="dxa"/>
            <w:tcBorders>
              <w:top w:val="single" w:color="auto" w:sz="8" w:space="0"/>
              <w:left w:val="single" w:color="auto" w:sz="8" w:space="0"/>
              <w:bottom w:val="single" w:color="auto" w:sz="8" w:space="0"/>
              <w:right w:val="single" w:color="auto" w:sz="8" w:space="0"/>
            </w:tcBorders>
            <w:vAlign w:val="center"/>
          </w:tcPr>
          <w:p w14:paraId="0ACFCF86">
            <w:pPr>
              <w:pStyle w:val="27"/>
              <w:snapToGrid w:val="0"/>
              <w:spacing w:line="360" w:lineRule="exact"/>
              <w:jc w:val="center"/>
              <w:rPr>
                <w:color w:val="auto"/>
                <w:sz w:val="21"/>
                <w:szCs w:val="21"/>
                <w:lang w:val="zh-CN"/>
              </w:rPr>
            </w:pPr>
            <w:r>
              <w:rPr>
                <w:rFonts w:hint="eastAsia"/>
                <w:color w:val="auto"/>
                <w:sz w:val="21"/>
                <w:szCs w:val="21"/>
                <w:lang w:val="zh-CN"/>
              </w:rPr>
              <w:t>开启响应文件时间和</w:t>
            </w:r>
          </w:p>
          <w:p w14:paraId="121B526F">
            <w:pPr>
              <w:pStyle w:val="27"/>
              <w:snapToGrid w:val="0"/>
              <w:spacing w:line="360" w:lineRule="exact"/>
              <w:jc w:val="center"/>
              <w:rPr>
                <w:rFonts w:ascii="宋体" w:hAnsi="宋体" w:eastAsia="宋体" w:cs="Arial"/>
                <w:color w:val="auto"/>
                <w:sz w:val="21"/>
                <w:szCs w:val="21"/>
                <w:lang w:val="zh-CN" w:eastAsia="zh-CN" w:bidi="ar-SA"/>
              </w:rPr>
            </w:pPr>
            <w:r>
              <w:rPr>
                <w:rFonts w:hint="eastAsia"/>
                <w:color w:val="auto"/>
                <w:sz w:val="21"/>
                <w:szCs w:val="21"/>
                <w:lang w:val="zh-CN"/>
              </w:rPr>
              <w:t>地点</w:t>
            </w:r>
          </w:p>
        </w:tc>
        <w:tc>
          <w:tcPr>
            <w:tcW w:w="7316" w:type="dxa"/>
            <w:tcBorders>
              <w:top w:val="single" w:color="auto" w:sz="8" w:space="0"/>
              <w:left w:val="single" w:color="auto" w:sz="8" w:space="0"/>
              <w:bottom w:val="single" w:color="auto" w:sz="8" w:space="0"/>
            </w:tcBorders>
            <w:vAlign w:val="center"/>
          </w:tcPr>
          <w:p w14:paraId="387B9E3B">
            <w:pPr>
              <w:pStyle w:val="27"/>
              <w:snapToGrid w:val="0"/>
              <w:spacing w:line="360" w:lineRule="exact"/>
              <w:ind w:firstLine="210" w:firstLineChars="100"/>
              <w:rPr>
                <w:color w:val="auto"/>
                <w:sz w:val="21"/>
                <w:szCs w:val="21"/>
                <w:lang w:val="zh-CN"/>
              </w:rPr>
            </w:pPr>
            <w:r>
              <w:rPr>
                <w:rFonts w:hint="eastAsia"/>
                <w:color w:val="auto"/>
                <w:sz w:val="21"/>
                <w:szCs w:val="21"/>
                <w:lang w:val="zh-CN"/>
              </w:rPr>
              <w:t>开启响应文件时间：同提交响应文件截至时间</w:t>
            </w:r>
          </w:p>
          <w:p w14:paraId="4B750315">
            <w:pPr>
              <w:pStyle w:val="27"/>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开启响应文件地点：同提交响应文件地点</w:t>
            </w:r>
          </w:p>
        </w:tc>
      </w:tr>
      <w:tr w14:paraId="3E66906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850" w:hRule="atLeast"/>
          <w:jc w:val="center"/>
        </w:trPr>
        <w:tc>
          <w:tcPr>
            <w:tcW w:w="640" w:type="dxa"/>
            <w:tcBorders>
              <w:top w:val="single" w:color="auto" w:sz="8" w:space="0"/>
              <w:bottom w:val="single" w:color="auto" w:sz="8" w:space="0"/>
              <w:right w:val="single" w:color="auto" w:sz="8" w:space="0"/>
            </w:tcBorders>
            <w:vAlign w:val="center"/>
          </w:tcPr>
          <w:p w14:paraId="019BD529">
            <w:pPr>
              <w:pStyle w:val="27"/>
              <w:snapToGrid w:val="0"/>
              <w:spacing w:line="360" w:lineRule="exact"/>
              <w:jc w:val="center"/>
              <w:rPr>
                <w:rFonts w:cs="Arial"/>
                <w:color w:val="auto"/>
                <w:sz w:val="21"/>
                <w:szCs w:val="21"/>
                <w:lang w:val="zh-CN"/>
              </w:rPr>
            </w:pPr>
            <w:r>
              <w:rPr>
                <w:rFonts w:hint="eastAsia" w:cs="Courier New"/>
                <w:color w:val="auto"/>
                <w:sz w:val="21"/>
                <w:szCs w:val="21"/>
                <w:lang w:val="zh-CN"/>
              </w:rPr>
              <w:t>3</w:t>
            </w:r>
            <w:r>
              <w:rPr>
                <w:rFonts w:hint="eastAsia" w:cs="Courier New"/>
                <w:color w:val="auto"/>
                <w:sz w:val="21"/>
                <w:szCs w:val="21"/>
              </w:rPr>
              <w:t>7</w:t>
            </w:r>
          </w:p>
        </w:tc>
        <w:tc>
          <w:tcPr>
            <w:tcW w:w="2182" w:type="dxa"/>
            <w:tcBorders>
              <w:top w:val="single" w:color="auto" w:sz="8" w:space="0"/>
              <w:left w:val="single" w:color="auto" w:sz="8" w:space="0"/>
              <w:bottom w:val="single" w:color="auto" w:sz="8" w:space="0"/>
              <w:right w:val="single" w:color="auto" w:sz="8" w:space="0"/>
            </w:tcBorders>
            <w:vAlign w:val="center"/>
          </w:tcPr>
          <w:p w14:paraId="12676B4E">
            <w:pPr>
              <w:pStyle w:val="27"/>
              <w:snapToGrid w:val="0"/>
              <w:spacing w:line="360" w:lineRule="exact"/>
              <w:ind w:left="96" w:leftChars="0"/>
              <w:jc w:val="center"/>
              <w:rPr>
                <w:rFonts w:ascii="宋体" w:hAnsi="宋体" w:eastAsia="宋体" w:cs="宋体"/>
                <w:color w:val="auto"/>
                <w:sz w:val="21"/>
                <w:szCs w:val="21"/>
                <w:lang w:val="zh-CN" w:eastAsia="zh-CN" w:bidi="ar-SA"/>
              </w:rPr>
            </w:pPr>
            <w:r>
              <w:rPr>
                <w:rFonts w:hint="eastAsia"/>
                <w:color w:val="auto"/>
                <w:sz w:val="21"/>
                <w:szCs w:val="21"/>
                <w:lang w:val="zh-CN"/>
              </w:rPr>
              <w:t>磋商小组的组建</w:t>
            </w:r>
          </w:p>
        </w:tc>
        <w:tc>
          <w:tcPr>
            <w:tcW w:w="7316" w:type="dxa"/>
            <w:tcBorders>
              <w:top w:val="single" w:color="auto" w:sz="8" w:space="0"/>
              <w:left w:val="single" w:color="auto" w:sz="8" w:space="0"/>
              <w:bottom w:val="single" w:color="auto" w:sz="8" w:space="0"/>
            </w:tcBorders>
            <w:vAlign w:val="center"/>
          </w:tcPr>
          <w:p w14:paraId="618B29B4">
            <w:pPr>
              <w:pStyle w:val="27"/>
              <w:snapToGrid w:val="0"/>
              <w:spacing w:line="360" w:lineRule="exact"/>
              <w:ind w:left="634" w:leftChars="102" w:hanging="420" w:hangingChars="200"/>
              <w:rPr>
                <w:color w:val="auto"/>
                <w:sz w:val="21"/>
                <w:szCs w:val="21"/>
                <w:lang w:val="zh-CN"/>
              </w:rPr>
            </w:pPr>
            <w:r>
              <w:rPr>
                <w:rFonts w:hint="eastAsia"/>
                <w:color w:val="auto"/>
                <w:sz w:val="21"/>
                <w:szCs w:val="21"/>
                <w:lang w:val="zh-CN"/>
              </w:rPr>
              <w:t>磋商小组构成形式、人数，评审专家确定方式：</w:t>
            </w:r>
          </w:p>
          <w:p w14:paraId="297AE1E9">
            <w:pPr>
              <w:pStyle w:val="27"/>
              <w:snapToGrid w:val="0"/>
              <w:spacing w:line="360" w:lineRule="exact"/>
              <w:ind w:left="634" w:leftChars="102" w:hanging="420" w:hangingChars="200"/>
              <w:rPr>
                <w:rFonts w:ascii="宋体" w:hAnsi="宋体" w:eastAsia="宋体" w:cs="宋体"/>
                <w:color w:val="auto"/>
                <w:sz w:val="21"/>
                <w:szCs w:val="21"/>
                <w:lang w:val="zh-CN" w:eastAsia="zh-CN" w:bidi="ar-SA"/>
              </w:rPr>
            </w:pPr>
            <w:r>
              <w:rPr>
                <w:rFonts w:hint="eastAsia"/>
                <w:color w:val="auto"/>
                <w:sz w:val="21"/>
                <w:szCs w:val="21"/>
                <w:lang w:val="zh-CN"/>
              </w:rPr>
              <w:t>详见供应商须知第7.1.1条款</w:t>
            </w:r>
          </w:p>
        </w:tc>
      </w:tr>
      <w:tr w14:paraId="69BA6E6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5" w:hRule="atLeast"/>
          <w:jc w:val="center"/>
        </w:trPr>
        <w:tc>
          <w:tcPr>
            <w:tcW w:w="640" w:type="dxa"/>
            <w:tcBorders>
              <w:top w:val="single" w:color="auto" w:sz="8" w:space="0"/>
              <w:bottom w:val="single" w:color="auto" w:sz="8" w:space="0"/>
              <w:right w:val="single" w:color="auto" w:sz="8" w:space="0"/>
            </w:tcBorders>
            <w:vAlign w:val="center"/>
          </w:tcPr>
          <w:p w14:paraId="387CF7B3">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r>
              <w:rPr>
                <w:rFonts w:hint="eastAsia" w:cs="Courier New"/>
                <w:color w:val="auto"/>
                <w:sz w:val="21"/>
                <w:szCs w:val="21"/>
              </w:rPr>
              <w:t>8</w:t>
            </w:r>
          </w:p>
        </w:tc>
        <w:tc>
          <w:tcPr>
            <w:tcW w:w="2182" w:type="dxa"/>
            <w:tcBorders>
              <w:top w:val="single" w:color="auto" w:sz="8" w:space="0"/>
              <w:left w:val="single" w:color="auto" w:sz="8" w:space="0"/>
              <w:bottom w:val="single" w:color="auto" w:sz="8" w:space="0"/>
              <w:right w:val="single" w:color="auto" w:sz="8" w:space="0"/>
            </w:tcBorders>
            <w:vAlign w:val="center"/>
          </w:tcPr>
          <w:p w14:paraId="26B159DF">
            <w:pPr>
              <w:pStyle w:val="27"/>
              <w:snapToGrid w:val="0"/>
              <w:spacing w:line="360" w:lineRule="exact"/>
              <w:ind w:left="96" w:leftChars="0"/>
              <w:jc w:val="center"/>
              <w:rPr>
                <w:rFonts w:ascii="宋体" w:hAnsi="宋体" w:eastAsia="宋体" w:cs="宋体"/>
                <w:color w:val="auto"/>
                <w:sz w:val="21"/>
                <w:szCs w:val="21"/>
                <w:lang w:val="zh-CN" w:eastAsia="zh-CN" w:bidi="ar-SA"/>
              </w:rPr>
            </w:pPr>
            <w:r>
              <w:rPr>
                <w:rFonts w:hint="eastAsia"/>
                <w:color w:val="auto"/>
                <w:sz w:val="21"/>
                <w:szCs w:val="21"/>
                <w:lang w:val="zh-CN"/>
              </w:rPr>
              <w:t>磋商办法</w:t>
            </w:r>
          </w:p>
        </w:tc>
        <w:tc>
          <w:tcPr>
            <w:tcW w:w="7316" w:type="dxa"/>
            <w:tcBorders>
              <w:top w:val="single" w:color="auto" w:sz="8" w:space="0"/>
              <w:left w:val="single" w:color="auto" w:sz="8" w:space="0"/>
              <w:bottom w:val="single" w:color="auto" w:sz="8" w:space="0"/>
            </w:tcBorders>
            <w:vAlign w:val="center"/>
          </w:tcPr>
          <w:p w14:paraId="20A8D1A3">
            <w:pPr>
              <w:pStyle w:val="27"/>
              <w:snapToGrid w:val="0"/>
              <w:spacing w:line="360" w:lineRule="exact"/>
              <w:ind w:left="634" w:leftChars="102" w:hanging="420" w:hangingChars="200"/>
              <w:rPr>
                <w:rFonts w:ascii="宋体" w:hAnsi="宋体" w:eastAsia="宋体" w:cs="宋体"/>
                <w:color w:val="auto"/>
                <w:sz w:val="21"/>
                <w:szCs w:val="21"/>
                <w:lang w:val="zh-CN" w:eastAsia="zh-CN" w:bidi="ar-SA"/>
              </w:rPr>
            </w:pPr>
            <w:r>
              <w:rPr>
                <w:rFonts w:hint="eastAsia"/>
                <w:color w:val="auto"/>
                <w:sz w:val="21"/>
                <w:szCs w:val="21"/>
                <w:lang w:val="zh-CN"/>
              </w:rPr>
              <w:t>详见第三章磋商办法</w:t>
            </w:r>
          </w:p>
        </w:tc>
      </w:tr>
      <w:tr w14:paraId="4418B109">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67" w:hRule="atLeast"/>
          <w:jc w:val="center"/>
        </w:trPr>
        <w:tc>
          <w:tcPr>
            <w:tcW w:w="640" w:type="dxa"/>
            <w:tcBorders>
              <w:top w:val="single" w:color="auto" w:sz="8" w:space="0"/>
              <w:bottom w:val="single" w:color="auto" w:sz="8" w:space="0"/>
              <w:right w:val="single" w:color="auto" w:sz="8" w:space="0"/>
            </w:tcBorders>
            <w:vAlign w:val="center"/>
          </w:tcPr>
          <w:p w14:paraId="1B1BE2E9">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3</w:t>
            </w:r>
            <w:r>
              <w:rPr>
                <w:rFonts w:hint="eastAsia" w:cs="Courier New"/>
                <w:color w:val="auto"/>
                <w:sz w:val="21"/>
                <w:szCs w:val="21"/>
              </w:rPr>
              <w:t>9</w:t>
            </w:r>
          </w:p>
        </w:tc>
        <w:tc>
          <w:tcPr>
            <w:tcW w:w="2182" w:type="dxa"/>
            <w:tcBorders>
              <w:top w:val="single" w:color="auto" w:sz="8" w:space="0"/>
              <w:left w:val="single" w:color="auto" w:sz="8" w:space="0"/>
              <w:bottom w:val="single" w:color="auto" w:sz="8" w:space="0"/>
              <w:right w:val="single" w:color="auto" w:sz="8" w:space="0"/>
            </w:tcBorders>
            <w:vAlign w:val="center"/>
          </w:tcPr>
          <w:p w14:paraId="489D84B3">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磋商小组推荐成交候选供应商的家数</w:t>
            </w:r>
          </w:p>
        </w:tc>
        <w:tc>
          <w:tcPr>
            <w:tcW w:w="7316" w:type="dxa"/>
            <w:tcBorders>
              <w:top w:val="single" w:color="auto" w:sz="8" w:space="0"/>
              <w:left w:val="single" w:color="auto" w:sz="8" w:space="0"/>
              <w:bottom w:val="single" w:color="auto" w:sz="8" w:space="0"/>
            </w:tcBorders>
            <w:vAlign w:val="center"/>
          </w:tcPr>
          <w:p w14:paraId="7C8FC75F">
            <w:pPr>
              <w:pStyle w:val="27"/>
              <w:snapToGrid w:val="0"/>
              <w:spacing w:line="360" w:lineRule="exact"/>
              <w:rPr>
                <w:rFonts w:ascii="宋体" w:hAnsi="宋体" w:eastAsia="宋体" w:cs="宋体"/>
                <w:color w:val="auto"/>
                <w:sz w:val="21"/>
                <w:szCs w:val="21"/>
                <w:lang w:val="zh-CN" w:eastAsia="zh-CN" w:bidi="ar-SA"/>
              </w:rPr>
            </w:pPr>
            <w:r>
              <w:rPr>
                <w:rFonts w:hint="eastAsia"/>
                <w:color w:val="auto"/>
                <w:sz w:val="21"/>
                <w:szCs w:val="21"/>
                <w:lang w:val="zh-CN"/>
              </w:rPr>
              <w:t xml:space="preserve">  3 </w:t>
            </w:r>
          </w:p>
        </w:tc>
      </w:tr>
      <w:tr w14:paraId="35116AA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21" w:hRule="atLeast"/>
          <w:jc w:val="center"/>
        </w:trPr>
        <w:tc>
          <w:tcPr>
            <w:tcW w:w="640" w:type="dxa"/>
            <w:tcBorders>
              <w:top w:val="single" w:color="auto" w:sz="8" w:space="0"/>
              <w:bottom w:val="single" w:color="auto" w:sz="8" w:space="0"/>
              <w:right w:val="single" w:color="auto" w:sz="8" w:space="0"/>
            </w:tcBorders>
            <w:vAlign w:val="center"/>
          </w:tcPr>
          <w:p w14:paraId="06D6292B">
            <w:pPr>
              <w:pStyle w:val="27"/>
              <w:snapToGrid w:val="0"/>
              <w:spacing w:line="360" w:lineRule="exact"/>
              <w:jc w:val="center"/>
              <w:rPr>
                <w:rFonts w:cs="Courier New"/>
                <w:color w:val="auto"/>
                <w:sz w:val="21"/>
                <w:szCs w:val="21"/>
              </w:rPr>
            </w:pPr>
            <w:r>
              <w:rPr>
                <w:rFonts w:hint="eastAsia" w:cs="Courier New"/>
                <w:color w:val="auto"/>
                <w:sz w:val="21"/>
                <w:szCs w:val="21"/>
              </w:rPr>
              <w:t>40</w:t>
            </w:r>
          </w:p>
        </w:tc>
        <w:tc>
          <w:tcPr>
            <w:tcW w:w="2182" w:type="dxa"/>
            <w:tcBorders>
              <w:top w:val="single" w:color="auto" w:sz="8" w:space="0"/>
              <w:left w:val="single" w:color="auto" w:sz="8" w:space="0"/>
              <w:bottom w:val="single" w:color="auto" w:sz="8" w:space="0"/>
              <w:right w:val="single" w:color="auto" w:sz="8" w:space="0"/>
            </w:tcBorders>
            <w:vAlign w:val="center"/>
          </w:tcPr>
          <w:p w14:paraId="566D1405">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是否授权磋商小组确定成交供应商</w:t>
            </w:r>
          </w:p>
        </w:tc>
        <w:tc>
          <w:tcPr>
            <w:tcW w:w="7316" w:type="dxa"/>
            <w:tcBorders>
              <w:top w:val="single" w:color="auto" w:sz="8" w:space="0"/>
              <w:left w:val="single" w:color="auto" w:sz="8" w:space="0"/>
              <w:bottom w:val="single" w:color="auto" w:sz="8" w:space="0"/>
            </w:tcBorders>
            <w:vAlign w:val="center"/>
          </w:tcPr>
          <w:p w14:paraId="155E2536">
            <w:pPr>
              <w:pStyle w:val="27"/>
              <w:tabs>
                <w:tab w:val="left" w:pos="561"/>
              </w:tabs>
              <w:snapToGrid w:val="0"/>
              <w:spacing w:line="360" w:lineRule="exact"/>
              <w:ind w:firstLine="210" w:firstLineChars="100"/>
              <w:rPr>
                <w:rFonts w:ascii="宋体" w:hAnsi="宋体" w:eastAsia="宋体" w:cs="宋体"/>
                <w:color w:val="auto"/>
                <w:sz w:val="21"/>
                <w:szCs w:val="21"/>
                <w:lang w:val="zh-CN" w:eastAsia="zh-CN" w:bidi="ar-SA"/>
              </w:rPr>
            </w:pPr>
            <w:r>
              <w:rPr>
                <w:rFonts w:hint="eastAsia"/>
                <w:color w:val="auto"/>
                <w:sz w:val="21"/>
                <w:szCs w:val="21"/>
                <w:lang w:val="zh-CN"/>
              </w:rPr>
              <w:t>否</w:t>
            </w:r>
          </w:p>
        </w:tc>
      </w:tr>
      <w:tr w14:paraId="4AC08C14">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34" w:hRule="atLeast"/>
          <w:jc w:val="center"/>
        </w:trPr>
        <w:tc>
          <w:tcPr>
            <w:tcW w:w="640" w:type="dxa"/>
            <w:tcBorders>
              <w:top w:val="single" w:color="auto" w:sz="8" w:space="0"/>
              <w:bottom w:val="single" w:color="auto" w:sz="8" w:space="0"/>
              <w:right w:val="single" w:color="auto" w:sz="8" w:space="0"/>
            </w:tcBorders>
            <w:vAlign w:val="center"/>
          </w:tcPr>
          <w:p w14:paraId="130C6242">
            <w:pPr>
              <w:pStyle w:val="27"/>
              <w:snapToGrid w:val="0"/>
              <w:spacing w:line="360" w:lineRule="exact"/>
              <w:jc w:val="center"/>
              <w:rPr>
                <w:rFonts w:cs="Courier New"/>
                <w:color w:val="auto"/>
                <w:sz w:val="21"/>
                <w:szCs w:val="21"/>
              </w:rPr>
            </w:pPr>
            <w:r>
              <w:rPr>
                <w:rFonts w:hint="eastAsia" w:cs="Courier New"/>
                <w:color w:val="auto"/>
                <w:sz w:val="21"/>
                <w:szCs w:val="21"/>
              </w:rPr>
              <w:t>41</w:t>
            </w:r>
          </w:p>
        </w:tc>
        <w:tc>
          <w:tcPr>
            <w:tcW w:w="2182" w:type="dxa"/>
            <w:tcBorders>
              <w:top w:val="single" w:color="auto" w:sz="8" w:space="0"/>
              <w:left w:val="single" w:color="auto" w:sz="8" w:space="0"/>
              <w:bottom w:val="single" w:color="auto" w:sz="8" w:space="0"/>
              <w:right w:val="single" w:color="auto" w:sz="8" w:space="0"/>
            </w:tcBorders>
            <w:vAlign w:val="center"/>
          </w:tcPr>
          <w:p w14:paraId="5F6C96D0">
            <w:pPr>
              <w:pStyle w:val="27"/>
              <w:snapToGrid w:val="0"/>
              <w:spacing w:line="360" w:lineRule="exact"/>
              <w:ind w:left="96" w:leftChars="0"/>
              <w:jc w:val="center"/>
              <w:rPr>
                <w:rFonts w:ascii="宋体" w:hAnsi="宋体" w:eastAsia="宋体" w:cs="宋体"/>
                <w:color w:val="auto"/>
                <w:sz w:val="21"/>
                <w:szCs w:val="21"/>
                <w:lang w:val="zh-CN" w:eastAsia="zh-CN" w:bidi="ar-SA"/>
              </w:rPr>
            </w:pPr>
            <w:r>
              <w:rPr>
                <w:rFonts w:hint="eastAsia"/>
                <w:color w:val="auto"/>
                <w:sz w:val="21"/>
                <w:szCs w:val="21"/>
                <w:lang w:val="zh-CN"/>
              </w:rPr>
              <w:t>发布成交公告的时间、媒介和期限</w:t>
            </w:r>
          </w:p>
        </w:tc>
        <w:tc>
          <w:tcPr>
            <w:tcW w:w="7316" w:type="dxa"/>
            <w:tcBorders>
              <w:top w:val="single" w:color="auto" w:sz="8" w:space="0"/>
              <w:left w:val="single" w:color="auto" w:sz="8" w:space="0"/>
              <w:bottom w:val="single" w:color="auto" w:sz="8" w:space="0"/>
            </w:tcBorders>
            <w:vAlign w:val="center"/>
          </w:tcPr>
          <w:p w14:paraId="1397AEF7">
            <w:pPr>
              <w:pStyle w:val="27"/>
              <w:snapToGrid w:val="0"/>
              <w:spacing w:line="360" w:lineRule="exact"/>
              <w:ind w:left="210"/>
              <w:rPr>
                <w:color w:val="auto"/>
                <w:sz w:val="21"/>
                <w:szCs w:val="21"/>
                <w:lang w:val="zh-CN"/>
              </w:rPr>
            </w:pPr>
            <w:r>
              <w:rPr>
                <w:rFonts w:hint="eastAsia"/>
                <w:color w:val="auto"/>
                <w:sz w:val="21"/>
                <w:szCs w:val="21"/>
                <w:lang w:val="zh-CN"/>
              </w:rPr>
              <w:t>公告时间：在确定成交供应商之日起</w:t>
            </w:r>
            <w:r>
              <w:rPr>
                <w:rFonts w:hint="eastAsia"/>
                <w:color w:val="auto"/>
                <w:sz w:val="21"/>
                <w:szCs w:val="21"/>
              </w:rPr>
              <w:t>2</w:t>
            </w:r>
            <w:r>
              <w:rPr>
                <w:rFonts w:hint="eastAsia"/>
                <w:color w:val="auto"/>
                <w:sz w:val="21"/>
                <w:szCs w:val="21"/>
                <w:lang w:val="zh-CN"/>
              </w:rPr>
              <w:t>个工作日内</w:t>
            </w:r>
          </w:p>
          <w:p w14:paraId="0016AC99">
            <w:pPr>
              <w:pStyle w:val="27"/>
              <w:snapToGrid w:val="0"/>
              <w:spacing w:line="360" w:lineRule="exact"/>
              <w:ind w:left="210"/>
              <w:rPr>
                <w:color w:val="auto"/>
                <w:sz w:val="21"/>
                <w:szCs w:val="21"/>
                <w:lang w:val="zh-CN"/>
              </w:rPr>
            </w:pPr>
            <w:r>
              <w:rPr>
                <w:rFonts w:hint="eastAsia"/>
                <w:color w:val="auto"/>
                <w:sz w:val="21"/>
                <w:szCs w:val="21"/>
                <w:lang w:val="zh-CN"/>
              </w:rPr>
              <w:t>公告媒介：陕西省政府采购网</w:t>
            </w:r>
          </w:p>
          <w:p w14:paraId="5D7973A3">
            <w:pPr>
              <w:pStyle w:val="27"/>
              <w:snapToGrid w:val="0"/>
              <w:spacing w:line="360" w:lineRule="exact"/>
              <w:ind w:left="210" w:leftChars="0"/>
              <w:rPr>
                <w:rFonts w:ascii="宋体" w:hAnsi="宋体" w:eastAsia="宋体" w:cs="宋体"/>
                <w:color w:val="auto"/>
                <w:sz w:val="21"/>
                <w:szCs w:val="21"/>
                <w:lang w:val="zh-CN" w:eastAsia="zh-CN" w:bidi="ar-SA"/>
              </w:rPr>
            </w:pPr>
            <w:r>
              <w:rPr>
                <w:rFonts w:hint="eastAsia"/>
                <w:color w:val="auto"/>
                <w:sz w:val="21"/>
                <w:szCs w:val="21"/>
                <w:lang w:val="zh-CN"/>
              </w:rPr>
              <w:t>公告期限：1个工作日</w:t>
            </w:r>
          </w:p>
        </w:tc>
      </w:tr>
      <w:tr w14:paraId="48F51040">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0" w:type="dxa"/>
            <w:tcBorders>
              <w:top w:val="single" w:color="auto" w:sz="8" w:space="0"/>
              <w:bottom w:val="single" w:color="auto" w:sz="8" w:space="0"/>
              <w:right w:val="single" w:color="auto" w:sz="8" w:space="0"/>
            </w:tcBorders>
            <w:vAlign w:val="center"/>
          </w:tcPr>
          <w:p w14:paraId="5B687C9D">
            <w:pPr>
              <w:pStyle w:val="27"/>
              <w:snapToGrid w:val="0"/>
              <w:spacing w:line="360" w:lineRule="exact"/>
              <w:jc w:val="center"/>
              <w:rPr>
                <w:rFonts w:cs="Courier New"/>
                <w:color w:val="auto"/>
                <w:sz w:val="21"/>
                <w:szCs w:val="21"/>
              </w:rPr>
            </w:pPr>
            <w:r>
              <w:rPr>
                <w:rFonts w:hint="eastAsia" w:cs="Courier New"/>
                <w:color w:val="auto"/>
                <w:sz w:val="21"/>
                <w:szCs w:val="21"/>
              </w:rPr>
              <w:t>42</w:t>
            </w:r>
          </w:p>
        </w:tc>
        <w:tc>
          <w:tcPr>
            <w:tcW w:w="2182" w:type="dxa"/>
            <w:tcBorders>
              <w:top w:val="single" w:color="auto" w:sz="8" w:space="0"/>
              <w:left w:val="single" w:color="auto" w:sz="8" w:space="0"/>
              <w:bottom w:val="single" w:color="auto" w:sz="8" w:space="0"/>
              <w:right w:val="single" w:color="auto" w:sz="8" w:space="0"/>
            </w:tcBorders>
            <w:vAlign w:val="center"/>
          </w:tcPr>
          <w:p w14:paraId="0C2814D7">
            <w:pPr>
              <w:pStyle w:val="27"/>
              <w:snapToGrid w:val="0"/>
              <w:spacing w:line="360" w:lineRule="exact"/>
              <w:ind w:left="96" w:leftChars="0"/>
              <w:jc w:val="center"/>
              <w:rPr>
                <w:rFonts w:ascii="宋体" w:hAnsi="宋体" w:eastAsia="宋体" w:cs="宋体"/>
                <w:color w:val="auto"/>
                <w:sz w:val="21"/>
                <w:szCs w:val="21"/>
                <w:lang w:val="zh-CN" w:eastAsia="zh-CN" w:bidi="ar-SA"/>
              </w:rPr>
            </w:pPr>
            <w:r>
              <w:rPr>
                <w:rFonts w:hint="eastAsia"/>
                <w:color w:val="auto"/>
                <w:sz w:val="21"/>
                <w:szCs w:val="21"/>
                <w:lang w:val="zh-CN"/>
              </w:rPr>
              <w:t>履约保证金</w:t>
            </w:r>
          </w:p>
        </w:tc>
        <w:tc>
          <w:tcPr>
            <w:tcW w:w="7316" w:type="dxa"/>
            <w:tcBorders>
              <w:top w:val="single" w:color="auto" w:sz="8" w:space="0"/>
              <w:left w:val="single" w:color="auto" w:sz="8" w:space="0"/>
              <w:bottom w:val="single" w:color="auto" w:sz="8" w:space="0"/>
            </w:tcBorders>
            <w:vAlign w:val="center"/>
          </w:tcPr>
          <w:p w14:paraId="219B7394">
            <w:pPr>
              <w:pStyle w:val="27"/>
              <w:snapToGrid w:val="0"/>
              <w:spacing w:line="360" w:lineRule="exact"/>
              <w:rPr>
                <w:rFonts w:ascii="宋体" w:hAnsi="宋体" w:eastAsia="宋体" w:cs="宋体"/>
                <w:color w:val="auto"/>
                <w:sz w:val="21"/>
                <w:szCs w:val="21"/>
                <w:lang w:val="zh-CN" w:eastAsia="zh-CN" w:bidi="ar-SA"/>
              </w:rPr>
            </w:pPr>
            <w:r>
              <w:rPr>
                <w:rFonts w:hint="eastAsia"/>
                <w:color w:val="auto"/>
                <w:sz w:val="21"/>
                <w:szCs w:val="21"/>
                <w:lang w:val="zh-CN"/>
              </w:rPr>
              <w:t xml:space="preserve">  不要求</w:t>
            </w:r>
          </w:p>
        </w:tc>
      </w:tr>
      <w:tr w14:paraId="3036039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593" w:hRule="atLeast"/>
          <w:jc w:val="center"/>
        </w:trPr>
        <w:tc>
          <w:tcPr>
            <w:tcW w:w="640" w:type="dxa"/>
            <w:tcBorders>
              <w:top w:val="single" w:color="auto" w:sz="8" w:space="0"/>
              <w:bottom w:val="single" w:color="auto" w:sz="8" w:space="0"/>
              <w:right w:val="single" w:color="auto" w:sz="8" w:space="0"/>
            </w:tcBorders>
            <w:vAlign w:val="center"/>
          </w:tcPr>
          <w:p w14:paraId="53995448">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4</w:t>
            </w:r>
            <w:r>
              <w:rPr>
                <w:rFonts w:hint="eastAsia" w:cs="Courier New"/>
                <w:color w:val="auto"/>
                <w:sz w:val="21"/>
                <w:szCs w:val="21"/>
              </w:rPr>
              <w:t>3</w:t>
            </w:r>
          </w:p>
        </w:tc>
        <w:tc>
          <w:tcPr>
            <w:tcW w:w="2182" w:type="dxa"/>
            <w:tcBorders>
              <w:top w:val="single" w:color="auto" w:sz="8" w:space="0"/>
              <w:left w:val="single" w:color="auto" w:sz="8" w:space="0"/>
              <w:bottom w:val="single" w:color="auto" w:sz="8" w:space="0"/>
              <w:right w:val="single" w:color="auto" w:sz="8" w:space="0"/>
            </w:tcBorders>
            <w:vAlign w:val="center"/>
          </w:tcPr>
          <w:p w14:paraId="64A11217">
            <w:pPr>
              <w:pStyle w:val="27"/>
              <w:snapToGrid w:val="0"/>
              <w:spacing w:line="360" w:lineRule="exact"/>
              <w:jc w:val="center"/>
              <w:rPr>
                <w:rFonts w:hint="eastAsia" w:ascii="宋体" w:hAnsi="宋体" w:eastAsia="宋体" w:cs="宋体"/>
                <w:color w:val="auto"/>
                <w:sz w:val="21"/>
                <w:szCs w:val="21"/>
                <w:lang w:val="en-US" w:eastAsia="zh-CN" w:bidi="ar-SA"/>
              </w:rPr>
            </w:pPr>
            <w:r>
              <w:rPr>
                <w:rFonts w:hint="eastAsia"/>
                <w:color w:val="auto"/>
                <w:sz w:val="21"/>
                <w:szCs w:val="21"/>
                <w:lang w:val="zh-CN"/>
              </w:rPr>
              <w:t>供应商信用信息查询截至</w:t>
            </w:r>
            <w:r>
              <w:rPr>
                <w:rFonts w:hint="eastAsia"/>
                <w:color w:val="auto"/>
                <w:sz w:val="21"/>
                <w:szCs w:val="21"/>
                <w:lang w:val="en-US" w:eastAsia="zh-CN"/>
              </w:rPr>
              <w:t>时间</w:t>
            </w:r>
          </w:p>
        </w:tc>
        <w:tc>
          <w:tcPr>
            <w:tcW w:w="7316" w:type="dxa"/>
            <w:tcBorders>
              <w:top w:val="single" w:color="auto" w:sz="8" w:space="0"/>
              <w:left w:val="single" w:color="auto" w:sz="8" w:space="0"/>
              <w:bottom w:val="single" w:color="auto" w:sz="8" w:space="0"/>
            </w:tcBorders>
            <w:vAlign w:val="center"/>
          </w:tcPr>
          <w:p w14:paraId="4BB4CB04">
            <w:pPr>
              <w:adjustRightInd w:val="0"/>
              <w:snapToGrid w:val="0"/>
              <w:spacing w:line="360" w:lineRule="exact"/>
              <w:ind w:left="210" w:leftChars="0" w:right="105" w:rightChars="50"/>
              <w:rPr>
                <w:rFonts w:hint="default" w:ascii="宋体" w:hAnsi="宋体" w:eastAsia="宋体" w:cs="Times New Roman"/>
                <w:color w:val="auto"/>
                <w:kern w:val="2"/>
                <w:sz w:val="21"/>
                <w:szCs w:val="21"/>
                <w:lang w:val="en-US" w:eastAsia="zh-CN" w:bidi="ar-SA"/>
              </w:rPr>
            </w:pPr>
            <w:r>
              <w:rPr>
                <w:rFonts w:hint="eastAsia" w:ascii="宋体" w:hAnsi="宋体"/>
                <w:color w:val="auto"/>
                <w:szCs w:val="21"/>
              </w:rPr>
              <w:t>磋商公告期限截至日至</w:t>
            </w:r>
            <w:r>
              <w:rPr>
                <w:rFonts w:hint="eastAsia" w:ascii="宋体" w:hAnsi="宋体"/>
                <w:color w:val="auto"/>
                <w:szCs w:val="21"/>
                <w:lang w:val="en-US" w:eastAsia="zh-CN"/>
              </w:rPr>
              <w:t>递交截止日</w:t>
            </w:r>
          </w:p>
        </w:tc>
      </w:tr>
      <w:tr w14:paraId="503982AC">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80" w:hRule="atLeast"/>
          <w:jc w:val="center"/>
        </w:trPr>
        <w:tc>
          <w:tcPr>
            <w:tcW w:w="640" w:type="dxa"/>
            <w:tcBorders>
              <w:top w:val="single" w:color="auto" w:sz="8" w:space="0"/>
              <w:bottom w:val="single" w:color="auto" w:sz="8" w:space="0"/>
              <w:right w:val="single" w:color="auto" w:sz="8" w:space="0"/>
            </w:tcBorders>
            <w:vAlign w:val="center"/>
          </w:tcPr>
          <w:p w14:paraId="7746389C">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4</w:t>
            </w:r>
            <w:r>
              <w:rPr>
                <w:rFonts w:hint="eastAsia" w:cs="Courier New"/>
                <w:color w:val="auto"/>
                <w:sz w:val="21"/>
                <w:szCs w:val="21"/>
              </w:rPr>
              <w:t>4</w:t>
            </w:r>
          </w:p>
        </w:tc>
        <w:tc>
          <w:tcPr>
            <w:tcW w:w="2182" w:type="dxa"/>
            <w:tcBorders>
              <w:top w:val="single" w:color="auto" w:sz="8" w:space="0"/>
              <w:left w:val="single" w:color="auto" w:sz="8" w:space="0"/>
              <w:bottom w:val="single" w:color="auto" w:sz="8" w:space="0"/>
              <w:right w:val="single" w:color="auto" w:sz="8" w:space="0"/>
            </w:tcBorders>
            <w:vAlign w:val="center"/>
          </w:tcPr>
          <w:p w14:paraId="0E938AFC">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开启响应文件现场是否演示与陈述响应文件</w:t>
            </w:r>
          </w:p>
        </w:tc>
        <w:tc>
          <w:tcPr>
            <w:tcW w:w="7316" w:type="dxa"/>
            <w:tcBorders>
              <w:top w:val="single" w:color="auto" w:sz="8" w:space="0"/>
              <w:left w:val="single" w:color="auto" w:sz="8" w:space="0"/>
              <w:bottom w:val="single" w:color="auto" w:sz="8" w:space="0"/>
            </w:tcBorders>
            <w:vAlign w:val="center"/>
          </w:tcPr>
          <w:p w14:paraId="627073CB">
            <w:pPr>
              <w:adjustRightInd w:val="0"/>
              <w:snapToGrid w:val="0"/>
              <w:spacing w:line="360" w:lineRule="exact"/>
              <w:ind w:right="105" w:rightChars="50" w:firstLine="210" w:firstLineChars="100"/>
              <w:rPr>
                <w:rFonts w:ascii="宋体" w:hAnsi="宋体" w:eastAsia="宋体" w:cs="Times New Roman"/>
                <w:color w:val="auto"/>
                <w:kern w:val="2"/>
                <w:sz w:val="21"/>
                <w:szCs w:val="21"/>
                <w:lang w:val="en-US" w:eastAsia="zh-CN" w:bidi="ar-SA"/>
              </w:rPr>
            </w:pPr>
            <w:r>
              <w:rPr>
                <w:rFonts w:hint="eastAsia" w:ascii="宋体" w:hAnsi="宋体"/>
                <w:color w:val="auto"/>
                <w:szCs w:val="21"/>
              </w:rPr>
              <w:t>不需要</w:t>
            </w:r>
          </w:p>
        </w:tc>
      </w:tr>
      <w:tr w14:paraId="1F3A5675">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694" w:hRule="atLeast"/>
          <w:jc w:val="center"/>
        </w:trPr>
        <w:tc>
          <w:tcPr>
            <w:tcW w:w="640" w:type="dxa"/>
            <w:tcBorders>
              <w:top w:val="single" w:color="auto" w:sz="8" w:space="0"/>
              <w:bottom w:val="single" w:color="auto" w:sz="8" w:space="0"/>
              <w:right w:val="single" w:color="auto" w:sz="8" w:space="0"/>
            </w:tcBorders>
            <w:vAlign w:val="center"/>
          </w:tcPr>
          <w:p w14:paraId="220D8703">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4</w:t>
            </w:r>
            <w:r>
              <w:rPr>
                <w:rFonts w:hint="eastAsia" w:cs="Courier New"/>
                <w:color w:val="auto"/>
                <w:sz w:val="21"/>
                <w:szCs w:val="21"/>
              </w:rPr>
              <w:t>5</w:t>
            </w:r>
          </w:p>
        </w:tc>
        <w:tc>
          <w:tcPr>
            <w:tcW w:w="2182" w:type="dxa"/>
            <w:tcBorders>
              <w:top w:val="single" w:color="auto" w:sz="8" w:space="0"/>
              <w:left w:val="single" w:color="auto" w:sz="8" w:space="0"/>
              <w:bottom w:val="single" w:color="auto" w:sz="8" w:space="0"/>
              <w:right w:val="single" w:color="auto" w:sz="8" w:space="0"/>
            </w:tcBorders>
            <w:vAlign w:val="center"/>
          </w:tcPr>
          <w:p w14:paraId="0FB575D8">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开启响应文件现场是否提供样品</w:t>
            </w:r>
          </w:p>
        </w:tc>
        <w:tc>
          <w:tcPr>
            <w:tcW w:w="7316" w:type="dxa"/>
            <w:tcBorders>
              <w:top w:val="single" w:color="auto" w:sz="8" w:space="0"/>
              <w:left w:val="single" w:color="auto" w:sz="8" w:space="0"/>
              <w:bottom w:val="single" w:color="auto" w:sz="8" w:space="0"/>
            </w:tcBorders>
            <w:vAlign w:val="center"/>
          </w:tcPr>
          <w:p w14:paraId="4EE576CA">
            <w:pPr>
              <w:adjustRightInd w:val="0"/>
              <w:snapToGrid w:val="0"/>
              <w:spacing w:line="360" w:lineRule="exact"/>
              <w:ind w:right="105" w:rightChars="50" w:firstLine="210" w:firstLineChars="100"/>
              <w:rPr>
                <w:rFonts w:ascii="宋体" w:hAnsi="宋体" w:eastAsia="宋体" w:cs="Times New Roman"/>
                <w:color w:val="auto"/>
                <w:kern w:val="2"/>
                <w:sz w:val="21"/>
                <w:szCs w:val="21"/>
                <w:lang w:val="en-US" w:eastAsia="zh-CN" w:bidi="ar-SA"/>
              </w:rPr>
            </w:pPr>
            <w:r>
              <w:rPr>
                <w:rFonts w:hint="eastAsia" w:ascii="宋体" w:hAnsi="宋体"/>
                <w:color w:val="auto"/>
                <w:szCs w:val="21"/>
              </w:rPr>
              <w:t>不需要</w:t>
            </w:r>
          </w:p>
        </w:tc>
      </w:tr>
      <w:tr w14:paraId="52DB943B">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748" w:hRule="atLeast"/>
          <w:jc w:val="center"/>
        </w:trPr>
        <w:tc>
          <w:tcPr>
            <w:tcW w:w="640" w:type="dxa"/>
            <w:tcBorders>
              <w:top w:val="single" w:color="auto" w:sz="8" w:space="0"/>
              <w:bottom w:val="single" w:color="auto" w:sz="8" w:space="0"/>
              <w:right w:val="single" w:color="auto" w:sz="8" w:space="0"/>
            </w:tcBorders>
            <w:vAlign w:val="center"/>
          </w:tcPr>
          <w:p w14:paraId="63F69E94">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4</w:t>
            </w:r>
            <w:r>
              <w:rPr>
                <w:rFonts w:hint="eastAsia" w:cs="Courier New"/>
                <w:color w:val="auto"/>
                <w:sz w:val="21"/>
                <w:szCs w:val="21"/>
              </w:rPr>
              <w:t>6</w:t>
            </w:r>
          </w:p>
        </w:tc>
        <w:tc>
          <w:tcPr>
            <w:tcW w:w="2182" w:type="dxa"/>
            <w:tcBorders>
              <w:top w:val="single" w:color="auto" w:sz="8" w:space="0"/>
              <w:left w:val="single" w:color="auto" w:sz="8" w:space="0"/>
              <w:bottom w:val="single" w:color="auto" w:sz="8" w:space="0"/>
              <w:right w:val="single" w:color="auto" w:sz="8" w:space="0"/>
            </w:tcBorders>
            <w:vAlign w:val="center"/>
          </w:tcPr>
          <w:p w14:paraId="21DBE7E5">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供应商资格要求</w:t>
            </w:r>
          </w:p>
        </w:tc>
        <w:tc>
          <w:tcPr>
            <w:tcW w:w="7316" w:type="dxa"/>
            <w:tcBorders>
              <w:top w:val="single" w:color="auto" w:sz="8" w:space="0"/>
              <w:left w:val="single" w:color="auto" w:sz="8" w:space="0"/>
              <w:bottom w:val="single" w:color="auto" w:sz="8" w:space="0"/>
            </w:tcBorders>
            <w:vAlign w:val="center"/>
          </w:tcPr>
          <w:p w14:paraId="55F4AACF">
            <w:pPr>
              <w:pStyle w:val="19"/>
              <w:snapToGrid w:val="0"/>
              <w:spacing w:before="0" w:beforeAutospacing="0" w:after="0" w:afterAutospacing="0" w:line="360" w:lineRule="auto"/>
              <w:ind w:firstLine="420" w:firstLineChars="200"/>
              <w:jc w:val="both"/>
              <w:textAlignment w:val="baseline"/>
              <w:rPr>
                <w:rFonts w:ascii="宋体" w:hAnsi="宋体" w:eastAsia="宋体" w:cs="宋体"/>
                <w:color w:val="auto"/>
                <w:kern w:val="0"/>
                <w:sz w:val="18"/>
                <w:szCs w:val="21"/>
                <w:lang w:val="zh-CN" w:eastAsia="zh-CN" w:bidi="ar-SA"/>
              </w:rPr>
            </w:pPr>
            <w:r>
              <w:rPr>
                <w:rFonts w:hint="eastAsia" w:cs="宋体"/>
                <w:color w:val="auto"/>
                <w:sz w:val="21"/>
                <w:szCs w:val="21"/>
                <w:shd w:val="clear" w:color="auto" w:fill="FFFFFF"/>
              </w:rPr>
              <w:t>（1）具有独立承担民事责任能力的法人、其他组织或自然人，并出具合法有效的营业执照或事业单位法人证书等国家规定的相关证明，自然人参与的提供其身份证明；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（2）具备地质灾害评估和治理工程勘察设计甲级及以上资质；</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（3）拟派项目负责人须具备相关专业中级及以上职称；</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4</w:t>
            </w:r>
            <w:r>
              <w:rPr>
                <w:rFonts w:hint="eastAsia" w:cs="宋体"/>
                <w:color w:val="auto"/>
                <w:sz w:val="21"/>
                <w:szCs w:val="21"/>
                <w:shd w:val="clear" w:color="auto" w:fill="FFFFFF"/>
              </w:rPr>
              <w:t>）法定代表人授权代表参加磋商的，提供法定代表人授权委托书及被授权人身份证原件；法定代表人参加磋商时,提供法定代表人身份证明及本人身份证原件；</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5</w:t>
            </w:r>
            <w:r>
              <w:rPr>
                <w:rFonts w:hint="eastAsia" w:cs="宋体"/>
                <w:color w:val="auto"/>
                <w:sz w:val="21"/>
                <w:szCs w:val="21"/>
                <w:shd w:val="clear" w:color="auto" w:fill="FFFFFF"/>
              </w:rPr>
              <w:t>）社会保障资金缴纳证明：供应商提供本单位响应截止时间前六个月内已缴纳的至少一个月的社会保障资金缴存单据或社保机构开具的社会保险参保缴费情况证明，单据或证明上应有社保机构或代收机构的公章。依法不需要缴纳社会保障资金的供应商应提供相关文件证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rPr>
              <w:t>）税收缴纳证明：供应商提供本单位响应截止时间前六个月内已缴纳的至少一个月的纳税证明或完税证明（增值税，印花税，企业所得税等一种或多种税种），依法免税的单位应提供相关证明材料；</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7</w:t>
            </w:r>
            <w:r>
              <w:rPr>
                <w:rFonts w:hint="eastAsia" w:cs="宋体"/>
                <w:color w:val="auto"/>
                <w:sz w:val="21"/>
                <w:szCs w:val="21"/>
                <w:shd w:val="clear" w:color="auto" w:fill="FFFFFF"/>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8</w:t>
            </w:r>
            <w:r>
              <w:rPr>
                <w:rFonts w:hint="eastAsia" w:cs="宋体"/>
                <w:color w:val="auto"/>
                <w:sz w:val="21"/>
                <w:szCs w:val="21"/>
                <w:shd w:val="clear" w:color="auto" w:fill="FFFFFF"/>
              </w:rPr>
              <w:t>）供应商应出具参加政府采购活动前3年内在经营活动中没有重大违法记录的书面声明；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9</w:t>
            </w:r>
            <w:r>
              <w:rPr>
                <w:rFonts w:hint="eastAsia" w:cs="宋体"/>
                <w:color w:val="auto"/>
                <w:sz w:val="21"/>
                <w:szCs w:val="21"/>
                <w:shd w:val="clear" w:color="auto" w:fill="FFFFFF"/>
              </w:rPr>
              <w:t>）供应商应出具履行合同所必需的设备和专业技术能力的承诺声明；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10</w:t>
            </w:r>
            <w:r>
              <w:rPr>
                <w:rFonts w:hint="eastAsia" w:cs="宋体"/>
                <w:color w:val="auto"/>
                <w:sz w:val="21"/>
                <w:szCs w:val="21"/>
                <w:shd w:val="clear" w:color="auto" w:fill="FFFFFF"/>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11</w:t>
            </w:r>
            <w:r>
              <w:rPr>
                <w:rFonts w:hint="eastAsia" w:cs="宋体"/>
                <w:color w:val="auto"/>
                <w:sz w:val="21"/>
                <w:szCs w:val="21"/>
                <w:shd w:val="clear" w:color="auto" w:fill="FFFFFF"/>
              </w:rPr>
              <w:t>）本项目不接受联合体磋商。</w:t>
            </w:r>
            <w:r>
              <w:rPr>
                <w:rFonts w:hint="eastAsia" w:asciiTheme="minorEastAsia" w:hAnsiTheme="minorEastAsia" w:eastAsiaTheme="minorEastAsia" w:cstheme="minorEastAsia"/>
                <w:color w:val="auto"/>
                <w:kern w:val="2"/>
                <w:sz w:val="21"/>
                <w:szCs w:val="21"/>
                <w:lang w:val="en-US" w:eastAsia="zh-CN" w:bidi="ar-SA"/>
              </w:rPr>
              <w:t xml:space="preserve">  </w:t>
            </w:r>
          </w:p>
        </w:tc>
      </w:tr>
      <w:tr w14:paraId="074B24CD">
        <w:tblPrEx>
          <w:tblBorders>
            <w:top w:val="single" w:color="auto" w:sz="4" w:space="0"/>
            <w:left w:val="single" w:color="auto" w:sz="4" w:space="0"/>
            <w:bottom w:val="single" w:color="auto" w:sz="4" w:space="0"/>
            <w:right w:val="single" w:color="auto" w:sz="4" w:space="0"/>
            <w:insideH w:val="single" w:color="auto" w:sz="8" w:space="0"/>
            <w:insideV w:val="single" w:color="auto" w:sz="8" w:space="0"/>
          </w:tblBorders>
          <w:tblCellMar>
            <w:top w:w="0" w:type="dxa"/>
            <w:left w:w="0" w:type="dxa"/>
            <w:bottom w:w="0" w:type="dxa"/>
            <w:right w:w="0" w:type="dxa"/>
          </w:tblCellMar>
        </w:tblPrEx>
        <w:trPr>
          <w:trHeight w:val="1754" w:hRule="atLeast"/>
          <w:jc w:val="center"/>
        </w:trPr>
        <w:tc>
          <w:tcPr>
            <w:tcW w:w="640" w:type="dxa"/>
            <w:tcBorders>
              <w:top w:val="single" w:color="auto" w:sz="8" w:space="0"/>
              <w:bottom w:val="single" w:color="auto" w:sz="8" w:space="0"/>
              <w:right w:val="single" w:color="auto" w:sz="8" w:space="0"/>
            </w:tcBorders>
            <w:vAlign w:val="center"/>
          </w:tcPr>
          <w:p w14:paraId="6E6EBBF9">
            <w:pPr>
              <w:pStyle w:val="27"/>
              <w:snapToGrid w:val="0"/>
              <w:spacing w:line="360" w:lineRule="exact"/>
              <w:jc w:val="center"/>
              <w:rPr>
                <w:rFonts w:cs="Courier New"/>
                <w:color w:val="auto"/>
                <w:sz w:val="21"/>
                <w:szCs w:val="21"/>
                <w:lang w:val="zh-CN"/>
              </w:rPr>
            </w:pPr>
            <w:r>
              <w:rPr>
                <w:rFonts w:hint="eastAsia" w:cs="Courier New"/>
                <w:color w:val="auto"/>
                <w:sz w:val="21"/>
                <w:szCs w:val="21"/>
                <w:lang w:val="zh-CN"/>
              </w:rPr>
              <w:t>4</w:t>
            </w:r>
            <w:r>
              <w:rPr>
                <w:rFonts w:hint="eastAsia" w:cs="Courier New"/>
                <w:color w:val="auto"/>
                <w:sz w:val="21"/>
                <w:szCs w:val="21"/>
              </w:rPr>
              <w:t>7</w:t>
            </w:r>
          </w:p>
        </w:tc>
        <w:tc>
          <w:tcPr>
            <w:tcW w:w="2182" w:type="dxa"/>
            <w:tcBorders>
              <w:top w:val="single" w:color="auto" w:sz="8" w:space="0"/>
              <w:left w:val="single" w:color="auto" w:sz="8" w:space="0"/>
              <w:bottom w:val="single" w:color="auto" w:sz="8" w:space="0"/>
              <w:right w:val="single" w:color="auto" w:sz="8" w:space="0"/>
            </w:tcBorders>
            <w:vAlign w:val="center"/>
          </w:tcPr>
          <w:p w14:paraId="6451A553">
            <w:pPr>
              <w:pStyle w:val="27"/>
              <w:snapToGrid w:val="0"/>
              <w:spacing w:line="360" w:lineRule="exact"/>
              <w:jc w:val="center"/>
              <w:rPr>
                <w:rFonts w:ascii="宋体" w:hAnsi="宋体" w:eastAsia="宋体" w:cs="宋体"/>
                <w:color w:val="auto"/>
                <w:sz w:val="21"/>
                <w:szCs w:val="21"/>
                <w:lang w:val="zh-CN" w:eastAsia="zh-CN" w:bidi="ar-SA"/>
              </w:rPr>
            </w:pPr>
            <w:r>
              <w:rPr>
                <w:rFonts w:hint="eastAsia"/>
                <w:color w:val="auto"/>
                <w:sz w:val="21"/>
                <w:szCs w:val="21"/>
                <w:lang w:val="zh-CN"/>
              </w:rPr>
              <w:t>其他</w:t>
            </w:r>
          </w:p>
        </w:tc>
        <w:tc>
          <w:tcPr>
            <w:tcW w:w="7316" w:type="dxa"/>
            <w:tcBorders>
              <w:top w:val="single" w:color="auto" w:sz="8" w:space="0"/>
              <w:left w:val="single" w:color="auto" w:sz="8" w:space="0"/>
              <w:bottom w:val="single" w:color="auto" w:sz="8" w:space="0"/>
            </w:tcBorders>
            <w:vAlign w:val="center"/>
          </w:tcPr>
          <w:p w14:paraId="2DB5D86F">
            <w:pPr>
              <w:spacing w:line="360" w:lineRule="auto"/>
              <w:ind w:firstLine="210" w:firstLineChars="100"/>
              <w:rPr>
                <w:rFonts w:ascii="宋体" w:hAnsi="宋体"/>
                <w:color w:val="auto"/>
                <w:szCs w:val="21"/>
              </w:rPr>
            </w:pPr>
            <w:r>
              <w:rPr>
                <w:rFonts w:hint="eastAsia" w:ascii="宋体" w:hAnsi="宋体"/>
                <w:color w:val="auto"/>
                <w:szCs w:val="21"/>
              </w:rPr>
              <w:t>代理服务费账户信息</w:t>
            </w:r>
          </w:p>
          <w:p w14:paraId="71CA4C00">
            <w:pPr>
              <w:spacing w:line="360" w:lineRule="auto"/>
              <w:ind w:firstLine="210" w:firstLineChars="100"/>
              <w:rPr>
                <w:rFonts w:ascii="宋体" w:hAnsi="宋体"/>
                <w:color w:val="auto"/>
                <w:szCs w:val="21"/>
              </w:rPr>
            </w:pPr>
            <w:r>
              <w:rPr>
                <w:rFonts w:hint="eastAsia" w:ascii="宋体" w:hAnsi="宋体"/>
                <w:color w:val="auto"/>
                <w:szCs w:val="21"/>
              </w:rPr>
              <w:t>开户名称：陕西优正项目管理有限公司</w:t>
            </w:r>
          </w:p>
          <w:p w14:paraId="170EF87D">
            <w:pPr>
              <w:spacing w:line="360" w:lineRule="auto"/>
              <w:ind w:firstLine="210" w:firstLineChars="100"/>
              <w:rPr>
                <w:rFonts w:ascii="宋体" w:hAnsi="宋体"/>
                <w:color w:val="auto"/>
                <w:szCs w:val="21"/>
              </w:rPr>
            </w:pPr>
            <w:r>
              <w:rPr>
                <w:rFonts w:hint="eastAsia" w:ascii="宋体" w:hAnsi="宋体"/>
                <w:color w:val="auto"/>
                <w:szCs w:val="21"/>
              </w:rPr>
              <w:t>开户银行：中国银行股份有限公司咸阳渭城区支行</w:t>
            </w:r>
          </w:p>
          <w:p w14:paraId="176954AC">
            <w:pPr>
              <w:spacing w:line="360" w:lineRule="auto"/>
              <w:ind w:firstLine="210" w:firstLineChars="100"/>
              <w:rPr>
                <w:rFonts w:ascii="Times New Roman" w:hAnsi="Times New Roman" w:eastAsia="宋体" w:cs="Times New Roman"/>
                <w:color w:val="auto"/>
                <w:kern w:val="2"/>
                <w:sz w:val="21"/>
                <w:szCs w:val="24"/>
                <w:lang w:val="zh-CN" w:eastAsia="zh-CN" w:bidi="ar-SA"/>
              </w:rPr>
            </w:pPr>
            <w:r>
              <w:rPr>
                <w:rFonts w:hint="eastAsia" w:ascii="宋体" w:hAnsi="宋体"/>
                <w:color w:val="auto"/>
                <w:szCs w:val="21"/>
              </w:rPr>
              <w:t>账    号：102075807616</w:t>
            </w:r>
          </w:p>
        </w:tc>
      </w:tr>
    </w:tbl>
    <w:p w14:paraId="6D841ED2">
      <w:pPr>
        <w:spacing w:before="0" w:after="120" w:afterLines="50" w:line="360" w:lineRule="exact"/>
        <w:outlineLvl w:val="9"/>
        <w:rPr>
          <w:bCs/>
          <w:color w:val="auto"/>
          <w:sz w:val="36"/>
          <w:szCs w:val="36"/>
        </w:rPr>
      </w:pPr>
      <w:r>
        <w:rPr>
          <w:color w:val="auto"/>
        </w:rPr>
        <w:br w:type="page"/>
      </w:r>
      <w:bookmarkEnd w:id="9"/>
      <w:bookmarkEnd w:id="10"/>
      <w:bookmarkEnd w:id="11"/>
      <w:bookmarkEnd w:id="12"/>
      <w:bookmarkEnd w:id="15"/>
      <w:bookmarkEnd w:id="16"/>
      <w:bookmarkEnd w:id="17"/>
      <w:bookmarkEnd w:id="18"/>
      <w:bookmarkEnd w:id="19"/>
      <w:bookmarkEnd w:id="20"/>
      <w:bookmarkEnd w:id="21"/>
      <w:bookmarkEnd w:id="22"/>
      <w:bookmarkStart w:id="23" w:name="_Toc217446034"/>
      <w:bookmarkStart w:id="24" w:name="_Toc183582205"/>
      <w:bookmarkStart w:id="25" w:name="_Toc183682342"/>
      <w:r>
        <w:rPr>
          <w:rFonts w:hint="eastAsia" w:ascii="黑体" w:hAnsi="黑体" w:cs="黑体"/>
          <w:b w:val="0"/>
          <w:color w:val="auto"/>
          <w:sz w:val="36"/>
          <w:szCs w:val="36"/>
        </w:rPr>
        <w:t xml:space="preserve"> </w:t>
      </w:r>
      <w:bookmarkStart w:id="26" w:name="_Toc89075873"/>
      <w:bookmarkStart w:id="27" w:name="_Toc183582204"/>
      <w:bookmarkStart w:id="28" w:name="_Toc217446033"/>
      <w:bookmarkStart w:id="29" w:name="_Toc183682341"/>
      <w:bookmarkStart w:id="30" w:name="_Toc77400778"/>
      <w:bookmarkStart w:id="31" w:name="_Toc16609"/>
      <w:bookmarkStart w:id="32" w:name="_Toc18074967"/>
      <w:r>
        <w:rPr>
          <w:rFonts w:hint="eastAsia" w:ascii="黑体" w:hAnsi="黑体" w:cs="黑体"/>
          <w:b w:val="0"/>
          <w:color w:val="auto"/>
          <w:sz w:val="36"/>
          <w:szCs w:val="36"/>
        </w:rPr>
        <w:t>1.总  则</w:t>
      </w:r>
      <w:bookmarkEnd w:id="26"/>
      <w:bookmarkEnd w:id="27"/>
      <w:bookmarkEnd w:id="28"/>
      <w:bookmarkEnd w:id="29"/>
      <w:bookmarkEnd w:id="30"/>
      <w:bookmarkEnd w:id="31"/>
      <w:bookmarkEnd w:id="32"/>
    </w:p>
    <w:p w14:paraId="41B53406">
      <w:pPr>
        <w:spacing w:line="360" w:lineRule="auto"/>
        <w:rPr>
          <w:b/>
          <w:bCs/>
          <w:color w:val="auto"/>
          <w:sz w:val="30"/>
          <w:szCs w:val="30"/>
        </w:rPr>
      </w:pPr>
      <w:bookmarkStart w:id="33" w:name="_Toc18074968"/>
      <w:r>
        <w:rPr>
          <w:rFonts w:hint="eastAsia" w:ascii="宋体" w:hAnsi="宋体"/>
          <w:b/>
          <w:color w:val="auto"/>
          <w:sz w:val="30"/>
          <w:szCs w:val="30"/>
        </w:rPr>
        <w:t>1.1适用范围</w:t>
      </w:r>
      <w:bookmarkEnd w:id="33"/>
    </w:p>
    <w:p w14:paraId="3DB3D087">
      <w:pPr>
        <w:tabs>
          <w:tab w:val="left" w:pos="7665"/>
        </w:tabs>
        <w:spacing w:line="360" w:lineRule="auto"/>
        <w:ind w:firstLine="420" w:firstLineChars="200"/>
        <w:rPr>
          <w:color w:val="auto"/>
          <w:szCs w:val="21"/>
        </w:rPr>
      </w:pPr>
      <w:r>
        <w:rPr>
          <w:rFonts w:hint="eastAsia"/>
          <w:color w:val="auto"/>
          <w:szCs w:val="21"/>
        </w:rPr>
        <w:t>1.1.1本竞争性磋商文件仅适用于本次竞争性磋商（以下简称磋商）所叙述的</w:t>
      </w:r>
      <w:r>
        <w:rPr>
          <w:rFonts w:hint="eastAsia"/>
          <w:color w:val="auto"/>
          <w:szCs w:val="21"/>
          <w:lang w:val="en-US" w:eastAsia="zh-CN"/>
        </w:rPr>
        <w:t>服务</w:t>
      </w:r>
      <w:r>
        <w:rPr>
          <w:rFonts w:hint="eastAsia"/>
          <w:color w:val="auto"/>
          <w:szCs w:val="21"/>
        </w:rPr>
        <w:t>项目采购活动。</w:t>
      </w:r>
    </w:p>
    <w:p w14:paraId="25701455">
      <w:pPr>
        <w:tabs>
          <w:tab w:val="left" w:pos="7665"/>
        </w:tabs>
        <w:spacing w:line="360" w:lineRule="auto"/>
        <w:ind w:firstLine="420" w:firstLineChars="200"/>
        <w:rPr>
          <w:rFonts w:ascii="宋体" w:hAnsi="宋体"/>
          <w:b/>
          <w:color w:val="auto"/>
          <w:sz w:val="30"/>
          <w:szCs w:val="30"/>
        </w:rPr>
      </w:pPr>
      <w:r>
        <w:rPr>
          <w:rFonts w:hint="eastAsia"/>
          <w:color w:val="auto"/>
          <w:szCs w:val="21"/>
        </w:rPr>
        <w:t>1.1.2供应商须知前附表规定专门面向中小企业采购的，仅适用中小微企业、监狱企业和残疾人福利性单位参加投标的采购活动。</w:t>
      </w:r>
    </w:p>
    <w:p w14:paraId="280C1BF4">
      <w:pPr>
        <w:tabs>
          <w:tab w:val="left" w:pos="7665"/>
        </w:tabs>
        <w:spacing w:before="120" w:beforeLines="50" w:after="120" w:afterLines="50" w:line="360" w:lineRule="auto"/>
        <w:ind w:firstLine="1"/>
        <w:rPr>
          <w:rFonts w:ascii="宋体" w:hAnsi="宋体"/>
          <w:b/>
          <w:color w:val="auto"/>
          <w:sz w:val="30"/>
          <w:szCs w:val="30"/>
        </w:rPr>
      </w:pPr>
      <w:r>
        <w:rPr>
          <w:rFonts w:hint="eastAsia" w:ascii="宋体" w:hAnsi="宋体"/>
          <w:b/>
          <w:color w:val="auto"/>
          <w:sz w:val="30"/>
          <w:szCs w:val="30"/>
        </w:rPr>
        <w:t>1.2</w:t>
      </w:r>
      <w:r>
        <w:rPr>
          <w:rFonts w:hint="eastAsia"/>
          <w:b/>
          <w:color w:val="auto"/>
          <w:sz w:val="30"/>
          <w:szCs w:val="30"/>
        </w:rPr>
        <w:t>名词解释</w:t>
      </w:r>
    </w:p>
    <w:p w14:paraId="0DCBB6D5">
      <w:pPr>
        <w:adjustRightInd w:val="0"/>
        <w:snapToGrid w:val="0"/>
        <w:spacing w:before="120" w:beforeLines="50" w:line="360" w:lineRule="auto"/>
        <w:ind w:firstLine="420" w:firstLineChars="200"/>
        <w:rPr>
          <w:rFonts w:ascii="宋体" w:hAnsi="宋体"/>
          <w:b/>
          <w:color w:val="auto"/>
          <w:szCs w:val="21"/>
        </w:rPr>
      </w:pPr>
      <w:r>
        <w:rPr>
          <w:rFonts w:hint="eastAsia" w:ascii="宋体" w:hAnsi="宋体"/>
          <w:color w:val="auto"/>
          <w:szCs w:val="21"/>
        </w:rPr>
        <w:t>1.2.1</w:t>
      </w:r>
      <w:r>
        <w:rPr>
          <w:rFonts w:hint="eastAsia" w:ascii="宋体" w:hAnsi="宋体"/>
          <w:b/>
          <w:color w:val="auto"/>
          <w:szCs w:val="21"/>
        </w:rPr>
        <w:t>采购人</w:t>
      </w:r>
      <w:r>
        <w:rPr>
          <w:rFonts w:hint="eastAsia" w:ascii="宋体" w:hAnsi="宋体"/>
          <w:color w:val="auto"/>
          <w:szCs w:val="21"/>
        </w:rPr>
        <w:t>系指依法进行政府采购的国家机关、事业单位、团体组织。本次采购的采购人名称、地址、电话、联系人见供应商须知前附表。</w:t>
      </w:r>
    </w:p>
    <w:p w14:paraId="0F19C115">
      <w:pPr>
        <w:adjustRightInd w:val="0"/>
        <w:snapToGrid w:val="0"/>
        <w:spacing w:line="360" w:lineRule="auto"/>
        <w:ind w:firstLine="420" w:firstLineChars="200"/>
        <w:rPr>
          <w:rFonts w:ascii="宋体" w:hAnsi="宋体"/>
          <w:color w:val="auto"/>
          <w:szCs w:val="21"/>
          <w:u w:val="single"/>
        </w:rPr>
      </w:pPr>
      <w:r>
        <w:rPr>
          <w:rFonts w:hint="eastAsia" w:ascii="宋体" w:hAnsi="宋体"/>
          <w:color w:val="auto"/>
          <w:szCs w:val="21"/>
        </w:rPr>
        <w:t>1.2.2</w:t>
      </w:r>
      <w:r>
        <w:rPr>
          <w:rFonts w:hint="eastAsia" w:ascii="宋体" w:hAnsi="宋体"/>
          <w:b/>
          <w:color w:val="auto"/>
          <w:szCs w:val="21"/>
        </w:rPr>
        <w:t>监督机构</w:t>
      </w:r>
      <w:r>
        <w:rPr>
          <w:rFonts w:hint="eastAsia" w:ascii="宋体" w:hAnsi="宋体"/>
          <w:color w:val="auto"/>
          <w:szCs w:val="21"/>
        </w:rPr>
        <w:t>系指政府采购行政监督管理部门。</w:t>
      </w:r>
    </w:p>
    <w:p w14:paraId="157D6471">
      <w:pPr>
        <w:adjustRightInd w:val="0"/>
        <w:snapToGrid w:val="0"/>
        <w:spacing w:line="360" w:lineRule="auto"/>
        <w:ind w:firstLine="420" w:firstLineChars="200"/>
        <w:rPr>
          <w:rFonts w:ascii="宋体" w:hAnsi="宋体"/>
          <w:b/>
          <w:color w:val="auto"/>
          <w:szCs w:val="21"/>
        </w:rPr>
      </w:pPr>
      <w:r>
        <w:rPr>
          <w:rFonts w:hint="eastAsia" w:ascii="宋体" w:hAnsi="宋体"/>
          <w:color w:val="auto"/>
          <w:szCs w:val="21"/>
        </w:rPr>
        <w:t>1.2.3</w:t>
      </w:r>
      <w:r>
        <w:rPr>
          <w:rFonts w:hint="eastAsia" w:ascii="宋体" w:hAnsi="宋体"/>
          <w:b/>
          <w:color w:val="auto"/>
          <w:szCs w:val="21"/>
        </w:rPr>
        <w:t>采购代理机构</w:t>
      </w:r>
      <w:r>
        <w:rPr>
          <w:rFonts w:hint="eastAsia" w:ascii="宋体" w:hAnsi="宋体"/>
          <w:color w:val="auto"/>
          <w:szCs w:val="21"/>
        </w:rPr>
        <w:t>系指接受采购人委托，代理采购项目的依法经财政部门认定资格的采购代理机构。本次采购的采购代理机构名称、地址、电话、联系人见供应商须知前附表。</w:t>
      </w:r>
    </w:p>
    <w:p w14:paraId="6C2A952C">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 xml:space="preserve">1.2.4 </w:t>
      </w:r>
      <w:r>
        <w:rPr>
          <w:rFonts w:hint="eastAsia" w:ascii="宋体" w:hAnsi="宋体"/>
          <w:b/>
          <w:color w:val="auto"/>
          <w:szCs w:val="21"/>
        </w:rPr>
        <w:t>供应商</w:t>
      </w:r>
      <w:r>
        <w:rPr>
          <w:rFonts w:hint="eastAsia" w:ascii="宋体" w:hAnsi="宋体"/>
          <w:color w:val="auto"/>
          <w:szCs w:val="21"/>
        </w:rPr>
        <w:t>是指响应和符合竞争性磋商文件（以下简称磋商文件）规定资格条件且参与磋商竞争的法人或其他组织或个人。</w:t>
      </w:r>
    </w:p>
    <w:p w14:paraId="6BB54954">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1.2.5 </w:t>
      </w:r>
      <w:r>
        <w:rPr>
          <w:rFonts w:hint="eastAsia" w:ascii="宋体" w:hAnsi="宋体"/>
          <w:b/>
          <w:bCs/>
          <w:color w:val="auto"/>
          <w:szCs w:val="21"/>
          <w:lang w:val="en-US" w:eastAsia="zh-CN"/>
        </w:rPr>
        <w:t>货物</w:t>
      </w:r>
      <w:r>
        <w:rPr>
          <w:rFonts w:hint="eastAsia" w:ascii="宋体" w:hAnsi="宋体"/>
          <w:color w:val="auto"/>
          <w:szCs w:val="21"/>
        </w:rPr>
        <w:t>是指</w:t>
      </w:r>
      <w:r>
        <w:rPr>
          <w:rFonts w:hint="eastAsia"/>
          <w:color w:val="auto"/>
          <w:szCs w:val="21"/>
        </w:rPr>
        <w:t>本磋商文件中第四章所述所有</w:t>
      </w:r>
      <w:r>
        <w:rPr>
          <w:rFonts w:hint="eastAsia"/>
          <w:color w:val="auto"/>
          <w:szCs w:val="21"/>
          <w:lang w:val="en-US" w:eastAsia="zh-CN"/>
        </w:rPr>
        <w:t>设备采购</w:t>
      </w:r>
      <w:r>
        <w:rPr>
          <w:rFonts w:hint="eastAsia"/>
          <w:color w:val="auto"/>
          <w:szCs w:val="21"/>
        </w:rPr>
        <w:t>。</w:t>
      </w:r>
    </w:p>
    <w:p w14:paraId="4DE87A19">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1.2.6 </w:t>
      </w:r>
      <w:r>
        <w:rPr>
          <w:rFonts w:hint="eastAsia" w:ascii="宋体" w:hAnsi="宋体"/>
          <w:b/>
          <w:color w:val="auto"/>
          <w:szCs w:val="21"/>
        </w:rPr>
        <w:t>服务</w:t>
      </w:r>
      <w:r>
        <w:rPr>
          <w:rFonts w:hint="eastAsia" w:ascii="宋体" w:hAnsi="宋体"/>
          <w:color w:val="auto"/>
          <w:szCs w:val="21"/>
        </w:rPr>
        <w:t>是指为满足</w:t>
      </w:r>
      <w:r>
        <w:rPr>
          <w:rFonts w:hint="eastAsia" w:ascii="宋体" w:hAnsi="宋体"/>
          <w:color w:val="auto"/>
          <w:szCs w:val="21"/>
          <w:lang w:val="en-US" w:eastAsia="zh-CN"/>
        </w:rPr>
        <w:t>磋商</w:t>
      </w:r>
      <w:r>
        <w:rPr>
          <w:rFonts w:hint="eastAsia" w:ascii="宋体" w:hAnsi="宋体"/>
          <w:color w:val="auto"/>
          <w:szCs w:val="21"/>
        </w:rPr>
        <w:t>文件要求所提供的服务。</w:t>
      </w:r>
    </w:p>
    <w:p w14:paraId="4DF2D28B">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1.2.7 </w:t>
      </w:r>
      <w:r>
        <w:rPr>
          <w:rFonts w:hint="eastAsia" w:ascii="宋体" w:hAnsi="宋体"/>
          <w:b/>
          <w:color w:val="auto"/>
          <w:szCs w:val="21"/>
        </w:rPr>
        <w:t>节能产品</w:t>
      </w:r>
      <w:r>
        <w:rPr>
          <w:rFonts w:hint="eastAsia" w:ascii="宋体" w:hAnsi="宋体"/>
          <w:color w:val="auto"/>
          <w:szCs w:val="21"/>
        </w:rPr>
        <w:t>指财政部、发展改革委、生态环境部等部门发布的《节能产品品目清单》中的产品。</w:t>
      </w:r>
    </w:p>
    <w:p w14:paraId="5C0A7F1C">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1.2.8 </w:t>
      </w:r>
      <w:r>
        <w:rPr>
          <w:rFonts w:hint="eastAsia" w:ascii="宋体" w:hAnsi="宋体"/>
          <w:b/>
          <w:color w:val="auto"/>
          <w:szCs w:val="21"/>
        </w:rPr>
        <w:t>环境标志产品</w:t>
      </w:r>
      <w:r>
        <w:rPr>
          <w:rFonts w:hint="eastAsia" w:ascii="宋体" w:hAnsi="宋体"/>
          <w:color w:val="auto"/>
          <w:szCs w:val="21"/>
        </w:rPr>
        <w:t>是指财政部、发展改革委、生态环境部等部门发布的《环境标志产品品目清单》中的产品。</w:t>
      </w:r>
    </w:p>
    <w:p w14:paraId="6B8C705D">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 xml:space="preserve">1.2.9 </w:t>
      </w:r>
      <w:r>
        <w:rPr>
          <w:rFonts w:hint="eastAsia" w:ascii="宋体" w:hAnsi="宋体" w:cs="宋体"/>
          <w:b/>
          <w:color w:val="auto"/>
          <w:kern w:val="0"/>
          <w:szCs w:val="21"/>
        </w:rPr>
        <w:t>进口产品</w:t>
      </w:r>
      <w:r>
        <w:rPr>
          <w:rFonts w:hint="eastAsia" w:ascii="宋体" w:hAnsi="宋体" w:cs="宋体"/>
          <w:color w:val="auto"/>
          <w:kern w:val="0"/>
          <w:szCs w:val="21"/>
        </w:rPr>
        <w:t>是指通过中国海关报关验放进入中国境内且产自关境外的产品，详见《</w:t>
      </w:r>
      <w:r>
        <w:rPr>
          <w:rFonts w:ascii="宋体" w:hAnsi="宋体" w:cs="宋体"/>
          <w:color w:val="auto"/>
          <w:kern w:val="0"/>
          <w:szCs w:val="21"/>
        </w:rPr>
        <w:t>关于政府采购进口产品管理有关问题的通知</w:t>
      </w:r>
      <w:r>
        <w:rPr>
          <w:rFonts w:hint="eastAsia" w:ascii="宋体" w:hAnsi="宋体" w:cs="宋体"/>
          <w:color w:val="auto"/>
          <w:kern w:val="0"/>
          <w:szCs w:val="21"/>
        </w:rPr>
        <w:t>》(财库[2007]119号)。</w:t>
      </w:r>
    </w:p>
    <w:p w14:paraId="0CFDC062">
      <w:pPr>
        <w:adjustRightInd w:val="0"/>
        <w:snapToGrid w:val="0"/>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1.2.10</w:t>
      </w:r>
      <w:r>
        <w:rPr>
          <w:rFonts w:hint="eastAsia" w:ascii="宋体" w:hAnsi="宋体"/>
          <w:b/>
          <w:color w:val="auto"/>
          <w:szCs w:val="21"/>
        </w:rPr>
        <w:t>中小企业</w:t>
      </w:r>
      <w:r>
        <w:rPr>
          <w:rFonts w:ascii="宋体" w:hAnsi="宋体" w:cs="宋体"/>
          <w:color w:val="auto"/>
          <w:kern w:val="0"/>
          <w:szCs w:val="21"/>
        </w:rPr>
        <w:t>是指在中华人民共和国境内依法设立，依据国务院批准的中小企业划分标准确定的中型企业、小型企业和微型企业，但与大企业的负责人为同一人，或者与大企业存在直接控股、管理关系的除外。</w:t>
      </w:r>
    </w:p>
    <w:p w14:paraId="3C55C181">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1.2.11 </w:t>
      </w:r>
      <w:r>
        <w:rPr>
          <w:rFonts w:hint="eastAsia" w:ascii="宋体" w:hAnsi="宋体"/>
          <w:b/>
          <w:color w:val="auto"/>
          <w:szCs w:val="21"/>
        </w:rPr>
        <w:t>监狱企业</w:t>
      </w:r>
      <w:r>
        <w:rPr>
          <w:rFonts w:hint="eastAsia" w:ascii="宋体" w:hAnsi="宋体"/>
          <w:color w:val="auto"/>
          <w:szCs w:val="21"/>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8CDB63">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1.2.12 </w:t>
      </w:r>
      <w:r>
        <w:rPr>
          <w:rFonts w:hint="eastAsia" w:ascii="宋体" w:hAnsi="宋体" w:cs="宋体"/>
          <w:b/>
          <w:color w:val="auto"/>
          <w:kern w:val="0"/>
          <w:szCs w:val="21"/>
        </w:rPr>
        <w:t>残疾人福利性单位</w:t>
      </w:r>
      <w:r>
        <w:rPr>
          <w:rFonts w:hint="eastAsia" w:ascii="宋体" w:hAnsi="宋体" w:cs="宋体"/>
          <w:color w:val="auto"/>
          <w:kern w:val="0"/>
          <w:szCs w:val="21"/>
        </w:rPr>
        <w:t>是指符合</w:t>
      </w:r>
      <w:r>
        <w:rPr>
          <w:rFonts w:hint="eastAsia" w:ascii="宋体" w:hAnsi="宋体"/>
          <w:color w:val="auto"/>
          <w:spacing w:val="6"/>
          <w:szCs w:val="21"/>
        </w:rPr>
        <w:t>《财政部、民政部、中国残疾人联合会关于促进残疾人就业政府采购政策的通知》（财库</w:t>
      </w:r>
      <w:r>
        <w:rPr>
          <w:rFonts w:hint="eastAsia" w:ascii="宋体" w:hAnsi="宋体"/>
          <w:color w:val="auto"/>
          <w:szCs w:val="21"/>
        </w:rPr>
        <w:t>〔</w:t>
      </w:r>
      <w:r>
        <w:rPr>
          <w:rFonts w:ascii="宋体" w:hAnsi="宋体"/>
          <w:color w:val="auto"/>
          <w:szCs w:val="21"/>
        </w:rPr>
        <w:t>2</w:t>
      </w:r>
      <w:r>
        <w:rPr>
          <w:rFonts w:hint="eastAsia" w:ascii="宋体" w:hAnsi="宋体"/>
          <w:color w:val="auto"/>
          <w:szCs w:val="21"/>
          <w:lang w:eastAsia="zh-CN"/>
        </w:rPr>
        <w:t>037</w:t>
      </w:r>
      <w:r>
        <w:rPr>
          <w:rFonts w:hint="eastAsia" w:ascii="宋体" w:hAnsi="宋体"/>
          <w:color w:val="auto"/>
          <w:szCs w:val="21"/>
        </w:rPr>
        <w:t>〕</w:t>
      </w:r>
      <w:r>
        <w:rPr>
          <w:rFonts w:ascii="宋体" w:hAnsi="宋体"/>
          <w:color w:val="auto"/>
          <w:szCs w:val="21"/>
        </w:rPr>
        <w:t>141</w:t>
      </w:r>
      <w:r>
        <w:rPr>
          <w:rFonts w:hint="eastAsia" w:ascii="宋体" w:hAnsi="宋体"/>
          <w:color w:val="auto"/>
          <w:spacing w:val="6"/>
          <w:szCs w:val="21"/>
        </w:rPr>
        <w:t>号）规定条件的单位。</w:t>
      </w:r>
    </w:p>
    <w:p w14:paraId="3E870BE2">
      <w:pPr>
        <w:adjustRightInd w:val="0"/>
        <w:snapToGrid w:val="0"/>
        <w:spacing w:before="120" w:beforeLines="50" w:after="120" w:afterLines="50" w:line="360" w:lineRule="auto"/>
        <w:rPr>
          <w:rFonts w:ascii="宋体" w:hAnsi="宋体" w:cs="宋体"/>
          <w:b/>
          <w:color w:val="auto"/>
          <w:kern w:val="0"/>
          <w:sz w:val="30"/>
          <w:szCs w:val="30"/>
        </w:rPr>
      </w:pPr>
      <w:r>
        <w:rPr>
          <w:rFonts w:hint="eastAsia" w:ascii="宋体" w:hAnsi="宋体"/>
          <w:b/>
          <w:color w:val="auto"/>
          <w:sz w:val="30"/>
          <w:szCs w:val="30"/>
        </w:rPr>
        <w:t>1.3 合格的供应商</w:t>
      </w:r>
    </w:p>
    <w:p w14:paraId="44397A1F">
      <w:pPr>
        <w:tabs>
          <w:tab w:val="left" w:pos="7665"/>
        </w:tabs>
        <w:spacing w:line="360" w:lineRule="auto"/>
        <w:ind w:firstLine="411" w:firstLineChars="196"/>
        <w:rPr>
          <w:rFonts w:ascii="宋体" w:hAnsi="宋体"/>
          <w:color w:val="auto"/>
          <w:szCs w:val="21"/>
        </w:rPr>
      </w:pPr>
      <w:r>
        <w:rPr>
          <w:rFonts w:hint="eastAsia" w:ascii="宋体" w:hAnsi="宋体"/>
          <w:color w:val="auto"/>
          <w:szCs w:val="21"/>
        </w:rPr>
        <w:t>1.3.1 合格的供应商应具备以下条件：</w:t>
      </w:r>
    </w:p>
    <w:p w14:paraId="5A6D190D">
      <w:pPr>
        <w:tabs>
          <w:tab w:val="left" w:pos="7665"/>
        </w:tabs>
        <w:spacing w:line="360" w:lineRule="auto"/>
        <w:ind w:firstLine="420" w:firstLineChars="200"/>
        <w:rPr>
          <w:rFonts w:ascii="宋体" w:hAnsi="宋体"/>
          <w:color w:val="auto"/>
          <w:spacing w:val="-4"/>
          <w:szCs w:val="21"/>
        </w:rPr>
      </w:pPr>
      <w:r>
        <w:rPr>
          <w:rFonts w:hint="eastAsia" w:ascii="宋体" w:hAnsi="宋体"/>
          <w:color w:val="auto"/>
          <w:szCs w:val="21"/>
        </w:rPr>
        <w:t>（1）具备且满足磋商文件规定的供应商资格条件</w:t>
      </w:r>
      <w:r>
        <w:rPr>
          <w:rFonts w:hint="eastAsia" w:ascii="宋体" w:hAnsi="宋体"/>
          <w:color w:val="auto"/>
          <w:spacing w:val="-4"/>
          <w:szCs w:val="21"/>
        </w:rPr>
        <w:t>；</w:t>
      </w:r>
    </w:p>
    <w:p w14:paraId="1D7F93CF">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（2）从采购代理机构获取了磋商文件；</w:t>
      </w:r>
    </w:p>
    <w:p w14:paraId="22E1B94A">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（3）向采购代理机构交纳了磋商保证金（仅限供应商须知前附表要求供应商提交保证金的）；</w:t>
      </w:r>
    </w:p>
    <w:p w14:paraId="1E76EAEB">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（4）遵守国家和地方有关的法律法规、规章和规范性文件要求。</w:t>
      </w:r>
    </w:p>
    <w:p w14:paraId="0651A91B">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1.3.2 供应商不得存在下列情形之一：</w:t>
      </w:r>
    </w:p>
    <w:p w14:paraId="3BDBF210">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（l）与采购人、采购代理机构存在</w:t>
      </w:r>
      <w:r>
        <w:rPr>
          <w:rFonts w:hint="eastAsia" w:ascii="宋体" w:hAnsi="宋体"/>
          <w:bCs/>
          <w:color w:val="auto"/>
          <w:szCs w:val="21"/>
        </w:rPr>
        <w:t>隶属关系或者其他利害关系，且可能影响磋商公正性；</w:t>
      </w:r>
    </w:p>
    <w:p w14:paraId="1426D4B0">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（2）与本采购项目其他供应商的法定代表人（或者负责人）为同一人；</w:t>
      </w:r>
    </w:p>
    <w:p w14:paraId="3A11D804">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（3）与本采购项目其他供应商存在控股、管理关系；</w:t>
      </w:r>
    </w:p>
    <w:p w14:paraId="4A35FA48">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（4）为本项目采购代理机构；</w:t>
      </w:r>
    </w:p>
    <w:p w14:paraId="3418801B">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（5）为本项目代理磋商的为其采购代理机构；</w:t>
      </w:r>
    </w:p>
    <w:p w14:paraId="5904E9C5">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（6）为本项目提供整体设计、规范编制或者项目管理、监理、检测、咨询服务；</w:t>
      </w:r>
    </w:p>
    <w:p w14:paraId="03EA7D32">
      <w:pPr>
        <w:adjustRightInd w:val="0"/>
        <w:snapToGrid w:val="0"/>
        <w:spacing w:line="360" w:lineRule="auto"/>
        <w:ind w:firstLine="420" w:firstLineChars="200"/>
        <w:rPr>
          <w:rFonts w:ascii="宋体" w:hAnsi="宋体"/>
          <w:bCs/>
          <w:color w:val="auto"/>
          <w:szCs w:val="21"/>
        </w:rPr>
      </w:pPr>
      <w:r>
        <w:rPr>
          <w:rFonts w:hint="eastAsia" w:ascii="宋体" w:hAnsi="宋体"/>
          <w:color w:val="auto"/>
          <w:szCs w:val="21"/>
        </w:rPr>
        <w:t>（7）</w:t>
      </w:r>
      <w:r>
        <w:rPr>
          <w:rFonts w:hint="eastAsia" w:ascii="宋体" w:hAnsi="宋体"/>
          <w:bCs/>
          <w:color w:val="auto"/>
          <w:szCs w:val="21"/>
        </w:rPr>
        <w:t>受到刑事处罚；</w:t>
      </w:r>
    </w:p>
    <w:p w14:paraId="7B0DF94A">
      <w:pPr>
        <w:adjustRightInd w:val="0"/>
        <w:snapToGrid w:val="0"/>
        <w:spacing w:line="360" w:lineRule="auto"/>
        <w:ind w:firstLine="420" w:firstLineChars="200"/>
        <w:rPr>
          <w:rFonts w:ascii="宋体" w:hAnsi="宋体"/>
          <w:bCs/>
          <w:color w:val="auto"/>
          <w:szCs w:val="21"/>
        </w:rPr>
      </w:pPr>
      <w:r>
        <w:rPr>
          <w:rFonts w:hint="eastAsia" w:ascii="宋体" w:hAnsi="宋体"/>
          <w:bCs/>
          <w:color w:val="auto"/>
          <w:szCs w:val="21"/>
        </w:rPr>
        <w:t>（8）受到财政部门5万元以上数额罚款的行政处罚或其他行政部门较大数额罚款的行政处罚（举行听证会的）；</w:t>
      </w:r>
    </w:p>
    <w:p w14:paraId="224BD794">
      <w:pPr>
        <w:adjustRightInd w:val="0"/>
        <w:snapToGrid w:val="0"/>
        <w:spacing w:line="360" w:lineRule="auto"/>
        <w:rPr>
          <w:rFonts w:ascii="宋体" w:hAnsi="宋体"/>
          <w:bCs/>
          <w:color w:val="auto"/>
          <w:szCs w:val="21"/>
        </w:rPr>
      </w:pPr>
      <w:r>
        <w:rPr>
          <w:rFonts w:hint="eastAsia" w:ascii="宋体" w:hAnsi="宋体"/>
          <w:bCs/>
          <w:color w:val="auto"/>
          <w:szCs w:val="21"/>
        </w:rPr>
        <w:t xml:space="preserve">    （9）被责令停产停业、暂扣或者吊销许可证、暂扣或者吊销执照的行政处罚；</w:t>
      </w:r>
    </w:p>
    <w:p w14:paraId="279225DF">
      <w:pPr>
        <w:adjustRightInd w:val="0"/>
        <w:snapToGrid w:val="0"/>
        <w:spacing w:line="360" w:lineRule="auto"/>
        <w:ind w:firstLine="420" w:firstLineChars="200"/>
        <w:rPr>
          <w:rFonts w:ascii="宋体" w:hAnsi="宋体"/>
          <w:color w:val="auto"/>
          <w:szCs w:val="21"/>
        </w:rPr>
      </w:pPr>
      <w:r>
        <w:rPr>
          <w:rFonts w:hint="eastAsia" w:ascii="宋体" w:hAnsi="宋体"/>
          <w:bCs/>
          <w:color w:val="auto"/>
          <w:szCs w:val="21"/>
        </w:rPr>
        <w:t>（10）</w:t>
      </w:r>
      <w:r>
        <w:rPr>
          <w:rFonts w:hint="eastAsia" w:ascii="宋体" w:hAnsi="宋体"/>
          <w:color w:val="auto"/>
          <w:szCs w:val="21"/>
        </w:rPr>
        <w:t>被列入失信被执行人名单；</w:t>
      </w:r>
    </w:p>
    <w:p w14:paraId="07E2E25D">
      <w:pPr>
        <w:adjustRightInd w:val="0"/>
        <w:snapToGrid w:val="0"/>
        <w:spacing w:line="360" w:lineRule="auto"/>
        <w:ind w:firstLine="420" w:firstLineChars="200"/>
        <w:rPr>
          <w:rFonts w:ascii="宋体" w:hAnsi="宋体"/>
          <w:bCs/>
          <w:color w:val="auto"/>
          <w:szCs w:val="21"/>
        </w:rPr>
      </w:pPr>
      <w:r>
        <w:rPr>
          <w:rFonts w:hint="eastAsia" w:ascii="宋体" w:hAnsi="宋体"/>
          <w:color w:val="auto"/>
          <w:szCs w:val="21"/>
        </w:rPr>
        <w:t>（11）被列入重大税收违法案件当事人名单；</w:t>
      </w:r>
    </w:p>
    <w:p w14:paraId="78C86ABF">
      <w:pPr>
        <w:adjustRightInd w:val="0"/>
        <w:snapToGrid w:val="0"/>
        <w:spacing w:line="360" w:lineRule="auto"/>
        <w:ind w:firstLine="420" w:firstLineChars="200"/>
        <w:rPr>
          <w:rFonts w:ascii="宋体" w:hAnsi="宋体"/>
          <w:color w:val="auto"/>
          <w:szCs w:val="21"/>
        </w:rPr>
      </w:pPr>
      <w:r>
        <w:rPr>
          <w:rFonts w:hint="eastAsia" w:ascii="宋体" w:hAnsi="宋体"/>
          <w:bCs/>
          <w:color w:val="auto"/>
          <w:szCs w:val="21"/>
        </w:rPr>
        <w:t>（12）被禁止在一至三年内参加政府采购活动或存在</w:t>
      </w:r>
      <w:r>
        <w:rPr>
          <w:rFonts w:hint="eastAsia" w:ascii="宋体" w:hAnsi="宋体"/>
          <w:color w:val="auto"/>
          <w:szCs w:val="21"/>
        </w:rPr>
        <w:t>财政部门认定的其他重大违法记录；</w:t>
      </w:r>
    </w:p>
    <w:p w14:paraId="2587356B">
      <w:pPr>
        <w:adjustRightInd w:val="0"/>
        <w:snapToGrid w:val="0"/>
        <w:spacing w:line="360" w:lineRule="auto"/>
        <w:ind w:firstLine="420" w:firstLineChars="200"/>
        <w:rPr>
          <w:color w:val="auto"/>
        </w:rPr>
      </w:pPr>
      <w:r>
        <w:rPr>
          <w:rFonts w:hint="eastAsia" w:ascii="宋体" w:hAnsi="宋体"/>
          <w:color w:val="auto"/>
          <w:szCs w:val="21"/>
        </w:rPr>
        <w:t>（13）法律法规规定的其他情形。</w:t>
      </w:r>
    </w:p>
    <w:p w14:paraId="0CC0A21B">
      <w:pPr>
        <w:adjustRightInd w:val="0"/>
        <w:snapToGrid w:val="0"/>
        <w:spacing w:before="120" w:beforeLines="50" w:after="120" w:afterLines="50" w:line="360" w:lineRule="auto"/>
        <w:rPr>
          <w:rFonts w:hint="eastAsia" w:ascii="宋体" w:hAnsi="宋体" w:eastAsia="宋体"/>
          <w:b/>
          <w:bCs/>
          <w:color w:val="auto"/>
          <w:sz w:val="30"/>
          <w:szCs w:val="30"/>
          <w:lang w:eastAsia="zh-CN"/>
        </w:rPr>
      </w:pPr>
      <w:r>
        <w:rPr>
          <w:rFonts w:hint="eastAsia" w:ascii="宋体" w:hAnsi="宋体"/>
          <w:b/>
          <w:bCs/>
          <w:color w:val="auto"/>
          <w:sz w:val="30"/>
          <w:szCs w:val="30"/>
        </w:rPr>
        <w:t>1.4 合格的</w:t>
      </w:r>
      <w:r>
        <w:rPr>
          <w:rFonts w:hint="eastAsia" w:ascii="宋体" w:hAnsi="宋体"/>
          <w:b/>
          <w:bCs/>
          <w:color w:val="auto"/>
          <w:sz w:val="30"/>
          <w:szCs w:val="30"/>
          <w:lang w:val="en-US" w:eastAsia="zh-CN"/>
        </w:rPr>
        <w:t>服务</w:t>
      </w:r>
    </w:p>
    <w:bookmarkEnd w:id="23"/>
    <w:bookmarkEnd w:id="24"/>
    <w:bookmarkEnd w:id="25"/>
    <w:p w14:paraId="65E1C8A0">
      <w:pPr>
        <w:shd w:val="clear"/>
        <w:tabs>
          <w:tab w:val="left" w:pos="747"/>
        </w:tabs>
        <w:snapToGrid w:val="0"/>
        <w:spacing w:line="360" w:lineRule="auto"/>
        <w:ind w:firstLine="420" w:firstLineChars="200"/>
        <w:rPr>
          <w:rFonts w:ascii="宋体" w:hAnsi="宋体"/>
          <w:color w:val="auto"/>
          <w:szCs w:val="21"/>
          <w:highlight w:val="none"/>
        </w:rPr>
      </w:pPr>
      <w:bookmarkStart w:id="34" w:name="_Toc217446047"/>
      <w:bookmarkStart w:id="35" w:name="_Toc183582208"/>
      <w:bookmarkStart w:id="36" w:name="_Toc217446037"/>
      <w:bookmarkStart w:id="37" w:name="_Toc183682345"/>
      <w:r>
        <w:rPr>
          <w:rFonts w:hint="eastAsia" w:ascii="宋体" w:hAnsi="宋体"/>
          <w:color w:val="auto"/>
          <w:szCs w:val="21"/>
          <w:highlight w:val="none"/>
        </w:rPr>
        <w:t xml:space="preserve">1.4.1 </w:t>
      </w:r>
      <w:r>
        <w:rPr>
          <w:rFonts w:hint="eastAsia" w:ascii="宋体" w:hAnsi="宋体" w:eastAsia="宋体" w:cs="宋体"/>
          <w:color w:val="auto"/>
          <w:szCs w:val="21"/>
          <w:highlight w:val="none"/>
        </w:rPr>
        <w:t>供应商</w:t>
      </w:r>
      <w:r>
        <w:rPr>
          <w:rFonts w:hint="eastAsia" w:ascii="宋体" w:hAnsi="宋体" w:cs="宋体"/>
          <w:color w:val="auto"/>
          <w:szCs w:val="21"/>
          <w:highlight w:val="none"/>
          <w:lang w:val="en-US" w:eastAsia="zh-CN"/>
        </w:rPr>
        <w:t>提供</w:t>
      </w:r>
      <w:r>
        <w:rPr>
          <w:rFonts w:hint="eastAsia" w:ascii="宋体" w:hAnsi="宋体" w:eastAsia="宋体" w:cs="宋体"/>
          <w:color w:val="auto"/>
          <w:szCs w:val="21"/>
          <w:highlight w:val="none"/>
        </w:rPr>
        <w:t>的所有</w:t>
      </w:r>
      <w:r>
        <w:rPr>
          <w:rFonts w:hint="eastAsia" w:ascii="宋体" w:hAnsi="宋体" w:cs="宋体"/>
          <w:color w:val="auto"/>
          <w:szCs w:val="21"/>
          <w:highlight w:val="none"/>
          <w:lang w:val="en-US" w:eastAsia="zh-CN"/>
        </w:rPr>
        <w:t>服务</w:t>
      </w:r>
      <w:r>
        <w:rPr>
          <w:rFonts w:hint="eastAsia" w:ascii="宋体" w:hAnsi="宋体" w:eastAsia="宋体" w:cs="宋体"/>
          <w:color w:val="auto"/>
          <w:szCs w:val="21"/>
          <w:highlight w:val="none"/>
        </w:rPr>
        <w:t>，符合国家有关标准和规范，并满足</w:t>
      </w:r>
      <w:r>
        <w:rPr>
          <w:rFonts w:hint="eastAsia" w:ascii="宋体" w:hAnsi="宋体" w:eastAsia="宋体" w:cs="宋体"/>
          <w:color w:val="auto"/>
          <w:szCs w:val="21"/>
          <w:highlight w:val="none"/>
          <w:lang w:val="en-US" w:eastAsia="zh-CN"/>
        </w:rPr>
        <w:t>磋商</w:t>
      </w:r>
      <w:r>
        <w:rPr>
          <w:rFonts w:hint="eastAsia" w:ascii="宋体" w:hAnsi="宋体" w:eastAsia="宋体" w:cs="宋体"/>
          <w:color w:val="auto"/>
          <w:szCs w:val="21"/>
          <w:highlight w:val="none"/>
        </w:rPr>
        <w:t>文件规定的</w:t>
      </w:r>
      <w:r>
        <w:rPr>
          <w:rFonts w:hint="eastAsia" w:ascii="宋体" w:hAnsi="宋体" w:cs="宋体"/>
          <w:color w:val="auto"/>
          <w:szCs w:val="21"/>
          <w:highlight w:val="none"/>
          <w:lang w:val="en-US" w:eastAsia="zh-CN"/>
        </w:rPr>
        <w:t>服务</w:t>
      </w:r>
      <w:r>
        <w:rPr>
          <w:rFonts w:hint="eastAsia" w:ascii="宋体" w:hAnsi="宋体" w:eastAsia="宋体" w:cs="宋体"/>
          <w:color w:val="auto"/>
          <w:szCs w:val="21"/>
          <w:highlight w:val="none"/>
        </w:rPr>
        <w:t>要求。</w:t>
      </w:r>
    </w:p>
    <w:p w14:paraId="45488C3D">
      <w:pPr>
        <w:shd w:val="clear"/>
        <w:tabs>
          <w:tab w:val="left" w:pos="747"/>
        </w:tabs>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若本项目包括提供货物的，所供货物亦必须是合法生产、合法来源，符合国家有关标准要求，并满足</w:t>
      </w:r>
      <w:r>
        <w:rPr>
          <w:rFonts w:hint="eastAsia" w:ascii="宋体" w:hAnsi="宋体"/>
          <w:color w:val="auto"/>
          <w:szCs w:val="21"/>
          <w:highlight w:val="none"/>
          <w:lang w:eastAsia="zh-CN"/>
        </w:rPr>
        <w:t>谈判</w:t>
      </w:r>
      <w:r>
        <w:rPr>
          <w:rFonts w:hint="eastAsia" w:ascii="宋体" w:hAnsi="宋体"/>
          <w:color w:val="auto"/>
          <w:szCs w:val="21"/>
          <w:highlight w:val="none"/>
        </w:rPr>
        <w:t>文件规定的规格、参数、质量、有效期、售后服务及供应商须承担的运输、安装、技术支持、培训和</w:t>
      </w:r>
      <w:r>
        <w:rPr>
          <w:rFonts w:hint="eastAsia" w:ascii="宋体" w:hAnsi="宋体"/>
          <w:color w:val="auto"/>
          <w:szCs w:val="21"/>
          <w:highlight w:val="none"/>
          <w:lang w:eastAsia="zh-CN"/>
        </w:rPr>
        <w:t>谈判</w:t>
      </w:r>
      <w:r>
        <w:rPr>
          <w:rFonts w:hint="eastAsia" w:ascii="宋体" w:hAnsi="宋体"/>
          <w:color w:val="auto"/>
          <w:szCs w:val="21"/>
          <w:highlight w:val="none"/>
        </w:rPr>
        <w:t>文件规定的其它伴随服务等要求。</w:t>
      </w:r>
    </w:p>
    <w:p w14:paraId="100F2A6A">
      <w:pPr>
        <w:shd w:val="clear"/>
        <w:tabs>
          <w:tab w:val="left" w:pos="747"/>
        </w:tabs>
        <w:snapToGrid w:val="0"/>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1.4.2 采购人有权拒绝接受任何不合格的</w:t>
      </w:r>
      <w:r>
        <w:rPr>
          <w:rFonts w:hint="eastAsia" w:ascii="宋体" w:hAnsi="宋体"/>
          <w:color w:val="auto"/>
          <w:szCs w:val="21"/>
          <w:highlight w:val="none"/>
          <w:lang w:val="en-US" w:eastAsia="zh-CN"/>
        </w:rPr>
        <w:t>服务</w:t>
      </w:r>
      <w:r>
        <w:rPr>
          <w:rFonts w:hint="eastAsia" w:ascii="宋体" w:hAnsi="宋体"/>
          <w:color w:val="auto"/>
          <w:szCs w:val="21"/>
          <w:highlight w:val="none"/>
        </w:rPr>
        <w:t>，由此产生的费用及相关后果均由供应商自行承担。</w:t>
      </w:r>
    </w:p>
    <w:p w14:paraId="0EDBDBDD">
      <w:pPr>
        <w:pStyle w:val="10"/>
        <w:spacing w:before="120" w:beforeLines="50" w:after="120" w:afterLines="50" w:line="360" w:lineRule="auto"/>
        <w:ind w:firstLine="0"/>
        <w:rPr>
          <w:rFonts w:ascii="宋体" w:hAnsi="宋体"/>
          <w:b/>
          <w:bCs/>
          <w:color w:val="auto"/>
          <w:sz w:val="30"/>
          <w:szCs w:val="30"/>
        </w:rPr>
      </w:pPr>
      <w:r>
        <w:rPr>
          <w:rFonts w:hint="eastAsia" w:ascii="宋体" w:hAnsi="宋体"/>
          <w:b/>
          <w:bCs/>
          <w:color w:val="auto"/>
          <w:sz w:val="30"/>
          <w:szCs w:val="30"/>
        </w:rPr>
        <w:t>1.5 知识产权</w:t>
      </w:r>
      <w:bookmarkEnd w:id="34"/>
    </w:p>
    <w:p w14:paraId="50989429">
      <w:pPr>
        <w:pStyle w:val="10"/>
        <w:spacing w:line="360" w:lineRule="auto"/>
        <w:ind w:firstLine="420" w:firstLineChars="200"/>
        <w:rPr>
          <w:rFonts w:ascii="宋体" w:hAnsi="宋体"/>
          <w:color w:val="auto"/>
          <w:sz w:val="21"/>
          <w:szCs w:val="21"/>
        </w:rPr>
      </w:pPr>
      <w:r>
        <w:rPr>
          <w:rFonts w:hint="eastAsia" w:ascii="宋体" w:hAnsi="宋体"/>
          <w:color w:val="auto"/>
          <w:sz w:val="21"/>
          <w:szCs w:val="21"/>
        </w:rPr>
        <w:t>1.5.1 供应商应保证在本项目提供的任何服务和货物（包括部分使用）时，不会产生因第三方提出侵犯其专利权、商标权或其它知识产权而引起的法律和经济纠纷，如因专利权、商标权或其它知识产权而引起法律和经济纠纷，由供应商承担所有相关责任。</w:t>
      </w:r>
    </w:p>
    <w:p w14:paraId="0F44595F">
      <w:pPr>
        <w:pStyle w:val="10"/>
        <w:spacing w:line="360" w:lineRule="auto"/>
        <w:ind w:firstLine="420" w:firstLineChars="200"/>
        <w:rPr>
          <w:rFonts w:ascii="宋体" w:hAnsi="宋体"/>
          <w:color w:val="auto"/>
          <w:sz w:val="21"/>
          <w:szCs w:val="21"/>
        </w:rPr>
      </w:pPr>
      <w:r>
        <w:rPr>
          <w:rFonts w:hint="eastAsia" w:ascii="宋体" w:hAnsi="宋体"/>
          <w:color w:val="auto"/>
          <w:sz w:val="21"/>
          <w:szCs w:val="21"/>
        </w:rPr>
        <w:t>1.5.2 采购人享有本项目实施过程中产生的知识成果及知识产权。</w:t>
      </w:r>
    </w:p>
    <w:p w14:paraId="39AF758F">
      <w:pPr>
        <w:spacing w:line="360" w:lineRule="auto"/>
        <w:ind w:firstLine="420" w:firstLineChars="200"/>
        <w:rPr>
          <w:rFonts w:ascii="宋体" w:hAnsi="宋体"/>
          <w:color w:val="auto"/>
          <w:szCs w:val="21"/>
        </w:rPr>
      </w:pPr>
      <w:r>
        <w:rPr>
          <w:rFonts w:hint="eastAsia" w:ascii="宋体" w:hAnsi="宋体"/>
          <w:color w:val="auto"/>
          <w:szCs w:val="21"/>
        </w:rPr>
        <w:t>1.5.3 供应商如欲在项目实施过程中采用自有知识成果，需在响应文件中声明，并提供相关知识产权证明文件。使用该知识成果后，供应商需提供开发接口（如有）和开发手册等技术文档，并承诺提供无限期技术支持，采购人享有永久使用权。</w:t>
      </w:r>
    </w:p>
    <w:p w14:paraId="49D890F6">
      <w:pPr>
        <w:spacing w:line="360" w:lineRule="auto"/>
        <w:ind w:firstLine="420" w:firstLineChars="200"/>
        <w:rPr>
          <w:rFonts w:ascii="宋体" w:hAnsi="宋体"/>
          <w:color w:val="auto"/>
          <w:szCs w:val="21"/>
        </w:rPr>
      </w:pPr>
      <w:r>
        <w:rPr>
          <w:rFonts w:hint="eastAsia" w:ascii="宋体" w:hAnsi="宋体"/>
          <w:color w:val="auto"/>
          <w:szCs w:val="21"/>
        </w:rPr>
        <w:t>1.5.4 如采用供应商所不拥有的知识产权，则在报价中必须包括合法获取该知识产权的相关费用。</w:t>
      </w:r>
    </w:p>
    <w:p w14:paraId="5B29CCA6">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1.6 磋商费用</w:t>
      </w:r>
      <w:bookmarkEnd w:id="35"/>
      <w:bookmarkEnd w:id="36"/>
      <w:bookmarkEnd w:id="37"/>
    </w:p>
    <w:p w14:paraId="731584CF">
      <w:pPr>
        <w:tabs>
          <w:tab w:val="left" w:pos="7665"/>
        </w:tabs>
        <w:spacing w:line="360" w:lineRule="auto"/>
        <w:ind w:firstLine="430" w:firstLineChars="205"/>
        <w:rPr>
          <w:rFonts w:ascii="宋体" w:hAnsi="宋体"/>
          <w:color w:val="auto"/>
          <w:szCs w:val="21"/>
        </w:rPr>
      </w:pPr>
      <w:r>
        <w:rPr>
          <w:rFonts w:hint="eastAsia" w:ascii="宋体" w:hAnsi="宋体"/>
          <w:color w:val="auto"/>
          <w:szCs w:val="21"/>
        </w:rPr>
        <w:t>不论磋商结果如何，供应商应自行承担所有与准备和参加磋商相关的全部费用。</w:t>
      </w:r>
      <w:bookmarkStart w:id="38" w:name="_Toc89075875"/>
      <w:bookmarkStart w:id="39" w:name="_Toc183682346"/>
      <w:bookmarkStart w:id="40" w:name="_Toc77400779"/>
      <w:bookmarkStart w:id="41" w:name="_Toc183582209"/>
      <w:bookmarkStart w:id="42" w:name="_Toc217446038"/>
    </w:p>
    <w:p w14:paraId="52F82D44">
      <w:pPr>
        <w:autoSpaceDE w:val="0"/>
        <w:autoSpaceDN w:val="0"/>
        <w:spacing w:before="120" w:beforeLines="50" w:after="120" w:afterLines="50" w:line="360" w:lineRule="auto"/>
        <w:rPr>
          <w:rFonts w:ascii="宋体" w:hAnsi="宋体"/>
          <w:b/>
          <w:color w:val="auto"/>
          <w:sz w:val="30"/>
          <w:szCs w:val="30"/>
          <w:lang w:val="zh-CN"/>
        </w:rPr>
      </w:pPr>
      <w:r>
        <w:rPr>
          <w:rFonts w:hint="eastAsia" w:ascii="宋体" w:hAnsi="宋体"/>
          <w:b/>
          <w:color w:val="auto"/>
          <w:sz w:val="30"/>
          <w:szCs w:val="30"/>
          <w:lang w:val="zh-CN"/>
        </w:rPr>
        <w:t xml:space="preserve">1.7 </w:t>
      </w:r>
      <w:r>
        <w:rPr>
          <w:rFonts w:ascii="宋体" w:hAnsi="宋体"/>
          <w:b/>
          <w:color w:val="auto"/>
          <w:sz w:val="30"/>
          <w:szCs w:val="30"/>
          <w:lang w:val="zh-CN"/>
        </w:rPr>
        <w:t>保密</w:t>
      </w:r>
    </w:p>
    <w:p w14:paraId="2F484936">
      <w:pPr>
        <w:autoSpaceDE w:val="0"/>
        <w:autoSpaceDN w:val="0"/>
        <w:spacing w:line="360" w:lineRule="auto"/>
        <w:ind w:firstLine="420" w:firstLineChars="200"/>
        <w:rPr>
          <w:rFonts w:ascii="宋体" w:hAnsi="宋体"/>
          <w:b/>
          <w:color w:val="auto"/>
          <w:sz w:val="30"/>
          <w:szCs w:val="30"/>
        </w:rPr>
      </w:pPr>
      <w:r>
        <w:rPr>
          <w:rFonts w:ascii="宋体" w:hAnsi="宋体"/>
          <w:color w:val="auto"/>
          <w:szCs w:val="21"/>
          <w:lang w:val="zh-CN"/>
        </w:rPr>
        <w:t>参与采购活动的当事人应对</w:t>
      </w:r>
      <w:r>
        <w:rPr>
          <w:rFonts w:hint="eastAsia" w:ascii="宋体" w:hAnsi="宋体"/>
          <w:color w:val="auto"/>
          <w:szCs w:val="21"/>
          <w:lang w:val="zh-CN"/>
        </w:rPr>
        <w:t>磋商文件</w:t>
      </w:r>
      <w:r>
        <w:rPr>
          <w:rFonts w:ascii="宋体" w:hAnsi="宋体"/>
          <w:color w:val="auto"/>
          <w:szCs w:val="21"/>
          <w:lang w:val="zh-CN"/>
        </w:rPr>
        <w:t xml:space="preserve">和响应文件中的商业秘密、技术秘密和个人隐私等保密，违者应对由此造成的后果承担法律责任。 </w:t>
      </w:r>
    </w:p>
    <w:p w14:paraId="74C5D03D">
      <w:pPr>
        <w:tabs>
          <w:tab w:val="left" w:pos="7665"/>
        </w:tabs>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1.8语言文字</w:t>
      </w:r>
    </w:p>
    <w:p w14:paraId="19E7B52D">
      <w:pPr>
        <w:tabs>
          <w:tab w:val="left" w:pos="7665"/>
        </w:tabs>
        <w:spacing w:line="360" w:lineRule="auto"/>
        <w:ind w:firstLine="405"/>
        <w:rPr>
          <w:rFonts w:ascii="宋体" w:hAnsi="宋体"/>
          <w:color w:val="auto"/>
          <w:szCs w:val="21"/>
        </w:rPr>
      </w:pPr>
      <w:r>
        <w:rPr>
          <w:rFonts w:hint="eastAsia" w:ascii="宋体" w:hAnsi="宋体"/>
          <w:color w:val="auto"/>
          <w:szCs w:val="21"/>
        </w:rPr>
        <w:t>1.8.1 磋商文件与响应文件使用的语言为中文。专用术语使用外文的，应附有中文注释。</w:t>
      </w:r>
    </w:p>
    <w:p w14:paraId="209DDAAF">
      <w:pPr>
        <w:spacing w:line="360" w:lineRule="auto"/>
        <w:ind w:firstLine="420" w:firstLineChars="200"/>
        <w:rPr>
          <w:rFonts w:ascii="宋体" w:hAnsi="宋体"/>
          <w:color w:val="auto"/>
          <w:szCs w:val="21"/>
        </w:rPr>
      </w:pPr>
      <w:r>
        <w:rPr>
          <w:rFonts w:hint="eastAsia" w:ascii="宋体" w:hAnsi="宋体"/>
          <w:color w:val="auto"/>
          <w:szCs w:val="21"/>
        </w:rPr>
        <w:t>1.8.2 响应文件中如附有外文资料，必须逐一对应翻译成中文并加盖供应商单位章后附在相关外文资料后面，否则，供应商的响应文件将作为无效响应文件处理。</w:t>
      </w:r>
    </w:p>
    <w:p w14:paraId="52CA6F09">
      <w:pPr>
        <w:pStyle w:val="11"/>
        <w:adjustRightInd w:val="0"/>
        <w:snapToGrid w:val="0"/>
        <w:spacing w:line="360" w:lineRule="auto"/>
        <w:ind w:firstLine="420" w:firstLineChars="200"/>
        <w:rPr>
          <w:color w:val="auto"/>
        </w:rPr>
      </w:pPr>
      <w:r>
        <w:rPr>
          <w:rFonts w:hint="eastAsia"/>
          <w:color w:val="auto"/>
        </w:rPr>
        <w:t>1.8.3 响应文件中翻译的中文资料与外文资料如果出现差异和矛盾时，以中文为准。但不能故意错误翻译，否则，供应商的响应文件将作为无效响应文件处理。</w:t>
      </w:r>
      <w:r>
        <w:rPr>
          <w:rFonts w:hint="eastAsia"/>
          <w:color w:val="auto"/>
          <w:kern w:val="0"/>
        </w:rPr>
        <w:t>必要时采购人可以要求供应商提供附有公证书的中文翻译文件或者与原版文件签章相一致的中文翻译文件。</w:t>
      </w:r>
    </w:p>
    <w:p w14:paraId="616CA1EE">
      <w:pPr>
        <w:tabs>
          <w:tab w:val="left" w:pos="7665"/>
        </w:tabs>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1.9计量单位</w:t>
      </w:r>
    </w:p>
    <w:p w14:paraId="48637204">
      <w:pPr>
        <w:tabs>
          <w:tab w:val="left" w:pos="7665"/>
        </w:tabs>
        <w:spacing w:line="360" w:lineRule="auto"/>
        <w:ind w:firstLine="405"/>
        <w:rPr>
          <w:rFonts w:ascii="宋体" w:hAnsi="宋体"/>
          <w:color w:val="auto"/>
          <w:szCs w:val="21"/>
        </w:rPr>
      </w:pPr>
      <w:r>
        <w:rPr>
          <w:rFonts w:hint="eastAsia" w:ascii="宋体" w:hAnsi="宋体"/>
          <w:color w:val="auto"/>
          <w:szCs w:val="21"/>
        </w:rPr>
        <w:t>所有计量单位均采用中华人民共和国法定计量单位。</w:t>
      </w:r>
    </w:p>
    <w:p w14:paraId="2DC4D78F">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1.10 答疑会或现场考察</w:t>
      </w:r>
    </w:p>
    <w:p w14:paraId="2E697720">
      <w:pPr>
        <w:spacing w:line="360" w:lineRule="auto"/>
        <w:ind w:firstLine="420" w:firstLineChars="200"/>
        <w:rPr>
          <w:rFonts w:ascii="宋体" w:hAnsi="宋体"/>
          <w:color w:val="auto"/>
          <w:szCs w:val="21"/>
        </w:rPr>
      </w:pPr>
      <w:r>
        <w:rPr>
          <w:rFonts w:hint="eastAsia" w:ascii="宋体" w:hAnsi="宋体"/>
          <w:color w:val="auto"/>
          <w:szCs w:val="21"/>
        </w:rPr>
        <w:t>1.10.1 根据本采购项目的具体情况，采购代理机构认为有必要，可以组织召磋商前答疑会或组织供应商对项目现场进行考察，澄清供应商提出的问题。答疑会或进行现场考察的时间与地点，采购代理机构将以书面形式通知所有获取了磋商文件的供应商。</w:t>
      </w:r>
    </w:p>
    <w:p w14:paraId="00AA40F0">
      <w:pPr>
        <w:adjustRightInd w:val="0"/>
        <w:snapToGrid w:val="0"/>
        <w:spacing w:line="360" w:lineRule="auto"/>
        <w:ind w:firstLine="367" w:firstLineChars="175"/>
        <w:rPr>
          <w:rFonts w:ascii="宋体" w:hAnsi="宋体"/>
          <w:color w:val="auto"/>
          <w:szCs w:val="21"/>
        </w:rPr>
      </w:pPr>
      <w:r>
        <w:rPr>
          <w:rFonts w:hint="eastAsia" w:ascii="宋体" w:hAnsi="宋体"/>
          <w:color w:val="auto"/>
          <w:szCs w:val="21"/>
        </w:rPr>
        <w:t>1.10.2 答疑会或现场考察后，采购人或采购代理机构对供应商所提问题的澄清，以书面形式通知所有获取了磋商文件的供应商。该澄清内容为磋商文件的组成部分。</w:t>
      </w:r>
    </w:p>
    <w:p w14:paraId="76AED0CC">
      <w:pPr>
        <w:adjustRightInd w:val="0"/>
        <w:snapToGrid w:val="0"/>
        <w:spacing w:line="360" w:lineRule="auto"/>
        <w:ind w:firstLine="367" w:firstLineChars="175"/>
        <w:rPr>
          <w:rFonts w:ascii="宋体" w:hAnsi="宋体"/>
          <w:color w:val="auto"/>
          <w:szCs w:val="21"/>
        </w:rPr>
      </w:pPr>
      <w:r>
        <w:rPr>
          <w:rFonts w:hint="eastAsia" w:ascii="宋体" w:hAnsi="宋体"/>
          <w:color w:val="auto"/>
          <w:szCs w:val="21"/>
        </w:rPr>
        <w:t>1.10.3 采购人或采购代理机构不对供应商现场考察而做出的推论、理解和结论负责。一旦成交，成交供应商不得以任何借口，提出额外补偿，或延长合同期限的要求。</w:t>
      </w:r>
    </w:p>
    <w:p w14:paraId="55A177F2">
      <w:pPr>
        <w:adjustRightInd w:val="0"/>
        <w:snapToGrid w:val="0"/>
        <w:spacing w:before="120" w:beforeLines="50" w:after="120" w:afterLines="50" w:line="360" w:lineRule="auto"/>
        <w:jc w:val="left"/>
        <w:rPr>
          <w:rFonts w:ascii="宋体" w:hAnsi="宋体"/>
          <w:b/>
          <w:color w:val="auto"/>
          <w:sz w:val="32"/>
          <w:szCs w:val="32"/>
        </w:rPr>
      </w:pPr>
      <w:r>
        <w:rPr>
          <w:rFonts w:hint="eastAsia" w:ascii="宋体" w:hAnsi="宋体"/>
          <w:b/>
          <w:color w:val="auto"/>
          <w:sz w:val="32"/>
          <w:szCs w:val="32"/>
        </w:rPr>
        <w:t>1.11响应与偏离</w:t>
      </w:r>
    </w:p>
    <w:p w14:paraId="1D03889F">
      <w:pPr>
        <w:adjustRightInd w:val="0"/>
        <w:snapToGrid w:val="0"/>
        <w:spacing w:line="360" w:lineRule="auto"/>
        <w:ind w:firstLine="420" w:firstLineChars="200"/>
        <w:rPr>
          <w:rFonts w:ascii="宋体" w:hAnsi="宋体"/>
          <w:color w:val="auto"/>
        </w:rPr>
      </w:pPr>
      <w:r>
        <w:rPr>
          <w:rFonts w:hint="eastAsia" w:ascii="宋体" w:hAnsi="宋体"/>
          <w:color w:val="auto"/>
        </w:rPr>
        <w:t>1.11.1响应文件应当对磋商文件实质性要求和条件作出满足性或有利于采购人的响应，否则，供应商的响应文件无效。</w:t>
      </w:r>
    </w:p>
    <w:p w14:paraId="3F75B72A">
      <w:pPr>
        <w:adjustRightInd w:val="0"/>
        <w:snapToGrid w:val="0"/>
        <w:spacing w:line="360" w:lineRule="auto"/>
        <w:ind w:firstLine="420" w:firstLineChars="200"/>
        <w:rPr>
          <w:rFonts w:ascii="宋体" w:hAnsi="宋体"/>
          <w:color w:val="auto"/>
        </w:rPr>
      </w:pPr>
      <w:r>
        <w:rPr>
          <w:rFonts w:hint="eastAsia" w:ascii="宋体" w:hAnsi="宋体"/>
          <w:color w:val="auto"/>
        </w:rPr>
        <w:t>1.11.2</w:t>
      </w:r>
      <w:r>
        <w:rPr>
          <w:rFonts w:hint="eastAsia" w:ascii="宋体" w:hAnsi="宋体"/>
          <w:b/>
          <w:color w:val="auto"/>
        </w:rPr>
        <w:t>偏离</w:t>
      </w:r>
      <w:r>
        <w:rPr>
          <w:rFonts w:hint="eastAsia" w:ascii="宋体" w:hAnsi="宋体"/>
          <w:color w:val="auto"/>
        </w:rPr>
        <w:t>是指响应文件不响应或者不满足磋商文件提出的要求和条件，分为实质性偏离和非实质性偏离。</w:t>
      </w:r>
    </w:p>
    <w:p w14:paraId="5C969900">
      <w:pPr>
        <w:adjustRightInd w:val="0"/>
        <w:snapToGrid w:val="0"/>
        <w:spacing w:line="360" w:lineRule="auto"/>
        <w:ind w:firstLine="420" w:firstLineChars="200"/>
        <w:rPr>
          <w:rFonts w:ascii="宋体" w:hAnsi="宋体"/>
          <w:color w:val="auto"/>
        </w:rPr>
      </w:pPr>
      <w:r>
        <w:rPr>
          <w:rFonts w:hint="eastAsia" w:ascii="宋体" w:hAnsi="宋体"/>
          <w:color w:val="auto"/>
        </w:rPr>
        <w:t>1.11.3除法律、法规和磋商文件规定的其他响应无效情形外，磋商文件中用“</w:t>
      </w:r>
      <w:r>
        <w:rPr>
          <w:rFonts w:hint="eastAsia" w:ascii="宋体" w:hAnsi="宋体"/>
          <w:bCs/>
          <w:color w:val="auto"/>
          <w:szCs w:val="21"/>
        </w:rPr>
        <w:t>☆</w:t>
      </w:r>
      <w:r>
        <w:rPr>
          <w:rFonts w:hint="eastAsia" w:ascii="宋体" w:hAnsi="宋体"/>
          <w:color w:val="auto"/>
        </w:rPr>
        <w:t>”符号标明的条款为实质性要求和条件，响应文件对其中任何一条的偏离，为实质性偏离，其响应文件无效。</w:t>
      </w:r>
    </w:p>
    <w:p w14:paraId="013A1DA5">
      <w:pPr>
        <w:adjustRightInd w:val="0"/>
        <w:snapToGrid w:val="0"/>
        <w:spacing w:line="360" w:lineRule="auto"/>
        <w:ind w:firstLine="420" w:firstLineChars="200"/>
        <w:jc w:val="left"/>
        <w:rPr>
          <w:rFonts w:ascii="宋体" w:hAnsi="宋体"/>
          <w:color w:val="auto"/>
        </w:rPr>
      </w:pPr>
      <w:r>
        <w:rPr>
          <w:rFonts w:hint="eastAsia" w:ascii="宋体" w:hAnsi="宋体"/>
          <w:color w:val="auto"/>
        </w:rPr>
        <w:t>1.11.4 响应</w:t>
      </w:r>
      <w:r>
        <w:rPr>
          <w:rFonts w:hint="eastAsia" w:ascii="宋体" w:hAnsi="宋体"/>
          <w:color w:val="auto"/>
          <w:szCs w:val="21"/>
        </w:rPr>
        <w:t>文件偏离磋商文件的非实质性要求和条件，为非实质性偏离。非实质性偏离的范围和项数应当符合供应商须知前附表的规定，超出偏离范围和最高项数的</w:t>
      </w:r>
      <w:r>
        <w:rPr>
          <w:rFonts w:hint="eastAsia" w:ascii="宋体" w:hAnsi="宋体"/>
          <w:color w:val="auto"/>
        </w:rPr>
        <w:t>响应文件无效。</w:t>
      </w:r>
    </w:p>
    <w:p w14:paraId="5B61064B">
      <w:pPr>
        <w:adjustRightInd w:val="0"/>
        <w:snapToGrid w:val="0"/>
        <w:spacing w:line="360" w:lineRule="auto"/>
        <w:ind w:firstLine="420" w:firstLineChars="200"/>
        <w:jc w:val="left"/>
        <w:rPr>
          <w:rFonts w:ascii="宋体" w:hAnsi="宋体"/>
          <w:color w:val="auto"/>
        </w:rPr>
      </w:pPr>
      <w:r>
        <w:rPr>
          <w:rFonts w:hint="eastAsia" w:ascii="宋体" w:hAnsi="宋体"/>
          <w:color w:val="auto"/>
        </w:rPr>
        <w:t>1.11.5 响应文件对磋商文件的全部偏离，均应在响应文件商务条款偏离表和技术参数偏离表中列明，除列明的内容外，视为供应商响应响应磋商文件的全部要求。</w:t>
      </w:r>
    </w:p>
    <w:p w14:paraId="57B9306D">
      <w:pPr>
        <w:adjustRightInd w:val="0"/>
        <w:snapToGrid w:val="0"/>
        <w:spacing w:line="360" w:lineRule="auto"/>
        <w:ind w:firstLine="420" w:firstLineChars="200"/>
        <w:jc w:val="left"/>
        <w:rPr>
          <w:color w:val="auto"/>
        </w:rPr>
      </w:pPr>
      <w:r>
        <w:rPr>
          <w:rFonts w:hint="eastAsia" w:ascii="宋体" w:hAnsi="宋体"/>
          <w:color w:val="auto"/>
        </w:rPr>
        <w:t>1.11.6 在磋商过程中，磋商小组若根据磋商文件和磋商情况实质性变动采购需求中的技术、服务要求以及合同草案条款的，供应商据此重新提交的响应文件，也适用本条款。</w:t>
      </w:r>
    </w:p>
    <w:p w14:paraId="19DEA5F7">
      <w:pPr>
        <w:jc w:val="left"/>
        <w:outlineLvl w:val="9"/>
        <w:rPr>
          <w:rFonts w:ascii="黑体" w:hAnsi="宋体"/>
          <w:b w:val="0"/>
          <w:color w:val="auto"/>
          <w:sz w:val="36"/>
          <w:szCs w:val="36"/>
        </w:rPr>
      </w:pPr>
      <w:bookmarkStart w:id="43" w:name="_Toc24496"/>
      <w:r>
        <w:rPr>
          <w:rFonts w:hint="eastAsia" w:ascii="黑体" w:hAnsi="宋体"/>
          <w:b w:val="0"/>
          <w:color w:val="auto"/>
          <w:sz w:val="36"/>
          <w:szCs w:val="36"/>
        </w:rPr>
        <w:t>2.磋商文件</w:t>
      </w:r>
      <w:bookmarkEnd w:id="38"/>
      <w:bookmarkEnd w:id="39"/>
      <w:bookmarkEnd w:id="40"/>
      <w:bookmarkEnd w:id="41"/>
      <w:bookmarkEnd w:id="42"/>
      <w:bookmarkEnd w:id="43"/>
      <w:bookmarkStart w:id="44" w:name="_Toc217446039"/>
      <w:bookmarkStart w:id="45" w:name="_Toc183582210"/>
      <w:bookmarkStart w:id="46" w:name="_Toc183682347"/>
    </w:p>
    <w:p w14:paraId="22E5A109">
      <w:pPr>
        <w:tabs>
          <w:tab w:val="left" w:pos="7665"/>
        </w:tabs>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2.1 磋商文件的</w:t>
      </w:r>
      <w:bookmarkEnd w:id="44"/>
      <w:bookmarkEnd w:id="45"/>
      <w:bookmarkEnd w:id="46"/>
      <w:r>
        <w:rPr>
          <w:rFonts w:hint="eastAsia" w:ascii="宋体" w:hAnsi="宋体"/>
          <w:b/>
          <w:color w:val="auto"/>
          <w:sz w:val="30"/>
          <w:szCs w:val="30"/>
        </w:rPr>
        <w:t>组成</w:t>
      </w:r>
    </w:p>
    <w:p w14:paraId="5F382490">
      <w:pPr>
        <w:tabs>
          <w:tab w:val="left" w:pos="7665"/>
        </w:tabs>
        <w:spacing w:before="120" w:beforeLines="50" w:line="360" w:lineRule="auto"/>
        <w:ind w:firstLine="420" w:firstLineChars="200"/>
        <w:rPr>
          <w:rFonts w:ascii="宋体" w:hAnsi="宋体"/>
          <w:color w:val="auto"/>
          <w:szCs w:val="21"/>
        </w:rPr>
      </w:pPr>
      <w:r>
        <w:rPr>
          <w:rFonts w:hint="eastAsia" w:ascii="宋体" w:hAnsi="宋体"/>
          <w:color w:val="auto"/>
          <w:szCs w:val="21"/>
        </w:rPr>
        <w:t>本磋商文件包括以下内容：</w:t>
      </w:r>
    </w:p>
    <w:p w14:paraId="08389AEA">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（1）竞争性磋商公告；</w:t>
      </w:r>
    </w:p>
    <w:p w14:paraId="1CB50FB5">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（2）供应商须知；</w:t>
      </w:r>
    </w:p>
    <w:p w14:paraId="1177B94F">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（3）磋商办法；</w:t>
      </w:r>
    </w:p>
    <w:p w14:paraId="3BCF2213">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（4）采购内容及要求；</w:t>
      </w:r>
    </w:p>
    <w:p w14:paraId="5C9F5921">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（5）合同主要条款；</w:t>
      </w:r>
    </w:p>
    <w:p w14:paraId="286C4B0E">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（6）响应文件格式要求。</w:t>
      </w:r>
      <w:bookmarkStart w:id="47" w:name="_Toc183682348"/>
      <w:bookmarkStart w:id="48" w:name="_Toc183582211"/>
      <w:bookmarkStart w:id="49" w:name="_Toc217446040"/>
    </w:p>
    <w:p w14:paraId="6BFC995E">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根据本章第1.10条款、第2.2条款款对磋商文件所作的澄清、修改，构成磋商文件的组成部分。</w:t>
      </w:r>
    </w:p>
    <w:p w14:paraId="27233B64">
      <w:pPr>
        <w:tabs>
          <w:tab w:val="left" w:pos="7665"/>
        </w:tabs>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 xml:space="preserve">2.2 </w:t>
      </w:r>
      <w:r>
        <w:rPr>
          <w:rFonts w:hint="eastAsia"/>
          <w:b/>
          <w:color w:val="auto"/>
          <w:sz w:val="30"/>
          <w:szCs w:val="30"/>
        </w:rPr>
        <w:t>磋商文件的澄清</w:t>
      </w:r>
      <w:bookmarkEnd w:id="47"/>
      <w:bookmarkEnd w:id="48"/>
      <w:r>
        <w:rPr>
          <w:rFonts w:hint="eastAsia"/>
          <w:b/>
          <w:color w:val="auto"/>
          <w:sz w:val="30"/>
          <w:szCs w:val="30"/>
        </w:rPr>
        <w:t>和修改</w:t>
      </w:r>
      <w:bookmarkEnd w:id="49"/>
    </w:p>
    <w:p w14:paraId="4D241296">
      <w:pPr>
        <w:tabs>
          <w:tab w:val="left" w:pos="720"/>
        </w:tabs>
        <w:spacing w:line="360" w:lineRule="auto"/>
        <w:ind w:firstLine="420" w:firstLineChars="200"/>
        <w:rPr>
          <w:rFonts w:ascii="宋体" w:hAnsi="宋体"/>
          <w:color w:val="auto"/>
          <w:szCs w:val="21"/>
        </w:rPr>
      </w:pPr>
      <w:r>
        <w:rPr>
          <w:rFonts w:hint="eastAsia" w:ascii="宋体" w:hAnsi="宋体"/>
          <w:color w:val="auto"/>
          <w:szCs w:val="21"/>
        </w:rPr>
        <w:t>2.2.1 在提交首次响应文件截止时间前，采购代理机构无论出于何种原因，可以对磋商文件进行澄清或者修改。</w:t>
      </w:r>
    </w:p>
    <w:p w14:paraId="5FC200B2">
      <w:pPr>
        <w:spacing w:line="360" w:lineRule="auto"/>
        <w:ind w:firstLine="420" w:firstLineChars="200"/>
        <w:rPr>
          <w:rFonts w:ascii="宋体" w:hAnsi="宋体"/>
          <w:color w:val="auto"/>
          <w:szCs w:val="21"/>
        </w:rPr>
      </w:pPr>
      <w:r>
        <w:rPr>
          <w:rFonts w:hint="eastAsia" w:ascii="宋体" w:hAnsi="宋体"/>
          <w:color w:val="auto"/>
          <w:szCs w:val="21"/>
        </w:rPr>
        <w:t>2.2.2 采购人或采购代理机构可以对已发出的磋商文件进行必要的澄清或者修改，澄清或修改的内容可能影响响应文件编制的，应当在提交首次响应文件截止时间</w:t>
      </w:r>
      <w:r>
        <w:rPr>
          <w:rFonts w:hint="eastAsia" w:ascii="宋体" w:hAnsi="宋体"/>
          <w:b/>
          <w:color w:val="auto"/>
          <w:szCs w:val="21"/>
        </w:rPr>
        <w:t>5</w:t>
      </w:r>
      <w:r>
        <w:rPr>
          <w:rFonts w:hint="eastAsia" w:ascii="宋体" w:hAnsi="宋体"/>
          <w:color w:val="auto"/>
          <w:szCs w:val="21"/>
        </w:rPr>
        <w:t>日前，以书面形式将澄清或者修改的内容通知所有获取磋商文件的供应商，同时在原信息发布媒体上发布变更公告；供应商在收到上述通知后，应立即以书面形式向采购代理机构确认；不足</w:t>
      </w:r>
      <w:r>
        <w:rPr>
          <w:rFonts w:hint="eastAsia" w:ascii="宋体" w:hAnsi="宋体" w:cs="TimesNewRomanPSMT"/>
          <w:b/>
          <w:color w:val="auto"/>
          <w:szCs w:val="21"/>
        </w:rPr>
        <w:t>5</w:t>
      </w:r>
      <w:r>
        <w:rPr>
          <w:rFonts w:hint="eastAsia" w:ascii="宋体" w:hAnsi="宋体"/>
          <w:color w:val="auto"/>
          <w:szCs w:val="21"/>
        </w:rPr>
        <w:t>日的，将相应顺延提交首次响应文件截止时间。</w:t>
      </w:r>
    </w:p>
    <w:p w14:paraId="6407933F">
      <w:pPr>
        <w:spacing w:line="360" w:lineRule="auto"/>
        <w:ind w:firstLine="420" w:firstLineChars="200"/>
        <w:rPr>
          <w:rFonts w:ascii="宋体" w:hAnsi="宋体"/>
          <w:color w:val="auto"/>
          <w:szCs w:val="21"/>
        </w:rPr>
      </w:pPr>
      <w:r>
        <w:rPr>
          <w:rFonts w:hint="eastAsia" w:ascii="宋体" w:hAnsi="宋体"/>
          <w:color w:val="auto"/>
          <w:szCs w:val="21"/>
        </w:rPr>
        <w:t>2.2</w:t>
      </w:r>
      <w:r>
        <w:rPr>
          <w:rFonts w:hint="eastAsia" w:ascii="宋体" w:hAnsi="宋体"/>
          <w:bCs/>
          <w:color w:val="auto"/>
          <w:szCs w:val="21"/>
        </w:rPr>
        <w:t xml:space="preserve">.3 </w:t>
      </w:r>
      <w:r>
        <w:rPr>
          <w:rFonts w:hint="eastAsia" w:ascii="宋体" w:hAnsi="宋体"/>
          <w:color w:val="auto"/>
          <w:szCs w:val="21"/>
        </w:rPr>
        <w:t>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w:t>
      </w:r>
      <w:r>
        <w:rPr>
          <w:rFonts w:hint="eastAsia" w:ascii="宋体" w:hAnsi="宋体"/>
          <w:b/>
          <w:color w:val="auto"/>
          <w:szCs w:val="21"/>
        </w:rPr>
        <w:t>3</w:t>
      </w:r>
      <w:r>
        <w:rPr>
          <w:rFonts w:hint="eastAsia" w:ascii="宋体" w:hAnsi="宋体"/>
          <w:color w:val="auto"/>
          <w:szCs w:val="21"/>
        </w:rPr>
        <w:t>日前按磋商文件中的联系方式，以书面形式向采购代理机构提出，采购代理机构应当在</w:t>
      </w:r>
      <w:r>
        <w:rPr>
          <w:rFonts w:hint="eastAsia" w:ascii="宋体" w:hAnsi="宋体"/>
          <w:b/>
          <w:color w:val="auto"/>
          <w:szCs w:val="21"/>
        </w:rPr>
        <w:t>2</w:t>
      </w:r>
      <w:r>
        <w:rPr>
          <w:rFonts w:hint="eastAsia" w:ascii="宋体" w:hAnsi="宋体"/>
          <w:color w:val="auto"/>
          <w:szCs w:val="21"/>
        </w:rPr>
        <w:t>日内，以书面形式予以答复（答复中不包括问题的来源），或认为有必要召开答疑会。超过该时间收到的询问或需要澄清的内容，采购代理机构有权不予答复。</w:t>
      </w:r>
    </w:p>
    <w:p w14:paraId="74A5536D">
      <w:pPr>
        <w:spacing w:line="360" w:lineRule="auto"/>
        <w:ind w:firstLine="420" w:firstLineChars="200"/>
        <w:rPr>
          <w:rFonts w:ascii="宋体" w:hAnsi="宋体"/>
          <w:color w:val="auto"/>
          <w:szCs w:val="21"/>
        </w:rPr>
      </w:pPr>
      <w:r>
        <w:rPr>
          <w:rFonts w:hint="eastAsia" w:ascii="宋体" w:hAnsi="宋体"/>
          <w:color w:val="auto"/>
          <w:szCs w:val="21"/>
        </w:rPr>
        <w:t>2.2.4 在提交首次响应文件截止时间前，采购代理机构可以视采购具体情况，延长提交首次响应文件截止时间，并将变更时间以书面形式通知所有获取了磋商文件的供应商，同时在原信息发布媒体上发布变更公告。</w:t>
      </w:r>
      <w:bookmarkStart w:id="50" w:name="_Toc183682350"/>
      <w:bookmarkStart w:id="51" w:name="_Toc217446041"/>
      <w:bookmarkStart w:id="52" w:name="_Toc183582213"/>
      <w:bookmarkStart w:id="53" w:name="_Toc208848971"/>
    </w:p>
    <w:p w14:paraId="3BB717B0">
      <w:pPr>
        <w:spacing w:line="360" w:lineRule="auto"/>
        <w:ind w:firstLine="420"/>
        <w:rPr>
          <w:rFonts w:ascii="宋体" w:hAnsi="宋体"/>
          <w:color w:val="auto"/>
          <w:szCs w:val="21"/>
        </w:rPr>
      </w:pPr>
      <w:r>
        <w:rPr>
          <w:rFonts w:hint="eastAsia" w:ascii="宋体" w:hAnsi="宋体"/>
          <w:color w:val="auto"/>
          <w:szCs w:val="21"/>
        </w:rPr>
        <w:t xml:space="preserve">2.2.5 </w:t>
      </w:r>
      <w:r>
        <w:rPr>
          <w:rFonts w:hint="eastAsia" w:ascii="宋体"/>
          <w:color w:val="auto"/>
          <w:szCs w:val="21"/>
        </w:rPr>
        <w:t>当磋商文件的</w:t>
      </w:r>
      <w:r>
        <w:rPr>
          <w:rFonts w:hint="eastAsia" w:ascii="宋体" w:hAnsi="宋体"/>
          <w:color w:val="auto"/>
          <w:szCs w:val="21"/>
        </w:rPr>
        <w:t>澄清、答复、修改或补充通知与磋商文件</w:t>
      </w:r>
      <w:r>
        <w:rPr>
          <w:rFonts w:hint="eastAsia" w:ascii="宋体"/>
          <w:color w:val="auto"/>
          <w:szCs w:val="21"/>
        </w:rPr>
        <w:t>就同一内容表述不一致时，以最后发出的书面文件内容为准。</w:t>
      </w:r>
    </w:p>
    <w:bookmarkEnd w:id="50"/>
    <w:bookmarkEnd w:id="51"/>
    <w:bookmarkEnd w:id="52"/>
    <w:bookmarkEnd w:id="53"/>
    <w:p w14:paraId="14A70E35">
      <w:pPr>
        <w:adjustRightInd w:val="0"/>
        <w:snapToGrid w:val="0"/>
        <w:spacing w:before="120" w:beforeLines="50" w:after="120" w:afterLines="50" w:line="360" w:lineRule="auto"/>
        <w:rPr>
          <w:rFonts w:ascii="宋体" w:hAnsi="宋体"/>
          <w:b/>
          <w:color w:val="auto"/>
          <w:sz w:val="30"/>
          <w:szCs w:val="30"/>
        </w:rPr>
      </w:pPr>
      <w:r>
        <w:rPr>
          <w:rFonts w:hint="eastAsia" w:ascii="宋体" w:hAnsi="宋体"/>
          <w:b/>
          <w:bCs/>
          <w:color w:val="auto"/>
          <w:sz w:val="30"/>
          <w:szCs w:val="30"/>
        </w:rPr>
        <w:t>2.3磋商文件的解释权</w:t>
      </w:r>
    </w:p>
    <w:p w14:paraId="712ACCBC">
      <w:pPr>
        <w:pStyle w:val="8"/>
        <w:spacing w:line="360" w:lineRule="auto"/>
        <w:ind w:firstLineChars="200"/>
        <w:rPr>
          <w:rFonts w:ascii="宋体" w:hAnsi="宋体"/>
          <w:color w:val="auto"/>
          <w:szCs w:val="21"/>
        </w:rPr>
      </w:pPr>
      <w:r>
        <w:rPr>
          <w:rFonts w:hint="eastAsia" w:ascii="宋体" w:hAnsi="宋体"/>
          <w:color w:val="auto"/>
          <w:szCs w:val="21"/>
        </w:rPr>
        <w:t>磋商文件的解释权归采购代理机构，如发现磋商文件内容与现行法律法规不相符的情况，以现行法律法规为准。</w:t>
      </w:r>
    </w:p>
    <w:p w14:paraId="60754544">
      <w:pPr>
        <w:pStyle w:val="8"/>
        <w:spacing w:before="120" w:beforeLines="50" w:after="120" w:afterLines="50" w:line="360" w:lineRule="auto"/>
        <w:ind w:firstLine="0"/>
        <w:outlineLvl w:val="9"/>
        <w:rPr>
          <w:rFonts w:ascii="黑体" w:hAnsi="黑体" w:eastAsia="黑体" w:cs="黑体"/>
          <w:color w:val="auto"/>
          <w:sz w:val="36"/>
          <w:szCs w:val="36"/>
        </w:rPr>
      </w:pPr>
      <w:bookmarkStart w:id="54" w:name="_Toc21394"/>
      <w:bookmarkStart w:id="55" w:name="_Toc77400780"/>
      <w:bookmarkStart w:id="56" w:name="_Toc89075876"/>
      <w:bookmarkStart w:id="57" w:name="_Toc183682351"/>
      <w:bookmarkStart w:id="58" w:name="_Toc217446042"/>
      <w:bookmarkStart w:id="59" w:name="_Toc183582214"/>
      <w:r>
        <w:rPr>
          <w:rFonts w:hint="eastAsia" w:ascii="黑体" w:hAnsi="黑体" w:eastAsia="黑体" w:cs="黑体"/>
          <w:color w:val="auto"/>
          <w:sz w:val="36"/>
          <w:szCs w:val="36"/>
        </w:rPr>
        <w:t>3.供应商</w:t>
      </w:r>
      <w:bookmarkEnd w:id="54"/>
    </w:p>
    <w:bookmarkEnd w:id="55"/>
    <w:bookmarkEnd w:id="56"/>
    <w:bookmarkEnd w:id="57"/>
    <w:bookmarkEnd w:id="58"/>
    <w:bookmarkEnd w:id="59"/>
    <w:p w14:paraId="46A7B2C9">
      <w:pPr>
        <w:pStyle w:val="8"/>
        <w:spacing w:after="120" w:afterLines="50" w:line="360" w:lineRule="auto"/>
        <w:ind w:firstLine="0"/>
        <w:rPr>
          <w:rFonts w:ascii="宋体" w:hAnsi="宋体"/>
          <w:b/>
          <w:color w:val="auto"/>
          <w:sz w:val="30"/>
          <w:szCs w:val="30"/>
        </w:rPr>
      </w:pPr>
      <w:bookmarkStart w:id="60" w:name="_Toc183682352"/>
      <w:bookmarkStart w:id="61" w:name="_Toc217446043"/>
      <w:bookmarkStart w:id="62" w:name="_Toc183582215"/>
      <w:r>
        <w:rPr>
          <w:rFonts w:hint="eastAsia" w:ascii="宋体" w:hAnsi="宋体"/>
          <w:b/>
          <w:color w:val="auto"/>
          <w:sz w:val="30"/>
          <w:szCs w:val="30"/>
        </w:rPr>
        <w:t>3.1供应商资格要求</w:t>
      </w:r>
    </w:p>
    <w:p w14:paraId="29323E54">
      <w:pPr>
        <w:widowControl/>
        <w:adjustRightInd w:val="0"/>
        <w:snapToGrid w:val="0"/>
        <w:spacing w:line="360" w:lineRule="auto"/>
        <w:ind w:firstLine="420" w:firstLineChars="200"/>
        <w:jc w:val="left"/>
        <w:rPr>
          <w:rFonts w:hint="eastAsia" w:asciiTheme="minorEastAsia" w:hAnsiTheme="minorEastAsia" w:eastAsiaTheme="minorEastAsia" w:cstheme="minorEastAsia"/>
          <w:b/>
          <w:bCs/>
          <w:color w:val="auto"/>
          <w:kern w:val="2"/>
          <w:sz w:val="21"/>
          <w:szCs w:val="21"/>
          <w:lang w:val="en-US" w:eastAsia="zh-CN" w:bidi="ar-SA"/>
        </w:rPr>
      </w:pPr>
      <w:r>
        <w:rPr>
          <w:rFonts w:hint="eastAsia" w:ascii="宋体" w:hAnsi="宋体"/>
          <w:color w:val="auto"/>
          <w:szCs w:val="21"/>
        </w:rPr>
        <w:t xml:space="preserve">3.1.1 </w:t>
      </w:r>
      <w:r>
        <w:rPr>
          <w:rFonts w:hint="eastAsia" w:ascii="宋体" w:hAnsi="宋体" w:cs="宋体"/>
          <w:color w:val="auto"/>
          <w:kern w:val="0"/>
          <w:szCs w:val="21"/>
        </w:rPr>
        <w:t>供应商应符合《中华人民共和国政府采购法》第二十二条规定的资格条件，</w:t>
      </w:r>
      <w:r>
        <w:rPr>
          <w:rFonts w:hint="eastAsia" w:ascii="宋体" w:hAnsi="宋体" w:cs="宋体"/>
          <w:color w:val="auto"/>
          <w:kern w:val="0"/>
          <w:szCs w:val="21"/>
          <w:lang w:val="zh-CN"/>
        </w:rPr>
        <w:t>并按照《政府采购法实施条例》第十七条规定提供下列材料：</w:t>
      </w:r>
    </w:p>
    <w:p w14:paraId="3F835929">
      <w:pPr>
        <w:pStyle w:val="19"/>
        <w:snapToGrid w:val="0"/>
        <w:spacing w:before="0" w:beforeAutospacing="0" w:after="0" w:afterAutospacing="0" w:line="360" w:lineRule="auto"/>
        <w:ind w:firstLine="420" w:firstLineChars="200"/>
        <w:jc w:val="both"/>
        <w:textAlignment w:val="baseline"/>
        <w:rPr>
          <w:rFonts w:cs="宋体"/>
          <w:b/>
          <w:bCs/>
          <w:color w:val="auto"/>
          <w:sz w:val="21"/>
          <w:szCs w:val="21"/>
          <w:shd w:val="clear" w:color="auto" w:fill="FFFFFF"/>
        </w:rPr>
      </w:pPr>
      <w:r>
        <w:rPr>
          <w:rFonts w:hint="eastAsia" w:cs="宋体"/>
          <w:color w:val="auto"/>
          <w:sz w:val="21"/>
          <w:szCs w:val="21"/>
          <w:shd w:val="clear" w:color="auto" w:fill="FFFFFF"/>
        </w:rPr>
        <w:t>（1）具有独立承担民事责任能力的法人、其他组织或自然人，并出具合法有效的营业执照或事业单位法人证书等国家规定的相关证明，自然人参与的提供其身份证明；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（2）具备地质灾害评估和治理工程勘察设计甲级及以上资质；</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（3）拟派项目负责人须具备相关专业中级及以上职称；</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4</w:t>
      </w:r>
      <w:r>
        <w:rPr>
          <w:rFonts w:hint="eastAsia" w:cs="宋体"/>
          <w:color w:val="auto"/>
          <w:sz w:val="21"/>
          <w:szCs w:val="21"/>
          <w:shd w:val="clear" w:color="auto" w:fill="FFFFFF"/>
        </w:rPr>
        <w:t>）法定代表人授权代表参加磋商的，提供法定代表人授权委托书及被授权人身份证原件；法定代表人参加磋商时,提供法定代表人身份证明及本人身份证原件；</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5</w:t>
      </w:r>
      <w:r>
        <w:rPr>
          <w:rFonts w:hint="eastAsia" w:cs="宋体"/>
          <w:color w:val="auto"/>
          <w:sz w:val="21"/>
          <w:szCs w:val="21"/>
          <w:shd w:val="clear" w:color="auto" w:fill="FFFFFF"/>
        </w:rPr>
        <w:t>）社会保障资金缴纳证明：供应商提供本单位响应截止时间前六个月内已缴纳的至少一个月的社会保障资金缴存单据或社保机构开具的社会保险参保缴费情况证明，单据或证明上应有社保机构或代收机构的公章。依法不需要缴纳社会保障资金的供应商应提供相关文件证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6</w:t>
      </w:r>
      <w:r>
        <w:rPr>
          <w:rFonts w:hint="eastAsia" w:cs="宋体"/>
          <w:color w:val="auto"/>
          <w:sz w:val="21"/>
          <w:szCs w:val="21"/>
          <w:shd w:val="clear" w:color="auto" w:fill="FFFFFF"/>
        </w:rPr>
        <w:t>）税收缴纳证明：供应商提供本单位响应截止时间前六个月内已缴纳的至少一个月的纳税证明或完税证明（增值税，印花税，企业所得税等一种或多种税种），依法免税的单位应提供相关证明材料；</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7</w:t>
      </w:r>
      <w:r>
        <w:rPr>
          <w:rFonts w:hint="eastAsia" w:cs="宋体"/>
          <w:color w:val="auto"/>
          <w:sz w:val="21"/>
          <w:szCs w:val="21"/>
          <w:shd w:val="clear" w:color="auto" w:fill="FFFFFF"/>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8</w:t>
      </w:r>
      <w:r>
        <w:rPr>
          <w:rFonts w:hint="eastAsia" w:cs="宋体"/>
          <w:color w:val="auto"/>
          <w:sz w:val="21"/>
          <w:szCs w:val="21"/>
          <w:shd w:val="clear" w:color="auto" w:fill="FFFFFF"/>
        </w:rPr>
        <w:t>）供应商应出具参加政府采购活动前3年内在经营活动中没有重大违法记录的书面声明；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9</w:t>
      </w:r>
      <w:r>
        <w:rPr>
          <w:rFonts w:hint="eastAsia" w:cs="宋体"/>
          <w:color w:val="auto"/>
          <w:sz w:val="21"/>
          <w:szCs w:val="21"/>
          <w:shd w:val="clear" w:color="auto" w:fill="FFFFFF"/>
        </w:rPr>
        <w:t>）供应商应出具履行合同所必需的设备和专业技术能力的承诺声明；</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10</w:t>
      </w:r>
      <w:r>
        <w:rPr>
          <w:rFonts w:hint="eastAsia" w:cs="宋体"/>
          <w:color w:val="auto"/>
          <w:sz w:val="21"/>
          <w:szCs w:val="21"/>
          <w:shd w:val="clear" w:color="auto" w:fill="FFFFFF"/>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r>
        <w:rPr>
          <w:rFonts w:hint="eastAsia" w:cs="宋体"/>
          <w:color w:val="auto"/>
          <w:sz w:val="21"/>
          <w:szCs w:val="21"/>
          <w:shd w:val="clear" w:color="auto" w:fill="FFFFFF"/>
        </w:rPr>
        <w:br w:type="textWrapping"/>
      </w:r>
      <w:r>
        <w:rPr>
          <w:rFonts w:hint="eastAsia" w:cs="宋体"/>
          <w:color w:val="auto"/>
          <w:sz w:val="21"/>
          <w:szCs w:val="21"/>
          <w:shd w:val="clear" w:color="auto" w:fill="FFFFFF"/>
          <w:lang w:val="en-US" w:eastAsia="zh-CN"/>
        </w:rPr>
        <w:t xml:space="preserve">  </w:t>
      </w:r>
      <w:r>
        <w:rPr>
          <w:rFonts w:hint="eastAsia" w:cs="宋体"/>
          <w:color w:val="auto"/>
          <w:sz w:val="21"/>
          <w:szCs w:val="21"/>
          <w:shd w:val="clear" w:color="auto" w:fill="FFFFFF"/>
        </w:rPr>
        <w:t>（</w:t>
      </w:r>
      <w:r>
        <w:rPr>
          <w:rFonts w:hint="eastAsia" w:cs="宋体"/>
          <w:color w:val="auto"/>
          <w:sz w:val="21"/>
          <w:szCs w:val="21"/>
          <w:shd w:val="clear" w:color="auto" w:fill="FFFFFF"/>
          <w:lang w:val="en-US" w:eastAsia="zh-CN"/>
        </w:rPr>
        <w:t>11</w:t>
      </w:r>
      <w:r>
        <w:rPr>
          <w:rFonts w:hint="eastAsia" w:cs="宋体"/>
          <w:color w:val="auto"/>
          <w:sz w:val="21"/>
          <w:szCs w:val="21"/>
          <w:shd w:val="clear" w:color="auto" w:fill="FFFFFF"/>
        </w:rPr>
        <w:t>）本项目不接受联合体磋商。</w:t>
      </w:r>
    </w:p>
    <w:p w14:paraId="512DC392">
      <w:pPr>
        <w:snapToGrid w:val="0"/>
        <w:spacing w:line="360" w:lineRule="auto"/>
        <w:ind w:firstLine="422" w:firstLineChars="200"/>
        <w:jc w:val="left"/>
        <w:rPr>
          <w:rFonts w:hint="eastAsia" w:ascii="宋体" w:hAnsi="宋体" w:eastAsia="宋体" w:cs="宋体"/>
          <w:b/>
          <w:color w:val="000000"/>
          <w:sz w:val="21"/>
          <w:szCs w:val="21"/>
          <w:lang w:val="en-US" w:eastAsia="zh-CN"/>
        </w:rPr>
      </w:pPr>
      <w:r>
        <w:rPr>
          <w:rFonts w:hint="eastAsia" w:ascii="宋体" w:hAnsi="宋体" w:eastAsia="宋体" w:cs="宋体"/>
          <w:b/>
          <w:bCs/>
          <w:color w:val="000000"/>
          <w:sz w:val="21"/>
          <w:szCs w:val="21"/>
        </w:rPr>
        <w:t>注：</w:t>
      </w:r>
      <w:r>
        <w:rPr>
          <w:rFonts w:hint="eastAsia" w:ascii="宋体" w:hAnsi="宋体" w:eastAsia="宋体" w:cs="宋体"/>
          <w:b/>
          <w:color w:val="000000"/>
          <w:sz w:val="21"/>
          <w:szCs w:val="21"/>
        </w:rPr>
        <w:t>以上为必备资质，缺一项或某项达不到要求，按无效</w:t>
      </w:r>
      <w:r>
        <w:rPr>
          <w:rFonts w:hint="eastAsia" w:ascii="宋体" w:hAnsi="宋体" w:eastAsia="宋体" w:cs="宋体"/>
          <w:b/>
          <w:color w:val="000000"/>
          <w:sz w:val="21"/>
          <w:szCs w:val="21"/>
          <w:lang w:val="en-US" w:eastAsia="zh-CN"/>
        </w:rPr>
        <w:t>响应</w:t>
      </w:r>
      <w:r>
        <w:rPr>
          <w:rFonts w:hint="eastAsia" w:ascii="宋体" w:hAnsi="宋体" w:eastAsia="宋体" w:cs="宋体"/>
          <w:b/>
          <w:color w:val="000000"/>
          <w:sz w:val="21"/>
          <w:szCs w:val="21"/>
        </w:rPr>
        <w:t>处理。上述资格证明文件均须</w:t>
      </w:r>
      <w:bookmarkStart w:id="63" w:name="OLE_LINK5"/>
      <w:r>
        <w:rPr>
          <w:rFonts w:hint="eastAsia" w:ascii="宋体" w:hAnsi="宋体" w:eastAsia="宋体" w:cs="宋体"/>
          <w:b/>
          <w:color w:val="000000"/>
          <w:sz w:val="21"/>
          <w:szCs w:val="21"/>
        </w:rPr>
        <w:t>加盖公章。</w:t>
      </w:r>
      <w:r>
        <w:rPr>
          <w:rFonts w:hint="eastAsia" w:ascii="宋体" w:hAnsi="宋体" w:eastAsia="宋体" w:cs="宋体"/>
          <w:b/>
          <w:color w:val="000000"/>
          <w:sz w:val="21"/>
          <w:szCs w:val="21"/>
          <w:lang w:val="en-US" w:eastAsia="zh-CN"/>
        </w:rPr>
        <w:t>资格审查时以响应文件中所附证明材料为准；以采购人或</w:t>
      </w:r>
      <w:bookmarkEnd w:id="63"/>
      <w:r>
        <w:rPr>
          <w:rFonts w:hint="eastAsia" w:ascii="宋体" w:hAnsi="宋体" w:eastAsia="宋体" w:cs="宋体"/>
          <w:b/>
          <w:color w:val="000000"/>
          <w:sz w:val="21"/>
          <w:szCs w:val="21"/>
          <w:lang w:val="en-US" w:eastAsia="zh-CN"/>
        </w:rPr>
        <w:t>采购代理机构将在磋商响应截止日当天资格审查阶段通过</w:t>
      </w:r>
    </w:p>
    <w:p w14:paraId="033A5ECD">
      <w:pPr>
        <w:snapToGrid w:val="0"/>
        <w:spacing w:line="360" w:lineRule="auto"/>
        <w:ind w:left="420" w:leftChars="200" w:firstLine="0" w:firstLineChars="0"/>
        <w:jc w:val="left"/>
        <w:rPr>
          <w:rFonts w:hint="eastAsia" w:ascii="宋体" w:hAnsi="宋体" w:eastAsia="宋体" w:cs="宋体"/>
          <w:b/>
          <w:color w:val="000000"/>
          <w:sz w:val="21"/>
          <w:szCs w:val="21"/>
          <w:lang w:val="en-US" w:eastAsia="zh-CN"/>
        </w:rPr>
      </w:pPr>
      <w:bookmarkStart w:id="64" w:name="OLE_LINK6"/>
      <w:r>
        <w:rPr>
          <w:rFonts w:hint="eastAsia" w:ascii="宋体" w:hAnsi="宋体" w:eastAsia="宋体" w:cs="宋体"/>
          <w:b/>
          <w:color w:val="000000"/>
          <w:sz w:val="21"/>
          <w:szCs w:val="21"/>
          <w:lang w:val="en-US" w:eastAsia="zh-CN"/>
        </w:rPr>
        <w:t>【中国执行信息公开网”（http://zxgk.court.gov.cn）</w:t>
      </w:r>
      <w:bookmarkStart w:id="65" w:name="OLE_LINK3"/>
      <w:r>
        <w:rPr>
          <w:rFonts w:hint="eastAsia" w:ascii="宋体" w:hAnsi="宋体" w:eastAsia="宋体" w:cs="宋体"/>
          <w:b/>
          <w:color w:val="000000"/>
          <w:sz w:val="21"/>
          <w:szCs w:val="21"/>
          <w:lang w:val="en-US" w:eastAsia="zh-CN"/>
        </w:rPr>
        <w:t>】</w:t>
      </w:r>
      <w:bookmarkEnd w:id="64"/>
    </w:p>
    <w:p w14:paraId="0DDFB32D">
      <w:pPr>
        <w:snapToGrid w:val="0"/>
        <w:spacing w:line="360" w:lineRule="auto"/>
        <w:ind w:left="420" w:leftChars="200" w:firstLine="0" w:firstLineChars="0"/>
        <w:jc w:val="left"/>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w:t>
      </w:r>
      <w:bookmarkEnd w:id="65"/>
      <w:r>
        <w:rPr>
          <w:rFonts w:hint="eastAsia" w:ascii="宋体" w:hAnsi="宋体" w:eastAsia="宋体" w:cs="宋体"/>
          <w:b/>
          <w:color w:val="000000"/>
          <w:sz w:val="21"/>
          <w:szCs w:val="21"/>
          <w:lang w:val="en-US" w:eastAsia="zh-CN"/>
        </w:rPr>
        <w:t>信用中国（www.creditchina.gov.cn）</w:t>
      </w:r>
      <w:bookmarkStart w:id="66" w:name="OLE_LINK4"/>
      <w:r>
        <w:rPr>
          <w:rFonts w:hint="eastAsia" w:ascii="宋体" w:hAnsi="宋体" w:eastAsia="宋体" w:cs="宋体"/>
          <w:b/>
          <w:color w:val="000000"/>
          <w:sz w:val="21"/>
          <w:szCs w:val="21"/>
          <w:lang w:val="en-US" w:eastAsia="zh-CN"/>
        </w:rPr>
        <w:t>】</w:t>
      </w:r>
      <w:bookmarkEnd w:id="66"/>
    </w:p>
    <w:p w14:paraId="7B5093E1">
      <w:pPr>
        <w:tabs>
          <w:tab w:val="left" w:pos="720"/>
        </w:tabs>
        <w:snapToGrid w:val="0"/>
        <w:spacing w:before="120" w:beforeLines="50" w:after="120" w:afterLines="50" w:line="360" w:lineRule="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【中国政府采购网（www.ccgp.gov.cn）】网站对供应商的信用情况进行查询为准。（如相关失信记录已失效，供应商需提供相关证明资料，若没有则此项不需要提供）</w:t>
      </w:r>
    </w:p>
    <w:p w14:paraId="1B57DF7F">
      <w:pPr>
        <w:tabs>
          <w:tab w:val="left" w:pos="720"/>
        </w:tabs>
        <w:snapToGrid w:val="0"/>
        <w:spacing w:before="120" w:beforeLines="50" w:after="120" w:afterLines="50" w:line="360" w:lineRule="auto"/>
        <w:rPr>
          <w:rFonts w:ascii="宋体" w:hAnsi="宋体"/>
          <w:color w:val="auto"/>
          <w:szCs w:val="21"/>
        </w:rPr>
      </w:pPr>
      <w:r>
        <w:rPr>
          <w:rFonts w:hint="eastAsia" w:hAnsi="宋体"/>
          <w:b/>
          <w:color w:val="auto"/>
          <w:sz w:val="30"/>
          <w:szCs w:val="30"/>
        </w:rPr>
        <w:t>3.2</w:t>
      </w:r>
      <w:r>
        <w:rPr>
          <w:rFonts w:hint="eastAsia" w:hAnsi="宋体"/>
          <w:b/>
          <w:bCs/>
          <w:color w:val="auto"/>
          <w:sz w:val="30"/>
          <w:szCs w:val="30"/>
        </w:rPr>
        <w:t>授权委托</w:t>
      </w:r>
    </w:p>
    <w:p w14:paraId="32CBF427">
      <w:pPr>
        <w:pStyle w:val="11"/>
        <w:adjustRightInd w:val="0"/>
        <w:snapToGrid w:val="0"/>
        <w:spacing w:line="360" w:lineRule="auto"/>
        <w:ind w:firstLine="527" w:firstLineChars="250"/>
        <w:rPr>
          <w:rFonts w:hint="eastAsia" w:ascii="宋体" w:eastAsia="宋体" w:cs="宋体"/>
          <w:b/>
          <w:bCs/>
          <w:color w:val="auto"/>
          <w:sz w:val="21"/>
          <w:szCs w:val="21"/>
          <w:shd w:val="clear" w:color="auto" w:fill="FFFFFF"/>
        </w:rPr>
      </w:pPr>
      <w:r>
        <w:rPr>
          <w:rFonts w:hint="eastAsia" w:ascii="宋体" w:eastAsia="宋体" w:cs="宋体"/>
          <w:b/>
          <w:bCs/>
          <w:color w:val="auto"/>
          <w:sz w:val="21"/>
          <w:szCs w:val="21"/>
          <w:shd w:val="clear" w:color="auto" w:fill="FFFFFF"/>
        </w:rPr>
        <w:t>3.2.1法定代表人参加</w:t>
      </w:r>
      <w:r>
        <w:rPr>
          <w:rFonts w:hint="eastAsia" w:ascii="宋体" w:eastAsia="宋体" w:cs="宋体"/>
          <w:b/>
          <w:bCs/>
          <w:color w:val="auto"/>
          <w:sz w:val="21"/>
          <w:szCs w:val="21"/>
          <w:shd w:val="clear" w:color="auto" w:fill="FFFFFF"/>
          <w:lang w:val="en-US" w:eastAsia="zh-CN"/>
        </w:rPr>
        <w:t>磋商</w:t>
      </w:r>
      <w:r>
        <w:rPr>
          <w:rFonts w:hint="eastAsia" w:ascii="宋体" w:eastAsia="宋体" w:cs="宋体"/>
          <w:b/>
          <w:bCs/>
          <w:color w:val="auto"/>
          <w:sz w:val="21"/>
          <w:szCs w:val="21"/>
          <w:shd w:val="clear" w:color="auto" w:fill="FFFFFF"/>
        </w:rPr>
        <w:t>的，提供法定代表人身份证明书（附法定代表人身份证复印件）；法定代表人授权他人参加</w:t>
      </w:r>
      <w:r>
        <w:rPr>
          <w:rFonts w:hint="eastAsia" w:ascii="宋体" w:eastAsia="宋体" w:cs="宋体"/>
          <w:b/>
          <w:bCs/>
          <w:color w:val="auto"/>
          <w:sz w:val="21"/>
          <w:szCs w:val="21"/>
          <w:shd w:val="clear" w:color="auto" w:fill="FFFFFF"/>
          <w:lang w:val="en-US" w:eastAsia="zh-CN"/>
        </w:rPr>
        <w:t>磋商</w:t>
      </w:r>
      <w:r>
        <w:rPr>
          <w:rFonts w:hint="eastAsia" w:ascii="宋体" w:eastAsia="宋体" w:cs="宋体"/>
          <w:b/>
          <w:bCs/>
          <w:color w:val="auto"/>
          <w:sz w:val="21"/>
          <w:szCs w:val="21"/>
          <w:shd w:val="clear" w:color="auto" w:fill="FFFFFF"/>
        </w:rPr>
        <w:t>的，提供法定代表人授权委托书（附法定代表人身份证复印件及被授权人身份证复印件）</w:t>
      </w:r>
      <w:r>
        <w:rPr>
          <w:rFonts w:hint="eastAsia" w:cs="宋体"/>
          <w:b/>
          <w:bCs/>
          <w:color w:val="auto"/>
          <w:sz w:val="21"/>
          <w:szCs w:val="21"/>
          <w:shd w:val="clear" w:color="auto" w:fill="FFFFFF"/>
          <w:lang w:val="en-US" w:eastAsia="zh-CN"/>
        </w:rPr>
        <w:t>及近一个月社保证明材料</w:t>
      </w:r>
      <w:r>
        <w:rPr>
          <w:rFonts w:hint="eastAsia" w:ascii="宋体" w:eastAsia="宋体" w:cs="宋体"/>
          <w:b/>
          <w:bCs/>
          <w:color w:val="auto"/>
          <w:sz w:val="21"/>
          <w:szCs w:val="21"/>
          <w:shd w:val="clear" w:color="auto" w:fill="FFFFFF"/>
        </w:rPr>
        <w:t>；</w:t>
      </w:r>
    </w:p>
    <w:p w14:paraId="451FBEC1">
      <w:pPr>
        <w:pStyle w:val="11"/>
        <w:adjustRightInd w:val="0"/>
        <w:snapToGrid w:val="0"/>
        <w:spacing w:line="360" w:lineRule="auto"/>
        <w:ind w:firstLine="527" w:firstLineChars="250"/>
        <w:rPr>
          <w:rFonts w:hint="eastAsia" w:ascii="宋体" w:eastAsia="宋体" w:cs="宋体"/>
          <w:b/>
          <w:bCs/>
          <w:color w:val="auto"/>
          <w:sz w:val="21"/>
          <w:szCs w:val="21"/>
          <w:shd w:val="clear" w:color="auto" w:fill="FFFFFF"/>
        </w:rPr>
      </w:pPr>
      <w:r>
        <w:rPr>
          <w:rFonts w:hint="eastAsia" w:ascii="宋体" w:eastAsia="宋体" w:cs="宋体"/>
          <w:b/>
          <w:bCs/>
          <w:color w:val="auto"/>
          <w:sz w:val="21"/>
          <w:szCs w:val="21"/>
          <w:shd w:val="clear" w:color="auto" w:fill="FFFFFF"/>
        </w:rPr>
        <w:t>3.2.2供应商应当委托本单位正式员工作为磋商代表，且磋商代表只能接受一个供应商的委托参加磋商。</w:t>
      </w:r>
    </w:p>
    <w:p w14:paraId="1FA766A8">
      <w:pPr>
        <w:pStyle w:val="11"/>
        <w:adjustRightInd w:val="0"/>
        <w:snapToGrid w:val="0"/>
        <w:spacing w:before="120" w:beforeLines="50" w:after="120" w:afterLines="50" w:line="360" w:lineRule="auto"/>
        <w:ind w:left="-178" w:leftChars="-85" w:firstLine="220" w:firstLineChars="73"/>
        <w:rPr>
          <w:color w:val="auto"/>
          <w:kern w:val="0"/>
          <w:sz w:val="30"/>
          <w:szCs w:val="30"/>
        </w:rPr>
      </w:pPr>
      <w:r>
        <w:rPr>
          <w:rFonts w:hint="eastAsia" w:hAnsi="宋体"/>
          <w:b/>
          <w:color w:val="auto"/>
          <w:sz w:val="30"/>
          <w:szCs w:val="30"/>
        </w:rPr>
        <w:t>3.3联合体磋商</w:t>
      </w:r>
    </w:p>
    <w:p w14:paraId="2E9911B2">
      <w:pPr>
        <w:tabs>
          <w:tab w:val="left" w:pos="7665"/>
        </w:tabs>
        <w:spacing w:line="360" w:lineRule="auto"/>
        <w:ind w:left="13" w:leftChars="6" w:firstLine="411" w:firstLineChars="196"/>
        <w:rPr>
          <w:rFonts w:ascii="宋体" w:hAnsi="宋体"/>
          <w:color w:val="auto"/>
          <w:szCs w:val="21"/>
        </w:rPr>
      </w:pPr>
      <w:r>
        <w:rPr>
          <w:rFonts w:hint="eastAsia" w:ascii="宋体" w:hAnsi="宋体"/>
          <w:color w:val="auto"/>
          <w:szCs w:val="21"/>
        </w:rPr>
        <w:t>本项目不允许联合投标。</w:t>
      </w:r>
    </w:p>
    <w:p w14:paraId="6E4E0465">
      <w:pPr>
        <w:adjustRightInd w:val="0"/>
        <w:snapToGrid w:val="0"/>
        <w:spacing w:before="120" w:beforeLines="50" w:after="120" w:afterLines="50" w:line="360" w:lineRule="auto"/>
        <w:jc w:val="left"/>
        <w:rPr>
          <w:rFonts w:ascii="宋体" w:hAnsi="宋体"/>
          <w:b/>
          <w:color w:val="auto"/>
          <w:sz w:val="30"/>
          <w:szCs w:val="30"/>
        </w:rPr>
      </w:pPr>
      <w:r>
        <w:rPr>
          <w:rFonts w:hint="eastAsia" w:ascii="宋体" w:hAnsi="宋体"/>
          <w:b/>
          <w:color w:val="auto"/>
          <w:sz w:val="30"/>
          <w:szCs w:val="30"/>
        </w:rPr>
        <w:t>3.4享受的政府采购政策</w:t>
      </w:r>
    </w:p>
    <w:p w14:paraId="2CC136AC">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3.4.1落实促进支持中小企业、监狱企业、残疾人福利性单位发展、脱贫攻坚工作的政策(如为专门面向中小企业的采购项目（或采购包），不执行3.4.1.1，3.4.1.2，3.4.1.3条款。)</w:t>
      </w:r>
    </w:p>
    <w:p w14:paraId="0A23323B">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3.4.1.1 《政府采购促进中小企业发展管理办法》（财库〔2020〕46号）</w:t>
      </w:r>
    </w:p>
    <w:p w14:paraId="7A5DC84F">
      <w:pPr>
        <w:spacing w:line="360" w:lineRule="auto"/>
        <w:ind w:firstLine="420" w:firstLineChars="200"/>
        <w:rPr>
          <w:rFonts w:ascii="宋体" w:hAnsi="宋体" w:cs="宋体"/>
          <w:color w:val="auto"/>
          <w:szCs w:val="21"/>
        </w:rPr>
      </w:pPr>
      <w:r>
        <w:rPr>
          <w:rFonts w:hint="eastAsia" w:ascii="宋体" w:hAnsi="宋体" w:cs="宋体"/>
          <w:color w:val="auto"/>
          <w:szCs w:val="21"/>
        </w:rPr>
        <w:t>在政府采购活动中，供应商提供的货物、工程或者服务符合下列情形的，享受《办法》规定的中小企业扶持政策：</w:t>
      </w:r>
    </w:p>
    <w:p w14:paraId="1E8FB4CE">
      <w:pPr>
        <w:spacing w:line="360" w:lineRule="auto"/>
        <w:ind w:firstLine="420" w:firstLineChars="200"/>
        <w:rPr>
          <w:rFonts w:ascii="宋体" w:hAnsi="宋体" w:cs="宋体"/>
          <w:color w:val="auto"/>
          <w:szCs w:val="21"/>
        </w:rPr>
      </w:pPr>
      <w:r>
        <w:rPr>
          <w:rFonts w:hint="eastAsia" w:ascii="宋体" w:hAnsi="宋体" w:cs="宋体"/>
          <w:color w:val="auto"/>
          <w:szCs w:val="21"/>
        </w:rPr>
        <w:t>(一)在货物采购项目中，货物由中小企业制造，即货物由中小企业生产且使用该中小企业商号或者注册商标；</w:t>
      </w:r>
    </w:p>
    <w:p w14:paraId="754766B5">
      <w:pPr>
        <w:spacing w:line="360" w:lineRule="auto"/>
        <w:ind w:firstLine="420" w:firstLineChars="200"/>
        <w:rPr>
          <w:rFonts w:ascii="宋体" w:hAnsi="宋体" w:cs="宋体"/>
          <w:color w:val="auto"/>
          <w:szCs w:val="21"/>
        </w:rPr>
      </w:pPr>
      <w:r>
        <w:rPr>
          <w:rFonts w:hint="eastAsia" w:ascii="宋体" w:hAnsi="宋体" w:cs="宋体"/>
          <w:color w:val="auto"/>
          <w:szCs w:val="21"/>
        </w:rPr>
        <w:t>(二)在工程采购项目中，工程由中小企业承建，即工程施工单位为中小企业；</w:t>
      </w:r>
    </w:p>
    <w:p w14:paraId="1B7FC101">
      <w:pPr>
        <w:spacing w:line="360" w:lineRule="auto"/>
        <w:ind w:firstLine="420" w:firstLineChars="200"/>
        <w:rPr>
          <w:rFonts w:ascii="宋体" w:hAnsi="宋体" w:cs="宋体"/>
          <w:color w:val="auto"/>
          <w:szCs w:val="21"/>
        </w:rPr>
      </w:pPr>
      <w:r>
        <w:rPr>
          <w:rFonts w:hint="eastAsia" w:ascii="宋体" w:hAnsi="宋体" w:cs="宋体"/>
          <w:color w:val="auto"/>
          <w:szCs w:val="21"/>
        </w:rPr>
        <w:t>(三)在服务采购项目中，服务由中小企业承接，即提供服务的人员为中小企业依照《中华人民共和国劳动法》订立劳动合同的从业人员。</w:t>
      </w:r>
    </w:p>
    <w:p w14:paraId="5F2FC18B">
      <w:pPr>
        <w:spacing w:line="360" w:lineRule="auto"/>
        <w:ind w:firstLine="420" w:firstLineChars="200"/>
        <w:rPr>
          <w:rFonts w:ascii="宋体" w:hAnsi="宋体" w:cs="宋体"/>
          <w:color w:val="auto"/>
          <w:szCs w:val="21"/>
        </w:rPr>
      </w:pPr>
      <w:r>
        <w:rPr>
          <w:rFonts w:hint="eastAsia" w:ascii="宋体" w:hAnsi="宋体" w:cs="宋体"/>
          <w:color w:val="auto"/>
          <w:szCs w:val="21"/>
        </w:rPr>
        <w:t>在货物采购项目中，供应商提供的货物既有中小企业制造货物，也有大型企业制造货物的，不享受《办法》规定的中小企业扶持政策。</w:t>
      </w:r>
    </w:p>
    <w:p w14:paraId="43513367">
      <w:pPr>
        <w:spacing w:line="360" w:lineRule="auto"/>
        <w:ind w:firstLine="420" w:firstLineChars="200"/>
        <w:rPr>
          <w:rFonts w:ascii="宋体" w:hAnsi="宋体" w:cs="宋体"/>
          <w:color w:val="auto"/>
          <w:szCs w:val="21"/>
        </w:rPr>
      </w:pPr>
      <w:r>
        <w:rPr>
          <w:rFonts w:hint="eastAsia" w:ascii="宋体" w:hAnsi="宋体" w:cs="宋体"/>
          <w:color w:val="auto"/>
          <w:szCs w:val="21"/>
        </w:rPr>
        <w:t>以联合体形式参加政府采购活动，联合体各方均为中小企业的，联合体视同中小企业。其中，联合体各方均为小微企业的，联合体视同小微企业。</w:t>
      </w:r>
    </w:p>
    <w:p w14:paraId="3A18C20D">
      <w:pPr>
        <w:spacing w:line="360" w:lineRule="auto"/>
        <w:ind w:firstLine="420" w:firstLineChars="200"/>
        <w:rPr>
          <w:rFonts w:ascii="宋体" w:hAnsi="宋体" w:cs="宋体"/>
          <w:color w:val="auto"/>
          <w:szCs w:val="21"/>
        </w:rPr>
      </w:pPr>
      <w:r>
        <w:rPr>
          <w:rFonts w:hint="eastAsia" w:ascii="宋体" w:hAnsi="宋体" w:cs="宋体"/>
          <w:color w:val="auto"/>
          <w:szCs w:val="21"/>
        </w:rPr>
        <w:t>依据《办法》规定享受扶持政策获得政府采购合同的，小微企业不得将合同分包给大中型企业，中型企业不得将合同分包给大型企业。</w:t>
      </w:r>
    </w:p>
    <w:p w14:paraId="5806C96C">
      <w:pPr>
        <w:spacing w:line="360" w:lineRule="auto"/>
        <w:ind w:firstLine="420" w:firstLineChars="200"/>
        <w:rPr>
          <w:rFonts w:ascii="宋体" w:hAnsi="宋体" w:cs="宋体"/>
          <w:color w:val="auto"/>
          <w:szCs w:val="21"/>
        </w:rPr>
      </w:pPr>
      <w:r>
        <w:rPr>
          <w:rFonts w:hint="eastAsia" w:ascii="宋体" w:hAnsi="宋体" w:cs="宋体"/>
          <w:color w:val="auto"/>
          <w:szCs w:val="21"/>
        </w:rPr>
        <w:t>根据《政府采购促进中小企业发展管理办法》的通知（财库〔2020〕46号）规定，参加政府采购活动的中小企业应当提供《中小企业声明函》。供应商提供的《中小企业声明函》原件必须真实，否则，按照有关规定予以处理。</w:t>
      </w:r>
    </w:p>
    <w:p w14:paraId="22C75E71">
      <w:pPr>
        <w:spacing w:line="360" w:lineRule="auto"/>
        <w:ind w:firstLine="420" w:firstLineChars="200"/>
        <w:rPr>
          <w:rFonts w:ascii="宋体" w:hAnsi="宋体" w:cs="宋体"/>
          <w:color w:val="auto"/>
          <w:szCs w:val="21"/>
        </w:rPr>
      </w:pPr>
      <w:r>
        <w:rPr>
          <w:rFonts w:hint="eastAsia" w:ascii="宋体" w:hAnsi="宋体" w:cs="宋体"/>
          <w:color w:val="auto"/>
          <w:szCs w:val="21"/>
        </w:rPr>
        <w:t>根据《政府采购促进中小企业发展管理办法》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43AFB68D">
      <w:pPr>
        <w:spacing w:line="360" w:lineRule="auto"/>
        <w:ind w:firstLine="420" w:firstLineChars="200"/>
        <w:rPr>
          <w:rFonts w:ascii="宋体" w:hAnsi="宋体" w:cs="宋体"/>
          <w:color w:val="auto"/>
          <w:szCs w:val="21"/>
        </w:rPr>
      </w:pPr>
      <w:r>
        <w:rPr>
          <w:rFonts w:hint="eastAsia" w:ascii="宋体" w:hAnsi="宋体" w:cs="宋体"/>
          <w:color w:val="auto"/>
          <w:szCs w:val="21"/>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04782CB5">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 xml:space="preserve">3.4.1.2 《财政部 司法部关于政府采购支持监狱企业发展有关问题的通知》（财库〔2014〕68号） </w:t>
      </w:r>
    </w:p>
    <w:p w14:paraId="552E9B89">
      <w:pPr>
        <w:spacing w:line="360" w:lineRule="auto"/>
        <w:ind w:firstLine="420" w:firstLineChars="200"/>
        <w:rPr>
          <w:rFonts w:ascii="宋体" w:hAnsi="宋体" w:cs="宋体"/>
          <w:color w:val="auto"/>
          <w:szCs w:val="21"/>
        </w:rPr>
      </w:pPr>
      <w:r>
        <w:rPr>
          <w:rFonts w:hint="eastAsia" w:ascii="宋体" w:hAnsi="宋体" w:cs="宋体"/>
          <w:color w:val="auto"/>
          <w:szCs w:val="21"/>
        </w:rPr>
        <w:t>监狱企业参加政府采购活动时，应当提供由省级以上监狱管理局、戒毒管理局（含新疆生产建设兵团）出具的属于监狱企业的证明文件。在政府采购活动中，监狱企业视同小型、微型企业。</w:t>
      </w:r>
    </w:p>
    <w:p w14:paraId="6ADAD511">
      <w:pPr>
        <w:spacing w:line="360" w:lineRule="auto"/>
        <w:ind w:firstLine="422" w:firstLineChars="200"/>
        <w:rPr>
          <w:rFonts w:ascii="宋体" w:hAnsi="宋体" w:cs="宋体"/>
          <w:color w:val="auto"/>
          <w:szCs w:val="21"/>
        </w:rPr>
      </w:pPr>
      <w:r>
        <w:rPr>
          <w:rFonts w:hint="eastAsia" w:ascii="宋体" w:hAnsi="宋体" w:cs="宋体"/>
          <w:b/>
          <w:bCs/>
          <w:color w:val="auto"/>
          <w:szCs w:val="21"/>
        </w:rPr>
        <w:t>3.4.1.3 《三部门联合发布关于促进残疾人就业政府采购政策的通知》（财库〔2</w:t>
      </w:r>
      <w:r>
        <w:rPr>
          <w:rFonts w:hint="eastAsia" w:ascii="宋体" w:hAnsi="宋体" w:cs="宋体"/>
          <w:b/>
          <w:bCs/>
          <w:color w:val="auto"/>
          <w:szCs w:val="21"/>
          <w:lang w:eastAsia="zh-CN"/>
        </w:rPr>
        <w:t>037</w:t>
      </w:r>
      <w:r>
        <w:rPr>
          <w:rFonts w:hint="eastAsia" w:ascii="宋体" w:hAnsi="宋体" w:cs="宋体"/>
          <w:b/>
          <w:bCs/>
          <w:color w:val="auto"/>
          <w:szCs w:val="21"/>
        </w:rPr>
        <w:t>〕141号）；</w:t>
      </w:r>
    </w:p>
    <w:p w14:paraId="7855463E">
      <w:pPr>
        <w:spacing w:line="360" w:lineRule="auto"/>
        <w:ind w:firstLine="420" w:firstLineChars="200"/>
        <w:rPr>
          <w:rFonts w:ascii="宋体" w:hAnsi="宋体" w:cs="宋体"/>
          <w:b/>
          <w:bCs/>
          <w:color w:val="auto"/>
          <w:szCs w:val="21"/>
        </w:rPr>
      </w:pPr>
      <w:r>
        <w:rPr>
          <w:rFonts w:hint="eastAsia" w:ascii="宋体" w:hAnsi="宋体" w:cs="宋体"/>
          <w:color w:val="auto"/>
          <w:szCs w:val="21"/>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7B3728CF">
      <w:pPr>
        <w:adjustRightInd w:val="0"/>
        <w:snapToGrid w:val="0"/>
        <w:spacing w:line="360" w:lineRule="auto"/>
        <w:ind w:firstLine="632" w:firstLineChars="300"/>
        <w:rPr>
          <w:rFonts w:ascii="宋体" w:hAnsi="宋体" w:cs="宋体"/>
          <w:b/>
          <w:bCs/>
          <w:color w:val="auto"/>
          <w:szCs w:val="21"/>
        </w:rPr>
      </w:pPr>
      <w:r>
        <w:rPr>
          <w:rFonts w:hint="eastAsia" w:ascii="宋体" w:hAnsi="宋体" w:cs="宋体"/>
          <w:b/>
          <w:bCs/>
          <w:color w:val="auto"/>
          <w:szCs w:val="21"/>
        </w:rPr>
        <w:t>3.4.1.4</w:t>
      </w:r>
      <w:r>
        <w:rPr>
          <w:rFonts w:hint="eastAsia"/>
          <w:b/>
          <w:bCs/>
          <w:color w:val="auto"/>
          <w:szCs w:val="22"/>
        </w:rPr>
        <w:t>《财政部国务院扶贫办关于运用政府采购政策支持脱贫攻坚的通知》--（财库〔2019〕27号）</w:t>
      </w:r>
    </w:p>
    <w:p w14:paraId="7CDFB8F3">
      <w:pPr>
        <w:spacing w:line="360" w:lineRule="auto"/>
        <w:ind w:firstLine="420" w:firstLineChars="200"/>
        <w:rPr>
          <w:rFonts w:ascii="宋体" w:hAnsi="宋体" w:cs="宋体"/>
          <w:color w:val="auto"/>
          <w:szCs w:val="21"/>
        </w:rPr>
      </w:pPr>
      <w:r>
        <w:rPr>
          <w:rFonts w:hint="eastAsia" w:ascii="宋体" w:hAnsi="宋体" w:cs="宋体"/>
          <w:color w:val="auto"/>
          <w:szCs w:val="21"/>
        </w:rPr>
        <w:t>《财政部国务院扶贫办关于运用政府采购政策支持脱贫攻坚的通知》--（财库〔2019〕27号）各级预算单位采购农副产品的，同等条件下应优先采购贫困地区农副产品。贫困地区农副产品是指832个国家级贫困县域内注册的企业、农民专业合作社、家庭农场等出产的农副产品。</w:t>
      </w:r>
    </w:p>
    <w:p w14:paraId="2FA15068">
      <w:pPr>
        <w:spacing w:line="360" w:lineRule="auto"/>
        <w:ind w:firstLine="420" w:firstLineChars="200"/>
        <w:rPr>
          <w:rFonts w:ascii="宋体" w:hAnsi="宋体" w:cs="宋体"/>
          <w:b/>
          <w:bCs/>
          <w:color w:val="auto"/>
          <w:szCs w:val="21"/>
        </w:rPr>
      </w:pPr>
      <w:r>
        <w:rPr>
          <w:rFonts w:hint="eastAsia" w:ascii="宋体" w:hAnsi="宋体" w:cs="宋体"/>
          <w:color w:val="auto"/>
          <w:szCs w:val="21"/>
        </w:rPr>
        <w:t>各级预算单位使用财政性资金采购物业服务的，有条件的应当优先采购注册地在832个国家级贫困县域内，且聘用建档立卡贫困人员物业公司提供的物业服务。</w:t>
      </w:r>
    </w:p>
    <w:p w14:paraId="50B431C5">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3.4.2落实优先采购节能、环保产品的政策</w:t>
      </w:r>
    </w:p>
    <w:p w14:paraId="7B2004B5">
      <w:pPr>
        <w:spacing w:line="360" w:lineRule="auto"/>
        <w:ind w:firstLine="420" w:firstLineChars="200"/>
        <w:rPr>
          <w:rFonts w:ascii="宋体" w:hAnsi="宋体" w:cs="宋体"/>
          <w:color w:val="auto"/>
          <w:szCs w:val="21"/>
        </w:rPr>
      </w:pPr>
      <w:r>
        <w:rPr>
          <w:rFonts w:hint="eastAsia" w:ascii="宋体" w:hAnsi="宋体" w:cs="宋体"/>
          <w:color w:val="auto"/>
          <w:szCs w:val="21"/>
        </w:rPr>
        <w:t>3.4.2.1 根据《财政部 国家发展改革委关于印发〈节能产品政府采购实施意见〉的通知》（财库〔2004〕185号）规定“政府采购属于节能产品品目清单的，在技术、服务等指标同等条件下，应当优先采购节能品目清单的节能产品。”</w:t>
      </w:r>
    </w:p>
    <w:p w14:paraId="7832193C">
      <w:pPr>
        <w:spacing w:line="360" w:lineRule="auto"/>
        <w:ind w:firstLine="420" w:firstLineChars="200"/>
        <w:rPr>
          <w:rFonts w:ascii="宋体" w:hAnsi="宋体" w:cs="宋体"/>
          <w:color w:val="auto"/>
          <w:szCs w:val="21"/>
        </w:rPr>
      </w:pPr>
      <w:r>
        <w:rPr>
          <w:rFonts w:hint="eastAsia" w:ascii="宋体" w:hAnsi="宋体" w:cs="宋体"/>
          <w:color w:val="auto"/>
          <w:szCs w:val="21"/>
        </w:rPr>
        <w:t>3.4.2.2 根据《财政部环保总局关于环境标志产品政府采购实施的意见》（财库〔2006〕90号）规定“采购人采购的产品属于环境标志产品政府采购清单中品目的，在性能、技术、服务等指标同等条件下，应当优先采购清单中的产品”。</w:t>
      </w:r>
    </w:p>
    <w:p w14:paraId="57F81230">
      <w:pPr>
        <w:spacing w:line="360" w:lineRule="auto"/>
        <w:ind w:firstLine="420" w:firstLineChars="200"/>
        <w:rPr>
          <w:rFonts w:ascii="宋体" w:hAnsi="宋体" w:cs="宋体"/>
          <w:color w:val="auto"/>
          <w:szCs w:val="21"/>
        </w:rPr>
      </w:pPr>
      <w:r>
        <w:rPr>
          <w:rFonts w:hint="eastAsia" w:ascii="宋体" w:hAnsi="宋体" w:cs="宋体"/>
          <w:color w:val="auto"/>
          <w:szCs w:val="21"/>
        </w:rPr>
        <w:t>3.4.2.3 根据《国务院办公厅关于建立政府强制采购节能产品制度的通知》（国办发〔2007〕51号）有关要求，“使用财政性资金进行政府采购活动时，在技术、服务等指标满足采购需求的前提下，要优先采购节能产品，对部分节能效果、性能等达到要求的产品，实行强制采购，以促进节约能源，保护环境，降低政府机构能源费用开支。”</w:t>
      </w:r>
    </w:p>
    <w:p w14:paraId="345A3FB4">
      <w:pPr>
        <w:spacing w:line="360" w:lineRule="auto"/>
        <w:ind w:firstLine="420" w:firstLineChars="200"/>
        <w:rPr>
          <w:rFonts w:ascii="宋体" w:hAnsi="宋体" w:cs="宋体"/>
          <w:color w:val="auto"/>
          <w:szCs w:val="21"/>
        </w:rPr>
      </w:pPr>
      <w:r>
        <w:rPr>
          <w:rFonts w:hint="eastAsia" w:ascii="宋体" w:hAnsi="宋体" w:cs="宋体"/>
          <w:color w:val="auto"/>
          <w:szCs w:val="21"/>
        </w:rPr>
        <w:t>3.4.2.4 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94E4604">
      <w:pPr>
        <w:spacing w:line="360" w:lineRule="auto"/>
        <w:ind w:firstLine="420" w:firstLineChars="200"/>
        <w:rPr>
          <w:rFonts w:ascii="宋体" w:hAnsi="宋体" w:cs="宋体"/>
          <w:color w:val="auto"/>
          <w:szCs w:val="21"/>
        </w:rPr>
      </w:pPr>
      <w:r>
        <w:rPr>
          <w:rFonts w:hint="eastAsia" w:ascii="宋体" w:hAnsi="宋体" w:cs="宋体"/>
          <w:color w:val="auto"/>
          <w:szCs w:val="21"/>
        </w:rPr>
        <w:t>所有投标产品进入 “节能产品政府采购品目清单”的，应提供相关证书复印件，相关证书的颁发机构应来自《参与实施政府采购节能产品认证机构名录》。</w:t>
      </w:r>
    </w:p>
    <w:p w14:paraId="76BE8F48">
      <w:pPr>
        <w:spacing w:line="360" w:lineRule="auto"/>
        <w:ind w:firstLine="420" w:firstLineChars="200"/>
        <w:rPr>
          <w:rFonts w:ascii="宋体" w:hAnsi="宋体" w:cs="宋体"/>
          <w:b/>
          <w:bCs/>
          <w:color w:val="auto"/>
          <w:szCs w:val="21"/>
        </w:rPr>
      </w:pPr>
      <w:r>
        <w:rPr>
          <w:rFonts w:hint="eastAsia" w:ascii="宋体" w:hAnsi="宋体" w:cs="宋体"/>
          <w:color w:val="auto"/>
          <w:szCs w:val="21"/>
        </w:rPr>
        <w:t>所有投标产品进入“环境标志产品政府采购品目清单”的，应提供相关证书复印件，相关证书的颁发机构应来自《参与实施政府采购环境标志产品认证机构名录》。</w:t>
      </w:r>
    </w:p>
    <w:p w14:paraId="6D6D4A04">
      <w:pPr>
        <w:spacing w:line="360" w:lineRule="auto"/>
        <w:ind w:firstLine="420" w:firstLineChars="200"/>
        <w:rPr>
          <w:rFonts w:ascii="宋体" w:hAnsi="宋体" w:cs="宋体"/>
          <w:b/>
          <w:bCs/>
          <w:color w:val="auto"/>
          <w:szCs w:val="21"/>
        </w:rPr>
      </w:pPr>
      <w:r>
        <w:rPr>
          <w:rFonts w:hint="eastAsia" w:ascii="宋体" w:hAnsi="宋体" w:cs="宋体"/>
          <w:color w:val="auto"/>
          <w:szCs w:val="21"/>
        </w:rPr>
        <w:t>3.4.2.5</w:t>
      </w:r>
      <w:r>
        <w:rPr>
          <w:rFonts w:hint="eastAsia"/>
          <w:color w:val="auto"/>
        </w:rPr>
        <w:t xml:space="preserve"> </w:t>
      </w:r>
      <w:r>
        <w:rPr>
          <w:rFonts w:hint="eastAsia" w:ascii="宋体" w:hAnsi="宋体"/>
          <w:color w:val="auto"/>
          <w:szCs w:val="21"/>
        </w:rPr>
        <w:t xml:space="preserve"> </w:t>
      </w:r>
      <w:r>
        <w:rPr>
          <w:rFonts w:hint="eastAsia"/>
          <w:color w:val="auto"/>
        </w:rPr>
        <w:t>享受中小企业扶持政策的供应商，可以同时享受节能产品、环境标志产品优先采购政策。</w:t>
      </w:r>
    </w:p>
    <w:p w14:paraId="01A8E4A1">
      <w:pPr>
        <w:spacing w:line="360" w:lineRule="auto"/>
        <w:ind w:firstLine="422" w:firstLineChars="200"/>
        <w:rPr>
          <w:rFonts w:ascii="宋体" w:hAnsi="宋体" w:cs="宋体"/>
          <w:b/>
          <w:bCs/>
          <w:color w:val="auto"/>
          <w:szCs w:val="21"/>
        </w:rPr>
      </w:pPr>
      <w:r>
        <w:rPr>
          <w:rFonts w:hint="eastAsia" w:ascii="宋体" w:hAnsi="宋体" w:cs="宋体"/>
          <w:b/>
          <w:bCs/>
          <w:color w:val="auto"/>
          <w:szCs w:val="21"/>
        </w:rPr>
        <w:t>3.4.3政府采购信用融资政策</w:t>
      </w:r>
    </w:p>
    <w:p w14:paraId="498F952D">
      <w:pPr>
        <w:spacing w:line="360" w:lineRule="auto"/>
        <w:ind w:firstLine="420" w:firstLineChars="200"/>
        <w:rPr>
          <w:color w:val="auto"/>
        </w:rPr>
      </w:pPr>
      <w:r>
        <w:rPr>
          <w:rFonts w:hint="eastAsia" w:ascii="宋体" w:hAnsi="宋体" w:cs="宋体"/>
          <w:color w:val="auto"/>
          <w:szCs w:val="21"/>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陕西政府采购信用融资平台（含各市分平台）</w:t>
      </w:r>
      <w:r>
        <w:rPr>
          <w:rFonts w:hint="eastAsia"/>
          <w:color w:val="auto"/>
          <w:szCs w:val="22"/>
        </w:rPr>
        <w:t>（http://www.ccgp-shaanxi.gov.cn/zcdservice/zcd/shanxi/）</w:t>
      </w:r>
      <w:r>
        <w:rPr>
          <w:rFonts w:hint="eastAsia" w:ascii="宋体" w:hAnsi="宋体" w:cs="宋体"/>
          <w:color w:val="auto"/>
          <w:szCs w:val="21"/>
        </w:rPr>
        <w:t>”查询并办理相关业务。</w:t>
      </w:r>
    </w:p>
    <w:p w14:paraId="25DF5765">
      <w:pPr>
        <w:adjustRightInd w:val="0"/>
        <w:snapToGrid w:val="0"/>
        <w:spacing w:line="360" w:lineRule="auto"/>
        <w:ind w:firstLine="422" w:firstLineChars="200"/>
        <w:rPr>
          <w:rFonts w:ascii="宋体" w:hAnsi="宋体"/>
          <w:color w:val="auto"/>
          <w:szCs w:val="21"/>
        </w:rPr>
      </w:pPr>
      <w:r>
        <w:rPr>
          <w:rFonts w:hint="eastAsia" w:ascii="宋体" w:hAnsi="宋体"/>
          <w:b/>
          <w:color w:val="auto"/>
          <w:szCs w:val="21"/>
        </w:rPr>
        <w:t>3.4.4 供应商提供的《中小企业声明函》或者《残疾人福利性单位声明函》存在明显错误的，磋商小组可以按照第三章第1.3条款的规定，要求供应商作出澄清；澄清后，符合小微企业条件的，供应商可以享受价格扣除优惠政策；否则，不享受价格扣除优惠政策</w:t>
      </w:r>
      <w:r>
        <w:rPr>
          <w:rFonts w:hint="eastAsia" w:ascii="宋体" w:hAnsi="宋体"/>
          <w:color w:val="auto"/>
          <w:szCs w:val="21"/>
        </w:rPr>
        <w:t>。</w:t>
      </w:r>
    </w:p>
    <w:p w14:paraId="491BC883">
      <w:pPr>
        <w:pStyle w:val="11"/>
        <w:adjustRightInd w:val="0"/>
        <w:snapToGrid w:val="0"/>
        <w:spacing w:line="360" w:lineRule="auto"/>
        <w:ind w:firstLine="422" w:firstLineChars="200"/>
        <w:rPr>
          <w:rFonts w:hAnsi="宋体"/>
          <w:color w:val="auto"/>
        </w:rPr>
      </w:pPr>
      <w:r>
        <w:rPr>
          <w:rFonts w:hint="eastAsia" w:hAnsi="宋体" w:cs="宋体"/>
          <w:b/>
          <w:bCs/>
          <w:color w:val="auto"/>
        </w:rPr>
        <w:t>3.4.5 政府采购监督检查、投诉处理及政府采购行政处罚中对中小企业的认定，由服务商注册登记所在地的县级以上人民政府中小企业主管部门负责。</w:t>
      </w:r>
    </w:p>
    <w:p w14:paraId="07299100">
      <w:pPr>
        <w:widowControl/>
        <w:spacing w:before="120" w:beforeLines="50" w:after="120" w:afterLines="50" w:line="360" w:lineRule="auto"/>
        <w:jc w:val="left"/>
        <w:rPr>
          <w:rFonts w:ascii="宋体" w:hAnsi="宋体" w:cs="宋体"/>
          <w:b/>
          <w:bCs/>
          <w:color w:val="auto"/>
          <w:kern w:val="0"/>
          <w:sz w:val="30"/>
          <w:szCs w:val="30"/>
        </w:rPr>
      </w:pPr>
      <w:r>
        <w:rPr>
          <w:rFonts w:hint="eastAsia" w:ascii="宋体" w:hAnsi="宋体"/>
          <w:b/>
          <w:bCs/>
          <w:color w:val="auto"/>
          <w:sz w:val="30"/>
          <w:szCs w:val="30"/>
        </w:rPr>
        <w:t>3.5</w:t>
      </w:r>
      <w:r>
        <w:rPr>
          <w:rFonts w:hint="eastAsia" w:ascii="宋体" w:hAnsi="宋体" w:cs="宋体"/>
          <w:b/>
          <w:bCs/>
          <w:color w:val="auto"/>
          <w:kern w:val="0"/>
          <w:sz w:val="30"/>
          <w:szCs w:val="30"/>
        </w:rPr>
        <w:t>转包与分包</w:t>
      </w:r>
    </w:p>
    <w:p w14:paraId="30E8E8DF">
      <w:pPr>
        <w:widowControl/>
        <w:snapToGrid w:val="0"/>
        <w:spacing w:line="360" w:lineRule="auto"/>
        <w:ind w:firstLine="420" w:firstLineChars="200"/>
        <w:jc w:val="left"/>
        <w:rPr>
          <w:rFonts w:ascii="宋体" w:hAnsi="宋体" w:cs="宋体"/>
          <w:b/>
          <w:bCs/>
          <w:color w:val="auto"/>
          <w:kern w:val="0"/>
          <w:sz w:val="30"/>
          <w:szCs w:val="30"/>
        </w:rPr>
      </w:pPr>
      <w:r>
        <w:rPr>
          <w:rFonts w:hint="eastAsia" w:ascii="宋体" w:hAnsi="宋体"/>
          <w:color w:val="auto"/>
          <w:szCs w:val="21"/>
        </w:rPr>
        <w:t xml:space="preserve">3.5.1 </w:t>
      </w:r>
      <w:r>
        <w:rPr>
          <w:rFonts w:hint="eastAsia" w:ascii="宋体" w:hAnsi="宋体" w:cs="宋体"/>
          <w:color w:val="auto"/>
          <w:kern w:val="0"/>
          <w:szCs w:val="21"/>
        </w:rPr>
        <w:t>本项目严禁采取转包或分包方式履行合同。本项项目所称转包，是指中标人将政府采购合同业务转让给第三人，并退出现有政府采购合同当事人双方权利业务关系，受让人（即第三人）成为政府采购合同的另一方当事人的行为。</w:t>
      </w:r>
    </w:p>
    <w:p w14:paraId="20E94CE6">
      <w:pPr>
        <w:widowControl/>
        <w:snapToGrid w:val="0"/>
        <w:spacing w:line="360" w:lineRule="auto"/>
        <w:ind w:firstLine="482"/>
        <w:jc w:val="left"/>
        <w:rPr>
          <w:rFonts w:ascii="宋体" w:hAnsi="宋体" w:cs="宋体"/>
          <w:color w:val="auto"/>
          <w:kern w:val="0"/>
          <w:szCs w:val="21"/>
        </w:rPr>
      </w:pPr>
      <w:r>
        <w:rPr>
          <w:rFonts w:hint="eastAsia" w:ascii="宋体" w:hAnsi="宋体"/>
          <w:color w:val="auto"/>
          <w:szCs w:val="21"/>
        </w:rPr>
        <w:t>成交供应商</w:t>
      </w:r>
      <w:r>
        <w:rPr>
          <w:rFonts w:hint="eastAsia" w:ascii="宋体" w:hAnsi="宋体" w:cs="宋体"/>
          <w:color w:val="auto"/>
          <w:kern w:val="0"/>
          <w:szCs w:val="21"/>
        </w:rPr>
        <w:t>转包的，视同拒绝履行政府采购合同业务，将依法追究法律责任。</w:t>
      </w:r>
    </w:p>
    <w:p w14:paraId="57371895">
      <w:pPr>
        <w:adjustRightInd w:val="0"/>
        <w:snapToGrid w:val="0"/>
        <w:spacing w:line="360" w:lineRule="auto"/>
        <w:ind w:firstLine="420" w:firstLineChars="200"/>
        <w:rPr>
          <w:rFonts w:ascii="宋体" w:hAnsi="宋体"/>
          <w:color w:val="auto"/>
          <w:szCs w:val="21"/>
        </w:rPr>
      </w:pPr>
      <w:r>
        <w:rPr>
          <w:rFonts w:hint="eastAsia" w:ascii="宋体" w:hAnsi="宋体" w:cs="宋体"/>
          <w:color w:val="auto"/>
          <w:kern w:val="0"/>
          <w:szCs w:val="21"/>
        </w:rPr>
        <w:t xml:space="preserve">3.5.2 </w:t>
      </w:r>
      <w:r>
        <w:rPr>
          <w:rFonts w:hint="eastAsia" w:ascii="宋体" w:hAnsi="宋体"/>
          <w:color w:val="auto"/>
          <w:szCs w:val="21"/>
        </w:rPr>
        <w:t>享受中小企业扶持政策获得政府采购合同的，小微企业不得将合同分包给大中型企业。否则，将依法追究法律责任。</w:t>
      </w:r>
    </w:p>
    <w:p w14:paraId="603BE63A">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3.5.3供应商须知前附表规定允许大中型企业向小微企业分包的，成交供应商可以将采购项目分包给小微企业完成，并在响应文件中提供分包意向协议。</w:t>
      </w:r>
    </w:p>
    <w:p w14:paraId="6620B928">
      <w:pPr>
        <w:spacing w:line="360" w:lineRule="auto"/>
        <w:ind w:firstLine="420" w:firstLineChars="200"/>
        <w:rPr>
          <w:rFonts w:ascii="宋体" w:hAnsi="宋体" w:cs="宋体"/>
          <w:b/>
          <w:bCs/>
          <w:color w:val="auto"/>
          <w:kern w:val="0"/>
          <w:szCs w:val="21"/>
        </w:rPr>
      </w:pPr>
      <w:r>
        <w:rPr>
          <w:rFonts w:hint="eastAsia" w:ascii="宋体" w:hAnsi="宋体" w:cs="宋体"/>
          <w:color w:val="auto"/>
          <w:kern w:val="0"/>
          <w:szCs w:val="21"/>
        </w:rPr>
        <w:t>接受分包的供应商不得再次分包。</w:t>
      </w:r>
      <w:r>
        <w:rPr>
          <w:rFonts w:hint="eastAsia" w:ascii="宋体" w:hAnsi="宋体"/>
          <w:color w:val="auto"/>
          <w:szCs w:val="21"/>
        </w:rPr>
        <w:t>采购合同实行分包履行的，成交供应商就采购项目和分包项目向采购人负责，分包供应商就分包项目承担责任。</w:t>
      </w:r>
    </w:p>
    <w:p w14:paraId="0F2974AF">
      <w:pPr>
        <w:widowControl/>
        <w:spacing w:before="120" w:beforeLines="50" w:after="120" w:afterLines="50" w:line="360" w:lineRule="auto"/>
        <w:jc w:val="left"/>
        <w:rPr>
          <w:rFonts w:ascii="宋体" w:hAnsi="宋体" w:cs="宋体"/>
          <w:color w:val="auto"/>
          <w:kern w:val="0"/>
          <w:sz w:val="30"/>
          <w:szCs w:val="30"/>
        </w:rPr>
      </w:pPr>
      <w:r>
        <w:rPr>
          <w:rFonts w:hint="eastAsia" w:ascii="宋体" w:hAnsi="宋体" w:cs="宋体"/>
          <w:b/>
          <w:bCs/>
          <w:color w:val="auto"/>
          <w:kern w:val="0"/>
          <w:sz w:val="30"/>
          <w:szCs w:val="30"/>
        </w:rPr>
        <w:t>3.6 供应商的风险</w:t>
      </w:r>
    </w:p>
    <w:p w14:paraId="09A9EC7B">
      <w:pPr>
        <w:tabs>
          <w:tab w:val="left" w:pos="7665"/>
        </w:tabs>
        <w:spacing w:line="360" w:lineRule="auto"/>
        <w:ind w:firstLine="420" w:firstLineChars="200"/>
        <w:rPr>
          <w:rFonts w:ascii="宋体" w:hAnsi="宋体" w:cs="宋体"/>
          <w:color w:val="auto"/>
          <w:kern w:val="0"/>
          <w:szCs w:val="21"/>
        </w:rPr>
      </w:pPr>
      <w:r>
        <w:rPr>
          <w:rFonts w:hint="eastAsia" w:ascii="宋体" w:hAnsi="宋体"/>
          <w:color w:val="auto"/>
          <w:szCs w:val="21"/>
        </w:rPr>
        <w:t>供应商应认真阅读和充分理解磋商文件中所有的事项、格式条款和规范要求，任何对</w:t>
      </w:r>
      <w:r>
        <w:rPr>
          <w:rFonts w:hint="eastAsia" w:ascii="宋体" w:hAnsi="宋体"/>
          <w:bCs/>
          <w:color w:val="auto"/>
          <w:szCs w:val="21"/>
        </w:rPr>
        <w:t>磋商</w:t>
      </w:r>
      <w:r>
        <w:rPr>
          <w:rFonts w:hint="eastAsia" w:ascii="宋体" w:hAnsi="宋体"/>
          <w:color w:val="auto"/>
          <w:szCs w:val="21"/>
        </w:rPr>
        <w:t>文件的忽略或误解不能作为响应文件存在缺陷或瑕疵的理由；供应商</w:t>
      </w:r>
      <w:r>
        <w:rPr>
          <w:rFonts w:hint="eastAsia" w:ascii="宋体" w:hAnsi="宋体" w:cs="宋体"/>
          <w:color w:val="auto"/>
          <w:kern w:val="0"/>
          <w:szCs w:val="21"/>
        </w:rPr>
        <w:t>没有按照磋商文件要求提供全部资料，</w:t>
      </w:r>
      <w:r>
        <w:rPr>
          <w:rFonts w:hint="eastAsia" w:ascii="宋体" w:hAnsi="宋体"/>
          <w:color w:val="auto"/>
          <w:szCs w:val="21"/>
        </w:rPr>
        <w:t>或对磋商文件未全面做出实质性响应是供应商的风险，</w:t>
      </w:r>
      <w:r>
        <w:rPr>
          <w:rFonts w:hint="eastAsia" w:ascii="宋体" w:hAnsi="宋体" w:cs="宋体"/>
          <w:color w:val="auto"/>
          <w:kern w:val="0"/>
          <w:szCs w:val="21"/>
        </w:rPr>
        <w:t>并可能导致其响应文件被拒绝。</w:t>
      </w:r>
    </w:p>
    <w:p w14:paraId="4C0FA3A8">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3.7供应商的纪律要求</w:t>
      </w:r>
    </w:p>
    <w:p w14:paraId="6A3883DC">
      <w:pPr>
        <w:pStyle w:val="8"/>
        <w:spacing w:line="360" w:lineRule="auto"/>
        <w:ind w:firstLineChars="200"/>
        <w:rPr>
          <w:color w:val="auto"/>
          <w:szCs w:val="21"/>
        </w:rPr>
      </w:pPr>
      <w:r>
        <w:rPr>
          <w:rFonts w:hint="eastAsia" w:ascii="宋体" w:hAnsi="宋体"/>
          <w:color w:val="auto"/>
          <w:szCs w:val="21"/>
        </w:rPr>
        <w:t xml:space="preserve">3.7.1 </w:t>
      </w:r>
      <w:r>
        <w:rPr>
          <w:rFonts w:hint="eastAsia"/>
          <w:color w:val="auto"/>
          <w:szCs w:val="21"/>
        </w:rPr>
        <w:t>有下列情形之一的，属于不合格供应商，其磋商或成交资格将被取消：</w:t>
      </w:r>
    </w:p>
    <w:p w14:paraId="629AF607">
      <w:pPr>
        <w:spacing w:line="360" w:lineRule="auto"/>
        <w:ind w:firstLine="403" w:firstLineChars="192"/>
        <w:rPr>
          <w:rFonts w:ascii="宋体" w:hAnsi="宋体"/>
          <w:color w:val="auto"/>
          <w:szCs w:val="21"/>
        </w:rPr>
      </w:pPr>
      <w:r>
        <w:rPr>
          <w:rFonts w:hint="eastAsia" w:ascii="宋体" w:hAnsi="宋体"/>
          <w:color w:val="auto"/>
          <w:szCs w:val="21"/>
        </w:rPr>
        <w:t>（1）提供虚假材料谋取成交资格；</w:t>
      </w:r>
    </w:p>
    <w:p w14:paraId="63F118EE">
      <w:pPr>
        <w:spacing w:line="360" w:lineRule="auto"/>
        <w:ind w:firstLine="403" w:firstLineChars="192"/>
        <w:rPr>
          <w:rFonts w:ascii="宋体" w:hAnsi="宋体"/>
          <w:color w:val="auto"/>
          <w:szCs w:val="21"/>
        </w:rPr>
      </w:pPr>
      <w:r>
        <w:rPr>
          <w:rFonts w:hint="eastAsia" w:ascii="宋体" w:hAnsi="宋体"/>
          <w:color w:val="auto"/>
          <w:szCs w:val="21"/>
        </w:rPr>
        <w:t>（2）提供假冒伪劣产品；</w:t>
      </w:r>
    </w:p>
    <w:p w14:paraId="6FCF4940">
      <w:pPr>
        <w:spacing w:line="360" w:lineRule="auto"/>
        <w:ind w:firstLine="403" w:firstLineChars="192"/>
        <w:rPr>
          <w:rFonts w:ascii="宋体" w:hAnsi="宋体"/>
          <w:color w:val="auto"/>
          <w:szCs w:val="21"/>
        </w:rPr>
      </w:pPr>
      <w:r>
        <w:rPr>
          <w:rFonts w:hint="eastAsia" w:ascii="宋体" w:hAnsi="宋体"/>
          <w:color w:val="auto"/>
          <w:szCs w:val="21"/>
        </w:rPr>
        <w:t>（3）采取不正当手段诋毁、排挤其他供应商；</w:t>
      </w:r>
    </w:p>
    <w:p w14:paraId="51589467">
      <w:pPr>
        <w:spacing w:line="360" w:lineRule="auto"/>
        <w:ind w:firstLine="420" w:firstLineChars="200"/>
        <w:rPr>
          <w:rFonts w:ascii="宋体" w:hAnsi="宋体"/>
          <w:color w:val="auto"/>
          <w:szCs w:val="21"/>
        </w:rPr>
      </w:pPr>
      <w:r>
        <w:rPr>
          <w:rFonts w:hint="eastAsia" w:ascii="宋体" w:hAnsi="宋体"/>
          <w:color w:val="auto"/>
          <w:szCs w:val="21"/>
        </w:rPr>
        <w:t>（4）与采购人、采购代理机构、其他供应商恶意串通；</w:t>
      </w:r>
    </w:p>
    <w:p w14:paraId="39D89AC7">
      <w:pPr>
        <w:spacing w:line="360" w:lineRule="auto"/>
        <w:ind w:firstLine="420" w:firstLineChars="200"/>
        <w:rPr>
          <w:rFonts w:ascii="宋体" w:hAnsi="宋体"/>
          <w:color w:val="auto"/>
          <w:szCs w:val="21"/>
        </w:rPr>
      </w:pPr>
      <w:r>
        <w:rPr>
          <w:rFonts w:hint="eastAsia" w:ascii="宋体" w:hAnsi="宋体"/>
          <w:color w:val="auto"/>
          <w:szCs w:val="21"/>
        </w:rPr>
        <w:t>（5）向采购人、采购代理机构、磋商小组成员行贿或者提供其他不正当利益；</w:t>
      </w:r>
    </w:p>
    <w:p w14:paraId="1CEAE551">
      <w:pPr>
        <w:pStyle w:val="12"/>
        <w:spacing w:line="360" w:lineRule="auto"/>
        <w:ind w:firstLine="420" w:firstLineChars="200"/>
        <w:rPr>
          <w:rFonts w:ascii="宋体" w:hAnsi="宋体"/>
          <w:color w:val="auto"/>
          <w:sz w:val="21"/>
          <w:szCs w:val="21"/>
        </w:rPr>
      </w:pPr>
      <w:r>
        <w:rPr>
          <w:rFonts w:hint="eastAsia" w:ascii="宋体" w:hAnsi="宋体"/>
          <w:color w:val="auto"/>
          <w:sz w:val="21"/>
          <w:szCs w:val="21"/>
        </w:rPr>
        <w:t>（6）拒绝有关部门的监督检查或者向监督检查部门提供虚假情况；</w:t>
      </w:r>
    </w:p>
    <w:p w14:paraId="66F8978A">
      <w:pPr>
        <w:pStyle w:val="12"/>
        <w:spacing w:line="360" w:lineRule="auto"/>
        <w:ind w:firstLine="420" w:firstLineChars="200"/>
        <w:rPr>
          <w:rFonts w:ascii="宋体" w:hAnsi="宋体"/>
          <w:color w:val="auto"/>
          <w:sz w:val="21"/>
          <w:szCs w:val="21"/>
        </w:rPr>
      </w:pPr>
      <w:r>
        <w:rPr>
          <w:rFonts w:hint="eastAsia" w:ascii="宋体" w:hAnsi="宋体"/>
          <w:color w:val="auto"/>
          <w:sz w:val="21"/>
          <w:szCs w:val="21"/>
        </w:rPr>
        <w:t>（7）法律法规规定的其他情形。</w:t>
      </w:r>
    </w:p>
    <w:p w14:paraId="53F8E30D">
      <w:pPr>
        <w:spacing w:line="360" w:lineRule="auto"/>
        <w:ind w:firstLine="420" w:firstLineChars="200"/>
        <w:rPr>
          <w:rFonts w:ascii="宋体" w:hAnsi="宋体"/>
          <w:color w:val="auto"/>
          <w:szCs w:val="21"/>
        </w:rPr>
      </w:pPr>
      <w:r>
        <w:rPr>
          <w:rFonts w:hint="eastAsia" w:ascii="宋体" w:hAnsi="宋体"/>
          <w:color w:val="auto"/>
          <w:szCs w:val="21"/>
        </w:rPr>
        <w:t>3.7.2</w:t>
      </w:r>
      <w:r>
        <w:rPr>
          <w:rFonts w:ascii="宋体" w:hAnsi="宋体"/>
          <w:color w:val="auto"/>
          <w:szCs w:val="21"/>
        </w:rPr>
        <w:t>有下列情形之一的，视为</w:t>
      </w:r>
      <w:r>
        <w:rPr>
          <w:rFonts w:hint="eastAsia" w:ascii="宋体" w:hAnsi="宋体"/>
          <w:color w:val="auto"/>
          <w:szCs w:val="21"/>
        </w:rPr>
        <w:t>供应商</w:t>
      </w:r>
      <w:r>
        <w:rPr>
          <w:rFonts w:ascii="宋体" w:hAnsi="宋体"/>
          <w:color w:val="auto"/>
          <w:szCs w:val="21"/>
        </w:rPr>
        <w:t>相互恶意串通</w:t>
      </w:r>
      <w:r>
        <w:rPr>
          <w:rFonts w:hint="eastAsia" w:ascii="宋体" w:hAnsi="宋体"/>
          <w:color w:val="auto"/>
          <w:szCs w:val="21"/>
        </w:rPr>
        <w:t>磋商响应，其响应文件无效</w:t>
      </w:r>
      <w:r>
        <w:rPr>
          <w:rFonts w:ascii="宋体" w:hAnsi="宋体"/>
          <w:color w:val="auto"/>
          <w:szCs w:val="21"/>
        </w:rPr>
        <w:t>：</w:t>
      </w:r>
    </w:p>
    <w:p w14:paraId="47E24C7B">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1</w:t>
      </w:r>
      <w:r>
        <w:rPr>
          <w:rFonts w:ascii="宋体" w:hAnsi="宋体"/>
          <w:color w:val="auto"/>
          <w:szCs w:val="21"/>
        </w:rPr>
        <w:t>）不同</w:t>
      </w:r>
      <w:r>
        <w:rPr>
          <w:rFonts w:hint="eastAsia" w:ascii="宋体" w:hAnsi="宋体"/>
          <w:color w:val="auto"/>
          <w:szCs w:val="21"/>
        </w:rPr>
        <w:t>供应商</w:t>
      </w:r>
      <w:r>
        <w:rPr>
          <w:rFonts w:ascii="宋体" w:hAnsi="宋体"/>
          <w:color w:val="auto"/>
          <w:szCs w:val="21"/>
        </w:rPr>
        <w:t>的</w:t>
      </w:r>
      <w:r>
        <w:rPr>
          <w:rFonts w:hint="eastAsia" w:ascii="宋体" w:hAnsi="宋体"/>
          <w:color w:val="auto"/>
          <w:szCs w:val="21"/>
        </w:rPr>
        <w:t>响应</w:t>
      </w:r>
      <w:r>
        <w:rPr>
          <w:rFonts w:ascii="宋体" w:hAnsi="宋体"/>
          <w:color w:val="auto"/>
          <w:szCs w:val="21"/>
        </w:rPr>
        <w:t>文件由同一单位或者个人编制；</w:t>
      </w:r>
    </w:p>
    <w:p w14:paraId="11A8F0F0">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2</w:t>
      </w:r>
      <w:r>
        <w:rPr>
          <w:rFonts w:ascii="宋体" w:hAnsi="宋体"/>
          <w:color w:val="auto"/>
          <w:szCs w:val="21"/>
        </w:rPr>
        <w:t>）不同</w:t>
      </w:r>
      <w:r>
        <w:rPr>
          <w:rFonts w:hint="eastAsia" w:ascii="宋体" w:hAnsi="宋体"/>
          <w:color w:val="auto"/>
          <w:szCs w:val="21"/>
        </w:rPr>
        <w:t>供应商</w:t>
      </w:r>
      <w:r>
        <w:rPr>
          <w:rFonts w:ascii="宋体" w:hAnsi="宋体"/>
          <w:color w:val="auto"/>
          <w:szCs w:val="21"/>
        </w:rPr>
        <w:t>委托同一单位或者个人办理</w:t>
      </w:r>
      <w:r>
        <w:rPr>
          <w:rFonts w:hint="eastAsia" w:ascii="宋体" w:hAnsi="宋体"/>
          <w:color w:val="auto"/>
          <w:szCs w:val="21"/>
        </w:rPr>
        <w:t>磋商</w:t>
      </w:r>
      <w:r>
        <w:rPr>
          <w:rFonts w:ascii="宋体" w:hAnsi="宋体"/>
          <w:color w:val="auto"/>
          <w:szCs w:val="21"/>
        </w:rPr>
        <w:t>事宜；</w:t>
      </w:r>
    </w:p>
    <w:p w14:paraId="75556B1C">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3</w:t>
      </w:r>
      <w:r>
        <w:rPr>
          <w:rFonts w:ascii="宋体" w:hAnsi="宋体"/>
          <w:color w:val="auto"/>
          <w:szCs w:val="21"/>
        </w:rPr>
        <w:t>）不同</w:t>
      </w:r>
      <w:r>
        <w:rPr>
          <w:rFonts w:hint="eastAsia" w:ascii="宋体" w:hAnsi="宋体"/>
          <w:color w:val="auto"/>
          <w:szCs w:val="21"/>
        </w:rPr>
        <w:t>供应商</w:t>
      </w:r>
      <w:r>
        <w:rPr>
          <w:rFonts w:ascii="宋体" w:hAnsi="宋体"/>
          <w:color w:val="auto"/>
          <w:szCs w:val="21"/>
        </w:rPr>
        <w:t>的</w:t>
      </w:r>
      <w:r>
        <w:rPr>
          <w:rFonts w:hint="eastAsia" w:ascii="宋体" w:hAnsi="宋体"/>
          <w:color w:val="auto"/>
          <w:szCs w:val="21"/>
        </w:rPr>
        <w:t>响应</w:t>
      </w:r>
      <w:r>
        <w:rPr>
          <w:rFonts w:ascii="宋体" w:hAnsi="宋体"/>
          <w:color w:val="auto"/>
          <w:szCs w:val="21"/>
        </w:rPr>
        <w:t>文件载明的项目管理成员为同一人；</w:t>
      </w:r>
    </w:p>
    <w:p w14:paraId="4F4FAAC5">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4</w:t>
      </w:r>
      <w:r>
        <w:rPr>
          <w:rFonts w:ascii="宋体" w:hAnsi="宋体"/>
          <w:color w:val="auto"/>
          <w:szCs w:val="21"/>
        </w:rPr>
        <w:t>）不同</w:t>
      </w:r>
      <w:r>
        <w:rPr>
          <w:rFonts w:hint="eastAsia" w:ascii="宋体" w:hAnsi="宋体"/>
          <w:color w:val="auto"/>
          <w:szCs w:val="21"/>
        </w:rPr>
        <w:t>供应商</w:t>
      </w:r>
      <w:r>
        <w:rPr>
          <w:rFonts w:ascii="宋体" w:hAnsi="宋体"/>
          <w:color w:val="auto"/>
          <w:szCs w:val="21"/>
        </w:rPr>
        <w:t>的</w:t>
      </w:r>
      <w:r>
        <w:rPr>
          <w:rFonts w:hint="eastAsia" w:ascii="宋体" w:hAnsi="宋体"/>
          <w:color w:val="auto"/>
          <w:szCs w:val="21"/>
        </w:rPr>
        <w:t>响应</w:t>
      </w:r>
      <w:r>
        <w:rPr>
          <w:rFonts w:ascii="宋体" w:hAnsi="宋体"/>
          <w:color w:val="auto"/>
          <w:szCs w:val="21"/>
        </w:rPr>
        <w:t>文件异常一致或者</w:t>
      </w:r>
      <w:r>
        <w:rPr>
          <w:rFonts w:hint="eastAsia" w:ascii="宋体" w:hAnsi="宋体"/>
          <w:color w:val="auto"/>
          <w:szCs w:val="21"/>
        </w:rPr>
        <w:t>磋商</w:t>
      </w:r>
      <w:r>
        <w:rPr>
          <w:rFonts w:ascii="宋体" w:hAnsi="宋体"/>
          <w:color w:val="auto"/>
          <w:szCs w:val="21"/>
        </w:rPr>
        <w:t>报价呈规律性差异；</w:t>
      </w:r>
    </w:p>
    <w:p w14:paraId="5393B2EC">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5</w:t>
      </w:r>
      <w:r>
        <w:rPr>
          <w:rFonts w:ascii="宋体" w:hAnsi="宋体"/>
          <w:color w:val="auto"/>
          <w:szCs w:val="21"/>
        </w:rPr>
        <w:t>）不同</w:t>
      </w:r>
      <w:r>
        <w:rPr>
          <w:rFonts w:hint="eastAsia" w:ascii="宋体" w:hAnsi="宋体"/>
          <w:color w:val="auto"/>
          <w:szCs w:val="21"/>
        </w:rPr>
        <w:t>供应商</w:t>
      </w:r>
      <w:r>
        <w:rPr>
          <w:rFonts w:ascii="宋体" w:hAnsi="宋体"/>
          <w:color w:val="auto"/>
          <w:szCs w:val="21"/>
        </w:rPr>
        <w:t>的</w:t>
      </w:r>
      <w:r>
        <w:rPr>
          <w:rFonts w:hint="eastAsia" w:ascii="宋体" w:hAnsi="宋体"/>
          <w:color w:val="auto"/>
          <w:szCs w:val="21"/>
        </w:rPr>
        <w:t>响应</w:t>
      </w:r>
      <w:r>
        <w:rPr>
          <w:rFonts w:ascii="宋体" w:hAnsi="宋体"/>
          <w:color w:val="auto"/>
          <w:szCs w:val="21"/>
        </w:rPr>
        <w:t>文件相互混装；</w:t>
      </w:r>
    </w:p>
    <w:p w14:paraId="71F84C24">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6</w:t>
      </w:r>
      <w:r>
        <w:rPr>
          <w:rFonts w:ascii="宋体" w:hAnsi="宋体"/>
          <w:color w:val="auto"/>
          <w:szCs w:val="21"/>
        </w:rPr>
        <w:t>）</w:t>
      </w:r>
      <w:r>
        <w:rPr>
          <w:rFonts w:hint="eastAsia" w:ascii="宋体" w:hAnsi="宋体"/>
          <w:color w:val="auto"/>
          <w:szCs w:val="21"/>
        </w:rPr>
        <w:t>不同供应商的响应文件由同一单位送达</w:t>
      </w:r>
      <w:r>
        <w:rPr>
          <w:rFonts w:ascii="宋体" w:hAnsi="宋体"/>
          <w:color w:val="auto"/>
          <w:szCs w:val="21"/>
        </w:rPr>
        <w:t>。</w:t>
      </w:r>
    </w:p>
    <w:p w14:paraId="2D14EE77">
      <w:pPr>
        <w:spacing w:line="240" w:lineRule="auto"/>
        <w:outlineLvl w:val="9"/>
        <w:rPr>
          <w:rFonts w:ascii="黑体" w:hAnsi="宋体" w:cs="宋体"/>
          <w:b w:val="0"/>
          <w:color w:val="auto"/>
          <w:kern w:val="0"/>
          <w:sz w:val="36"/>
          <w:szCs w:val="36"/>
        </w:rPr>
      </w:pPr>
      <w:bookmarkStart w:id="67" w:name="_Toc18157"/>
      <w:r>
        <w:rPr>
          <w:rFonts w:hint="eastAsia" w:ascii="黑体"/>
          <w:b w:val="0"/>
          <w:color w:val="auto"/>
          <w:sz w:val="36"/>
          <w:szCs w:val="36"/>
        </w:rPr>
        <w:t>4.响应文件</w:t>
      </w:r>
      <w:bookmarkEnd w:id="67"/>
    </w:p>
    <w:p w14:paraId="6CEAC27A">
      <w:pPr>
        <w:spacing w:line="360" w:lineRule="auto"/>
        <w:rPr>
          <w:rFonts w:ascii="宋体" w:hAnsi="宋体"/>
          <w:b/>
          <w:bCs/>
          <w:color w:val="auto"/>
          <w:sz w:val="30"/>
          <w:szCs w:val="30"/>
        </w:rPr>
      </w:pPr>
      <w:bookmarkStart w:id="68" w:name="_Toc18074969"/>
      <w:r>
        <w:rPr>
          <w:rFonts w:hint="eastAsia" w:ascii="宋体" w:hAnsi="宋体"/>
          <w:b/>
          <w:bCs/>
          <w:color w:val="auto"/>
          <w:sz w:val="30"/>
          <w:szCs w:val="30"/>
        </w:rPr>
        <w:t>4.1 响应文件的编写原则和要求</w:t>
      </w:r>
      <w:bookmarkEnd w:id="68"/>
    </w:p>
    <w:p w14:paraId="1C39C1EA">
      <w:pPr>
        <w:tabs>
          <w:tab w:val="left" w:pos="720"/>
        </w:tabs>
        <w:snapToGrid w:val="0"/>
        <w:spacing w:line="360" w:lineRule="auto"/>
        <w:ind w:firstLine="420" w:firstLineChars="200"/>
        <w:rPr>
          <w:rFonts w:ascii="宋体" w:hAnsi="宋体"/>
          <w:color w:val="auto"/>
          <w:szCs w:val="21"/>
        </w:rPr>
      </w:pPr>
      <w:r>
        <w:rPr>
          <w:rFonts w:hint="eastAsia" w:ascii="宋体" w:hAnsi="宋体"/>
          <w:color w:val="auto"/>
          <w:szCs w:val="21"/>
        </w:rPr>
        <w:t>4.1.1供应商应仔细阅读磋商文件的所有内容，按照磋商文件规定及要求编写，应当对磋商文件提出的实质性要求做出响应，并提交完整的响应文件。供应商应对采购的货物和服务提供完整详细的技术说明，若供应商对指定的技术要求不能完全响应，应在响应文件中清楚地注明。供应商对本磋商文件的每一项要求所给予的响应必须是唯一的，否则将视为无效响应文件。</w:t>
      </w:r>
    </w:p>
    <w:bookmarkEnd w:id="60"/>
    <w:bookmarkEnd w:id="61"/>
    <w:bookmarkEnd w:id="62"/>
    <w:p w14:paraId="09F87AE9">
      <w:pPr>
        <w:tabs>
          <w:tab w:val="left" w:pos="720"/>
        </w:tabs>
        <w:snapToGrid w:val="0"/>
        <w:spacing w:line="360" w:lineRule="auto"/>
        <w:ind w:firstLine="422" w:firstLineChars="200"/>
        <w:rPr>
          <w:rFonts w:ascii="宋体" w:hAnsi="宋体"/>
          <w:b/>
          <w:color w:val="auto"/>
          <w:szCs w:val="21"/>
        </w:rPr>
      </w:pPr>
      <w:bookmarkStart w:id="69" w:name="_Toc183582217"/>
      <w:bookmarkStart w:id="70" w:name="_Toc217446048"/>
      <w:bookmarkStart w:id="71" w:name="_Toc183682354"/>
      <w:r>
        <w:rPr>
          <w:rFonts w:hint="eastAsia" w:ascii="宋体" w:hAnsi="宋体"/>
          <w:b/>
          <w:color w:val="auto"/>
          <w:szCs w:val="21"/>
        </w:rPr>
        <w:t>4.1.2 真实性原则</w:t>
      </w:r>
    </w:p>
    <w:p w14:paraId="49111D66">
      <w:pPr>
        <w:tabs>
          <w:tab w:val="left" w:pos="720"/>
        </w:tabs>
        <w:snapToGrid w:val="0"/>
        <w:spacing w:line="360" w:lineRule="auto"/>
        <w:ind w:firstLine="630" w:firstLineChars="300"/>
        <w:rPr>
          <w:rFonts w:ascii="宋体" w:hAnsi="宋体"/>
          <w:color w:val="auto"/>
          <w:szCs w:val="21"/>
        </w:rPr>
      </w:pPr>
      <w:r>
        <w:rPr>
          <w:rFonts w:hint="eastAsia" w:ascii="宋体" w:hAnsi="宋体"/>
          <w:color w:val="auto"/>
          <w:szCs w:val="21"/>
        </w:rPr>
        <w:t>4.1.2.1 供应商应保证所提供的响应文件和所有资料的真实性、准确性和完整性。</w:t>
      </w:r>
    </w:p>
    <w:p w14:paraId="465DD78D">
      <w:pPr>
        <w:tabs>
          <w:tab w:val="left" w:pos="720"/>
        </w:tabs>
        <w:snapToGrid w:val="0"/>
        <w:spacing w:line="360" w:lineRule="auto"/>
        <w:ind w:firstLine="630" w:firstLineChars="300"/>
        <w:rPr>
          <w:rFonts w:ascii="宋体" w:hAnsi="宋体"/>
          <w:color w:val="auto"/>
          <w:szCs w:val="21"/>
        </w:rPr>
      </w:pPr>
      <w:r>
        <w:rPr>
          <w:rFonts w:hint="eastAsia" w:ascii="宋体" w:hAnsi="宋体"/>
          <w:color w:val="auto"/>
          <w:szCs w:val="21"/>
        </w:rPr>
        <w:t>4.1.2.2 供应商被认定为在政府采购活动中提供不真实材料的，无论其材料是否重要，采购人均有权拒绝，并取消其磋商或成交资格，供应商需承担相应的法律后果。</w:t>
      </w:r>
    </w:p>
    <w:p w14:paraId="37468E7E">
      <w:pPr>
        <w:tabs>
          <w:tab w:val="left" w:pos="720"/>
        </w:tabs>
        <w:snapToGrid w:val="0"/>
        <w:spacing w:line="360" w:lineRule="auto"/>
        <w:ind w:firstLine="480"/>
        <w:rPr>
          <w:rFonts w:ascii="宋体" w:hAnsi="宋体"/>
          <w:b/>
          <w:color w:val="auto"/>
          <w:szCs w:val="21"/>
        </w:rPr>
      </w:pPr>
      <w:r>
        <w:rPr>
          <w:rFonts w:hint="eastAsia" w:ascii="宋体" w:hAnsi="宋体"/>
          <w:b/>
          <w:color w:val="auto"/>
          <w:szCs w:val="21"/>
        </w:rPr>
        <w:t>4.1.3 报价使用货币</w:t>
      </w:r>
    </w:p>
    <w:p w14:paraId="00C9C3C1">
      <w:pPr>
        <w:tabs>
          <w:tab w:val="left" w:pos="720"/>
        </w:tabs>
        <w:snapToGrid w:val="0"/>
        <w:spacing w:line="360" w:lineRule="auto"/>
        <w:ind w:firstLine="630" w:firstLineChars="300"/>
        <w:rPr>
          <w:rFonts w:ascii="宋体" w:hAnsi="宋体"/>
          <w:color w:val="auto"/>
          <w:szCs w:val="21"/>
        </w:rPr>
      </w:pPr>
      <w:r>
        <w:rPr>
          <w:rFonts w:hint="eastAsia" w:ascii="宋体" w:hAnsi="宋体"/>
          <w:color w:val="auto"/>
          <w:szCs w:val="21"/>
        </w:rPr>
        <w:t>本项目的报价均以人民币报价。</w:t>
      </w:r>
    </w:p>
    <w:p w14:paraId="4AFC8D4D">
      <w:pPr>
        <w:tabs>
          <w:tab w:val="left" w:pos="720"/>
        </w:tabs>
        <w:snapToGrid w:val="0"/>
        <w:spacing w:line="360" w:lineRule="auto"/>
        <w:ind w:firstLine="424" w:firstLineChars="201"/>
        <w:rPr>
          <w:rFonts w:hAnsi="宋体"/>
          <w:b/>
          <w:color w:val="auto"/>
        </w:rPr>
      </w:pPr>
      <w:r>
        <w:rPr>
          <w:rFonts w:hint="eastAsia" w:ascii="宋体" w:hAnsi="宋体"/>
          <w:b/>
          <w:color w:val="auto"/>
        </w:rPr>
        <w:t xml:space="preserve">4.1.4 </w:t>
      </w:r>
      <w:r>
        <w:rPr>
          <w:rFonts w:hint="eastAsia" w:hAnsi="宋体"/>
          <w:b/>
          <w:color w:val="auto"/>
        </w:rPr>
        <w:t>响应</w:t>
      </w:r>
      <w:r>
        <w:rPr>
          <w:rFonts w:hint="eastAsia"/>
          <w:b/>
          <w:color w:val="auto"/>
        </w:rPr>
        <w:t>文件形式</w:t>
      </w:r>
    </w:p>
    <w:p w14:paraId="4CDF1FEB">
      <w:pPr>
        <w:pStyle w:val="11"/>
        <w:adjustRightInd w:val="0"/>
        <w:snapToGrid w:val="0"/>
        <w:spacing w:line="360" w:lineRule="auto"/>
        <w:ind w:firstLine="630" w:firstLineChars="300"/>
        <w:rPr>
          <w:color w:val="auto"/>
        </w:rPr>
      </w:pPr>
      <w:r>
        <w:rPr>
          <w:rFonts w:hint="eastAsia" w:hAnsi="宋体"/>
          <w:color w:val="auto"/>
        </w:rPr>
        <w:t>本项目响应</w:t>
      </w:r>
      <w:r>
        <w:rPr>
          <w:rFonts w:hint="eastAsia"/>
          <w:color w:val="auto"/>
        </w:rPr>
        <w:t>文件应采用书面文件形式，电报、传真、电子邮件形式的响应文件不予接受。</w:t>
      </w:r>
    </w:p>
    <w:p w14:paraId="4E38C033">
      <w:pPr>
        <w:tabs>
          <w:tab w:val="left" w:pos="720"/>
        </w:tabs>
        <w:snapToGrid w:val="0"/>
        <w:spacing w:line="360" w:lineRule="auto"/>
        <w:ind w:firstLine="422" w:firstLineChars="200"/>
        <w:rPr>
          <w:rFonts w:ascii="宋体" w:hAnsi="宋体"/>
          <w:b/>
          <w:color w:val="auto"/>
          <w:szCs w:val="21"/>
        </w:rPr>
      </w:pPr>
      <w:r>
        <w:rPr>
          <w:rFonts w:hint="eastAsia" w:ascii="宋体" w:hAnsi="宋体"/>
          <w:b/>
          <w:color w:val="auto"/>
          <w:szCs w:val="21"/>
        </w:rPr>
        <w:t>4.1.5 备选方案</w:t>
      </w:r>
    </w:p>
    <w:p w14:paraId="5196AE5D">
      <w:pPr>
        <w:tabs>
          <w:tab w:val="left" w:pos="720"/>
        </w:tabs>
        <w:snapToGrid w:val="0"/>
        <w:spacing w:line="360" w:lineRule="auto"/>
        <w:ind w:firstLine="630" w:firstLineChars="300"/>
        <w:rPr>
          <w:rFonts w:hAnsi="宋体"/>
          <w:color w:val="auto"/>
          <w:szCs w:val="21"/>
        </w:rPr>
      </w:pPr>
      <w:r>
        <w:rPr>
          <w:rFonts w:hint="eastAsia" w:ascii="宋体" w:hAnsi="宋体"/>
          <w:color w:val="auto"/>
          <w:szCs w:val="21"/>
        </w:rPr>
        <w:t>4.1.5.1 除供应商须知前附表规定允许外，供应商不得递交备选响应方案，响应文件的报价只允许有一个报价，不接受具有附加条件的报价，否则，视为</w:t>
      </w:r>
      <w:r>
        <w:rPr>
          <w:rFonts w:hint="eastAsia" w:hAnsi="宋体"/>
          <w:color w:val="auto"/>
          <w:szCs w:val="21"/>
        </w:rPr>
        <w:t>无效响应文件。</w:t>
      </w:r>
    </w:p>
    <w:p w14:paraId="3766E92C">
      <w:pPr>
        <w:tabs>
          <w:tab w:val="left" w:pos="720"/>
        </w:tabs>
        <w:snapToGrid w:val="0"/>
        <w:spacing w:line="360" w:lineRule="auto"/>
        <w:ind w:firstLine="630" w:firstLineChars="300"/>
        <w:rPr>
          <w:rFonts w:ascii="宋体" w:hAnsi="宋体"/>
          <w:color w:val="auto"/>
          <w:szCs w:val="21"/>
        </w:rPr>
      </w:pPr>
      <w:r>
        <w:rPr>
          <w:rFonts w:hint="eastAsia" w:ascii="宋体" w:hAnsi="宋体"/>
          <w:color w:val="auto"/>
          <w:szCs w:val="21"/>
        </w:rPr>
        <w:t>4.1.5.2 允许供应商递交备选响应方案的，只有成交供应商所递交的备选响应方案方可予以考虑。磋商小组认为成交供应商的备选响应方案优于其按照磋商文件要求编制的响应方案的，采购人可以接受该备选方案。</w:t>
      </w:r>
    </w:p>
    <w:p w14:paraId="37B99A1C">
      <w:pPr>
        <w:tabs>
          <w:tab w:val="left" w:pos="720"/>
        </w:tabs>
        <w:snapToGrid w:val="0"/>
        <w:spacing w:line="360" w:lineRule="auto"/>
        <w:ind w:firstLine="630" w:firstLineChars="300"/>
        <w:rPr>
          <w:rFonts w:ascii="宋体" w:hAnsi="宋体"/>
          <w:color w:val="auto"/>
          <w:szCs w:val="21"/>
        </w:rPr>
      </w:pPr>
      <w:r>
        <w:rPr>
          <w:rFonts w:hint="eastAsia" w:ascii="宋体" w:hAnsi="宋体"/>
          <w:color w:val="auto"/>
          <w:szCs w:val="21"/>
        </w:rPr>
        <w:t>4.1.5.3 供应商提供两个或两个以上磋商报价，或者在响应文件中提供一个磋商报价，但同时提供两个或两个以上</w:t>
      </w:r>
      <w:r>
        <w:rPr>
          <w:rFonts w:hint="eastAsia" w:ascii="宋体" w:hAnsi="宋体"/>
          <w:color w:val="auto"/>
          <w:szCs w:val="21"/>
          <w:lang w:val="en-US" w:eastAsia="zh-CN"/>
        </w:rPr>
        <w:t>施工</w:t>
      </w:r>
      <w:r>
        <w:rPr>
          <w:rFonts w:hint="eastAsia" w:ascii="宋体" w:hAnsi="宋体"/>
          <w:color w:val="auto"/>
          <w:szCs w:val="21"/>
        </w:rPr>
        <w:t>方案的，视为提供备选方案。</w:t>
      </w:r>
    </w:p>
    <w:p w14:paraId="4427376C">
      <w:pPr>
        <w:tabs>
          <w:tab w:val="left" w:pos="720"/>
        </w:tabs>
        <w:snapToGrid w:val="0"/>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4.2 响应文件的组成</w:t>
      </w:r>
    </w:p>
    <w:p w14:paraId="11389DF7">
      <w:pPr>
        <w:spacing w:line="360" w:lineRule="auto"/>
        <w:ind w:firstLine="411" w:firstLineChars="196"/>
        <w:rPr>
          <w:rFonts w:ascii="宋体" w:hAnsi="宋体"/>
          <w:color w:val="auto"/>
          <w:szCs w:val="21"/>
        </w:rPr>
      </w:pPr>
      <w:r>
        <w:rPr>
          <w:rFonts w:hint="eastAsia" w:ascii="宋体" w:hAnsi="宋体"/>
          <w:color w:val="auto"/>
          <w:szCs w:val="21"/>
        </w:rPr>
        <w:t>4.2.1响应文件由下列文件组成：</w:t>
      </w:r>
    </w:p>
    <w:p w14:paraId="1EDB0E69">
      <w:pPr>
        <w:tabs>
          <w:tab w:val="left" w:pos="2730"/>
        </w:tabs>
        <w:spacing w:line="360" w:lineRule="auto"/>
        <w:ind w:firstLine="411" w:firstLineChars="196"/>
        <w:rPr>
          <w:rFonts w:ascii="宋体" w:hAnsi="宋体"/>
          <w:color w:val="auto"/>
          <w:szCs w:val="21"/>
        </w:rPr>
      </w:pPr>
      <w:r>
        <w:rPr>
          <w:rFonts w:hint="eastAsia" w:ascii="宋体" w:hAnsi="宋体"/>
          <w:color w:val="auto"/>
          <w:szCs w:val="21"/>
        </w:rPr>
        <w:t>（1）资格审查部分；</w:t>
      </w:r>
      <w:r>
        <w:rPr>
          <w:rFonts w:ascii="宋体" w:hAnsi="宋体"/>
          <w:color w:val="auto"/>
          <w:szCs w:val="21"/>
        </w:rPr>
        <w:tab/>
      </w:r>
    </w:p>
    <w:p w14:paraId="4B282584">
      <w:pPr>
        <w:spacing w:line="360" w:lineRule="auto"/>
        <w:ind w:firstLine="411" w:firstLineChars="196"/>
        <w:rPr>
          <w:rFonts w:ascii="宋体" w:hAnsi="宋体"/>
          <w:color w:val="auto"/>
          <w:szCs w:val="21"/>
        </w:rPr>
      </w:pPr>
      <w:r>
        <w:rPr>
          <w:rFonts w:hint="eastAsia" w:ascii="宋体" w:hAnsi="宋体"/>
          <w:color w:val="auto"/>
          <w:szCs w:val="21"/>
        </w:rPr>
        <w:t>（2）商务与技术部分。</w:t>
      </w:r>
    </w:p>
    <w:p w14:paraId="1A7430D0">
      <w:pPr>
        <w:spacing w:line="360" w:lineRule="auto"/>
        <w:ind w:firstLine="411" w:firstLineChars="196"/>
        <w:rPr>
          <w:rFonts w:ascii="宋体" w:hAnsi="宋体"/>
          <w:color w:val="auto"/>
          <w:szCs w:val="21"/>
        </w:rPr>
      </w:pPr>
      <w:r>
        <w:rPr>
          <w:rFonts w:hint="eastAsia" w:ascii="宋体" w:hAnsi="宋体"/>
          <w:color w:val="auto"/>
          <w:szCs w:val="21"/>
        </w:rPr>
        <w:t>4.2.2 资格审查部分包括本章第3.1.1条款内容。</w:t>
      </w:r>
    </w:p>
    <w:p w14:paraId="2E70A919">
      <w:pPr>
        <w:spacing w:line="360" w:lineRule="auto"/>
        <w:ind w:firstLine="411" w:firstLineChars="196"/>
        <w:rPr>
          <w:rFonts w:ascii="宋体" w:hAnsi="宋体"/>
          <w:color w:val="auto"/>
          <w:szCs w:val="21"/>
        </w:rPr>
      </w:pPr>
      <w:r>
        <w:rPr>
          <w:rFonts w:hint="eastAsia" w:ascii="宋体" w:hAnsi="宋体"/>
          <w:color w:val="auto"/>
          <w:szCs w:val="21"/>
        </w:rPr>
        <w:t>4.2.3 商务与技术部分主要包括下列内容：</w:t>
      </w:r>
    </w:p>
    <w:bookmarkEnd w:id="69"/>
    <w:bookmarkEnd w:id="70"/>
    <w:bookmarkEnd w:id="71"/>
    <w:p w14:paraId="75C512B8">
      <w:pPr>
        <w:spacing w:line="360" w:lineRule="auto"/>
        <w:ind w:left="504" w:leftChars="226" w:hanging="29" w:hangingChars="14"/>
        <w:rPr>
          <w:rFonts w:ascii="宋体" w:hAnsi="宋体"/>
          <w:color w:val="auto"/>
          <w:szCs w:val="21"/>
        </w:rPr>
      </w:pPr>
      <w:r>
        <w:rPr>
          <w:rFonts w:hint="eastAsia" w:ascii="宋体" w:hAnsi="宋体"/>
          <w:color w:val="auto"/>
          <w:szCs w:val="21"/>
        </w:rPr>
        <w:t>（1）竞争性磋商响应函；</w:t>
      </w:r>
    </w:p>
    <w:p w14:paraId="62BD3BB5">
      <w:pPr>
        <w:spacing w:line="360" w:lineRule="auto"/>
        <w:ind w:left="504" w:leftChars="226" w:hanging="29" w:hangingChars="14"/>
        <w:rPr>
          <w:rFonts w:ascii="宋体" w:hAnsi="宋体"/>
          <w:color w:val="auto"/>
          <w:szCs w:val="21"/>
        </w:rPr>
      </w:pPr>
      <w:r>
        <w:rPr>
          <w:rFonts w:hint="eastAsia" w:ascii="宋体" w:hAnsi="宋体"/>
          <w:color w:val="auto"/>
          <w:szCs w:val="21"/>
        </w:rPr>
        <w:t>（2）磋商报价一览表</w:t>
      </w:r>
    </w:p>
    <w:p w14:paraId="18FC06C5">
      <w:pPr>
        <w:spacing w:line="360" w:lineRule="auto"/>
        <w:ind w:left="504" w:leftChars="226" w:hanging="29" w:hangingChars="14"/>
        <w:rPr>
          <w:rFonts w:hint="default" w:ascii="宋体" w:hAnsi="宋体" w:eastAsia="宋体"/>
          <w:color w:val="auto"/>
          <w:szCs w:val="21"/>
          <w:lang w:val="en-US" w:eastAsia="zh-CN"/>
        </w:rPr>
      </w:pPr>
      <w:r>
        <w:rPr>
          <w:rFonts w:ascii="宋体" w:hAnsi="宋体"/>
          <w:color w:val="auto"/>
          <w:szCs w:val="21"/>
        </w:rPr>
        <w:t>（</w:t>
      </w:r>
      <w:r>
        <w:rPr>
          <w:rFonts w:hint="eastAsia" w:ascii="宋体" w:hAnsi="宋体"/>
          <w:color w:val="auto"/>
          <w:szCs w:val="21"/>
        </w:rPr>
        <w:t>3</w:t>
      </w:r>
      <w:r>
        <w:rPr>
          <w:rFonts w:ascii="宋体" w:hAnsi="宋体"/>
          <w:color w:val="auto"/>
          <w:szCs w:val="21"/>
        </w:rPr>
        <w:t>）</w:t>
      </w:r>
      <w:r>
        <w:rPr>
          <w:rFonts w:hint="eastAsia" w:ascii="宋体" w:hAnsi="宋体"/>
          <w:color w:val="auto"/>
          <w:szCs w:val="21"/>
          <w:lang w:val="en-US" w:eastAsia="zh-CN"/>
        </w:rPr>
        <w:t>技术方案</w:t>
      </w:r>
    </w:p>
    <w:p w14:paraId="107F7435">
      <w:pPr>
        <w:spacing w:line="360" w:lineRule="auto"/>
        <w:ind w:left="523" w:leftChars="236" w:hanging="27" w:hangingChars="13"/>
        <w:rPr>
          <w:rFonts w:ascii="宋体" w:hAnsi="宋体"/>
          <w:color w:val="auto"/>
          <w:szCs w:val="21"/>
        </w:rPr>
      </w:pPr>
      <w:r>
        <w:rPr>
          <w:rFonts w:hint="eastAsia" w:ascii="宋体" w:hAnsi="宋体"/>
          <w:color w:val="auto"/>
          <w:szCs w:val="21"/>
        </w:rPr>
        <w:t>（4）商务条款偏离表</w:t>
      </w:r>
    </w:p>
    <w:p w14:paraId="4DDCFDA0">
      <w:pPr>
        <w:spacing w:line="360" w:lineRule="auto"/>
        <w:ind w:left="504" w:leftChars="226" w:hanging="29" w:hangingChars="14"/>
        <w:rPr>
          <w:rFonts w:hint="default" w:ascii="宋体" w:hAnsi="宋体" w:eastAsia="宋体"/>
          <w:color w:val="auto"/>
          <w:szCs w:val="21"/>
          <w:lang w:val="en-US" w:eastAsia="zh-CN"/>
        </w:rPr>
      </w:pPr>
      <w:r>
        <w:rPr>
          <w:rFonts w:hint="eastAsia" w:ascii="宋体" w:hAnsi="宋体"/>
          <w:color w:val="auto"/>
          <w:szCs w:val="21"/>
        </w:rPr>
        <w:t>（5）</w:t>
      </w:r>
      <w:r>
        <w:rPr>
          <w:rFonts w:hint="eastAsia" w:ascii="宋体" w:hAnsi="宋体"/>
          <w:color w:val="auto"/>
          <w:szCs w:val="21"/>
          <w:lang w:val="en-US" w:eastAsia="zh-CN"/>
        </w:rPr>
        <w:t>履约能力</w:t>
      </w:r>
    </w:p>
    <w:p w14:paraId="667D9AC1">
      <w:pPr>
        <w:spacing w:line="360" w:lineRule="auto"/>
        <w:ind w:left="504" w:leftChars="226" w:hanging="29" w:hangingChars="14"/>
        <w:rPr>
          <w:color w:val="auto"/>
        </w:rPr>
      </w:pPr>
      <w:r>
        <w:rPr>
          <w:rFonts w:hint="eastAsia" w:ascii="宋体" w:hAnsi="宋体"/>
          <w:color w:val="auto"/>
          <w:szCs w:val="21"/>
        </w:rPr>
        <w:t>（</w:t>
      </w:r>
      <w:r>
        <w:rPr>
          <w:rFonts w:hint="eastAsia" w:ascii="宋体" w:hAnsi="宋体"/>
          <w:color w:val="auto"/>
          <w:szCs w:val="21"/>
          <w:lang w:val="en-US" w:eastAsia="zh-CN"/>
        </w:rPr>
        <w:t>6</w:t>
      </w:r>
      <w:r>
        <w:rPr>
          <w:rFonts w:hint="eastAsia" w:ascii="宋体" w:hAnsi="宋体"/>
          <w:color w:val="auto"/>
          <w:szCs w:val="21"/>
        </w:rPr>
        <w:t>）供应商认为需要提供的其他文件和资料</w:t>
      </w:r>
    </w:p>
    <w:p w14:paraId="377FD4FC">
      <w:pPr>
        <w:spacing w:line="360" w:lineRule="auto"/>
        <w:ind w:left="504" w:leftChars="226" w:hanging="29" w:hangingChars="14"/>
        <w:rPr>
          <w:rFonts w:ascii="宋体" w:hAnsi="宋体"/>
          <w:b/>
          <w:color w:val="auto"/>
          <w:sz w:val="30"/>
          <w:szCs w:val="30"/>
        </w:rPr>
      </w:pPr>
      <w:r>
        <w:rPr>
          <w:rFonts w:hint="eastAsia" w:ascii="宋体" w:hAnsi="宋体"/>
          <w:color w:val="auto"/>
          <w:szCs w:val="21"/>
        </w:rPr>
        <w:t>（</w:t>
      </w:r>
      <w:r>
        <w:rPr>
          <w:rFonts w:hint="eastAsia" w:ascii="宋体" w:hAnsi="宋体"/>
          <w:color w:val="auto"/>
          <w:szCs w:val="21"/>
          <w:lang w:val="en-US" w:eastAsia="zh-CN"/>
        </w:rPr>
        <w:t>7</w:t>
      </w:r>
      <w:r>
        <w:rPr>
          <w:rFonts w:hint="eastAsia" w:ascii="宋体" w:hAnsi="宋体"/>
          <w:color w:val="auto"/>
          <w:szCs w:val="21"/>
        </w:rPr>
        <w:t>）陕西省政府采购供应商拒绝政府采购领域商业贿赂承诺书</w:t>
      </w:r>
    </w:p>
    <w:p w14:paraId="63BC06CE">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4.3磋商报价</w:t>
      </w:r>
    </w:p>
    <w:p w14:paraId="0422D664">
      <w:pPr>
        <w:spacing w:line="360" w:lineRule="auto"/>
        <w:ind w:firstLine="411" w:firstLineChars="196"/>
        <w:rPr>
          <w:rFonts w:ascii="宋体" w:hAnsi="宋体"/>
          <w:color w:val="auto"/>
          <w:szCs w:val="21"/>
        </w:rPr>
      </w:pPr>
      <w:r>
        <w:rPr>
          <w:rFonts w:hint="eastAsia" w:ascii="宋体" w:hAnsi="宋体"/>
          <w:color w:val="auto"/>
          <w:szCs w:val="21"/>
        </w:rPr>
        <w:t xml:space="preserve">4.3.1 </w:t>
      </w:r>
      <w:r>
        <w:rPr>
          <w:rFonts w:hint="eastAsia" w:ascii="宋体" w:hAnsi="宋体"/>
          <w:bCs/>
          <w:color w:val="auto"/>
          <w:szCs w:val="21"/>
        </w:rPr>
        <w:t>供应商应当</w:t>
      </w:r>
      <w:r>
        <w:rPr>
          <w:rFonts w:hint="eastAsia" w:ascii="宋体" w:hAnsi="宋体"/>
          <w:color w:val="auto"/>
          <w:szCs w:val="21"/>
        </w:rPr>
        <w:t>按照磋商文件要求进行磋商报价，并充分了解本采购项目的总体情况以及影响磋商报价的其他要素。</w:t>
      </w:r>
    </w:p>
    <w:p w14:paraId="7A6909E7">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4.3.2供应商的磋商报价是供应商响应磋商项目要求的全部工作内容的价格体现，包括供应商完成本项目所需的人工费、设备费、管理费、验收费、利润和税金等全部费用。在提供服务的过程中的任何遗漏，均由成交供应商免费提供，采购人将不再支付任何费用。</w:t>
      </w:r>
    </w:p>
    <w:p w14:paraId="06B130B3">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4.3.3 </w:t>
      </w:r>
      <w:r>
        <w:rPr>
          <w:rFonts w:hint="eastAsia" w:ascii="宋体" w:hAnsi="宋体"/>
          <w:b/>
          <w:color w:val="auto"/>
          <w:szCs w:val="21"/>
        </w:rPr>
        <w:t>本项目将根据磋商的具体情况来确定磋商轮次，最终一轮磋商报价为最后报价</w:t>
      </w:r>
      <w:r>
        <w:rPr>
          <w:rFonts w:hint="eastAsia" w:ascii="宋体" w:hAnsi="宋体"/>
          <w:color w:val="auto"/>
          <w:szCs w:val="21"/>
        </w:rPr>
        <w:t>。</w:t>
      </w:r>
    </w:p>
    <w:p w14:paraId="464B4C95">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4.3.4 供应商的各轮次磋商报价不得超过供应商</w:t>
      </w:r>
      <w:r>
        <w:rPr>
          <w:rFonts w:hint="eastAsia" w:ascii="宋体" w:hAnsi="宋体"/>
          <w:b/>
          <w:color w:val="auto"/>
          <w:szCs w:val="21"/>
        </w:rPr>
        <w:t>须知前附表规定的</w:t>
      </w:r>
      <w:r>
        <w:rPr>
          <w:rFonts w:hint="eastAsia" w:ascii="宋体" w:hAnsi="宋体"/>
          <w:color w:val="auto"/>
          <w:szCs w:val="21"/>
        </w:rPr>
        <w:t>预算金额，否则，作为不实质性响应磋商文件，按无效响应文件处理；</w:t>
      </w:r>
      <w:r>
        <w:rPr>
          <w:rFonts w:hint="eastAsia" w:ascii="宋体" w:hAnsi="宋体"/>
          <w:b/>
          <w:color w:val="auto"/>
          <w:szCs w:val="21"/>
        </w:rPr>
        <w:t>供应商须知前附表设定</w:t>
      </w:r>
      <w:r>
        <w:rPr>
          <w:rFonts w:hint="eastAsia" w:ascii="宋体" w:hAnsi="宋体"/>
          <w:color w:val="auto"/>
          <w:szCs w:val="21"/>
        </w:rPr>
        <w:t>了最高限价的，供应商的各轮次磋商报价也不得超过最高限价，否则，作为不实质性响应磋商文件，按无效响应文件处理。</w:t>
      </w:r>
    </w:p>
    <w:p w14:paraId="1A9A4ACB">
      <w:pPr>
        <w:adjustRightInd w:val="0"/>
        <w:snapToGrid w:val="0"/>
        <w:spacing w:line="360" w:lineRule="auto"/>
        <w:ind w:firstLine="420" w:firstLineChars="200"/>
        <w:rPr>
          <w:rFonts w:ascii="宋体" w:hAnsi="宋体" w:cs="宋体"/>
          <w:color w:val="auto"/>
          <w:kern w:val="0"/>
          <w:szCs w:val="21"/>
        </w:rPr>
      </w:pPr>
      <w:r>
        <w:rPr>
          <w:rFonts w:hint="eastAsia" w:ascii="宋体" w:hAnsi="宋体"/>
          <w:color w:val="auto"/>
          <w:szCs w:val="21"/>
        </w:rPr>
        <w:t>4.3.5 供应商</w:t>
      </w:r>
      <w:r>
        <w:rPr>
          <w:rFonts w:hint="eastAsia" w:ascii="宋体" w:hAnsi="宋体" w:cs="宋体"/>
          <w:color w:val="auto"/>
          <w:kern w:val="0"/>
          <w:szCs w:val="21"/>
        </w:rPr>
        <w:t>应按</w:t>
      </w:r>
      <w:r>
        <w:rPr>
          <w:rFonts w:hint="eastAsia" w:ascii="宋体" w:hAnsi="宋体"/>
          <w:color w:val="auto"/>
          <w:szCs w:val="21"/>
        </w:rPr>
        <w:t>“磋商报价一览表”</w:t>
      </w:r>
      <w:r>
        <w:rPr>
          <w:rFonts w:hint="eastAsia" w:ascii="宋体" w:hAnsi="宋体" w:cs="宋体"/>
          <w:color w:val="auto"/>
          <w:kern w:val="0"/>
          <w:szCs w:val="21"/>
        </w:rPr>
        <w:t>的内容</w:t>
      </w:r>
      <w:r>
        <w:rPr>
          <w:rFonts w:hint="eastAsia" w:ascii="宋体" w:hAnsi="宋体"/>
          <w:color w:val="auto"/>
          <w:szCs w:val="21"/>
        </w:rPr>
        <w:t>和格式要求填写各项服务的分项价格和总价。磋商报价为各分项报价金额之和。磋商报价与分项报价的合价不一致的，应以各分项合价累计数为准，修正磋商报价；如分项报价中存在遗漏项，视为缺项价格已包含在其他分项报价之中。</w:t>
      </w:r>
    </w:p>
    <w:p w14:paraId="522627D0">
      <w:pPr>
        <w:adjustRightInd w:val="0"/>
        <w:snapToGrid w:val="0"/>
        <w:spacing w:line="360" w:lineRule="auto"/>
        <w:ind w:firstLine="420" w:firstLineChars="200"/>
        <w:rPr>
          <w:rFonts w:ascii="宋体" w:hAnsi="宋体"/>
          <w:b/>
          <w:color w:val="auto"/>
          <w:szCs w:val="21"/>
        </w:rPr>
      </w:pPr>
      <w:r>
        <w:rPr>
          <w:rFonts w:hint="eastAsia" w:ascii="宋体" w:hAnsi="宋体" w:cs="宋体"/>
          <w:color w:val="auto"/>
          <w:kern w:val="0"/>
          <w:szCs w:val="21"/>
        </w:rPr>
        <w:t xml:space="preserve">4.3.6 </w:t>
      </w:r>
      <w:r>
        <w:rPr>
          <w:rFonts w:hint="eastAsia" w:ascii="宋体" w:hAnsi="宋体" w:cs="宋体"/>
          <w:b/>
          <w:color w:val="auto"/>
          <w:kern w:val="0"/>
          <w:szCs w:val="21"/>
        </w:rPr>
        <w:t>供应商除首次磋商报价外，其余轮次报价只报总价，不报分项价格，由供应商法定代表人签字或者委托代理人签字或者加盖单位章确认。由委托代理人签字的，应附法人代表授权委托书；</w:t>
      </w:r>
      <w:r>
        <w:rPr>
          <w:rFonts w:hint="eastAsia" w:ascii="宋体" w:hAnsi="宋体" w:cs="Arial"/>
          <w:b/>
          <w:color w:val="auto"/>
          <w:kern w:val="0"/>
          <w:szCs w:val="21"/>
        </w:rPr>
        <w:t>供应商为自然人的，应当由本人签字。</w:t>
      </w:r>
    </w:p>
    <w:p w14:paraId="2F3847B0">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4.3.7 成交后供应商不得擅自改变</w:t>
      </w:r>
      <w:r>
        <w:rPr>
          <w:rFonts w:hint="eastAsia" w:ascii="宋体" w:hAnsi="宋体"/>
          <w:color w:val="auto"/>
          <w:szCs w:val="21"/>
          <w:lang w:val="en-US" w:eastAsia="zh-CN"/>
        </w:rPr>
        <w:t>工程</w:t>
      </w:r>
      <w:r>
        <w:rPr>
          <w:rFonts w:hint="eastAsia" w:ascii="宋体" w:hAnsi="宋体"/>
          <w:color w:val="auto"/>
          <w:szCs w:val="21"/>
        </w:rPr>
        <w:t>内容、</w:t>
      </w:r>
      <w:r>
        <w:rPr>
          <w:rFonts w:hint="eastAsia" w:ascii="宋体" w:hAnsi="宋体"/>
          <w:color w:val="auto"/>
          <w:szCs w:val="21"/>
          <w:lang w:val="en-US" w:eastAsia="zh-CN"/>
        </w:rPr>
        <w:t>质量</w:t>
      </w:r>
      <w:r>
        <w:rPr>
          <w:rFonts w:hint="eastAsia" w:ascii="宋体" w:hAnsi="宋体"/>
          <w:color w:val="auto"/>
          <w:szCs w:val="21"/>
        </w:rPr>
        <w:t>标准、</w:t>
      </w:r>
      <w:r>
        <w:rPr>
          <w:rFonts w:hint="eastAsia" w:ascii="宋体" w:hAnsi="宋体"/>
          <w:color w:val="auto"/>
          <w:szCs w:val="21"/>
          <w:lang w:val="en-US" w:eastAsia="zh-CN"/>
        </w:rPr>
        <w:t>服务期</w:t>
      </w:r>
      <w:r>
        <w:rPr>
          <w:rFonts w:hint="eastAsia" w:ascii="宋体" w:hAnsi="宋体"/>
          <w:color w:val="auto"/>
          <w:szCs w:val="21"/>
        </w:rPr>
        <w:t>和追加项目预算。磋商报价在合同履行过程中是固定不变的，任何有选择或可调整的报价将不予接受，并按无效响应文件处理。</w:t>
      </w:r>
    </w:p>
    <w:p w14:paraId="0FB947A3">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4.3.8 采购人不接受供应商给予的赠品、回扣或者与采购无关的其他商品、服务。如有赠与行为，其响应文件无效。</w:t>
      </w:r>
    </w:p>
    <w:p w14:paraId="72A88A80">
      <w:pPr>
        <w:spacing w:before="120" w:beforeLines="50" w:after="120" w:afterLines="50" w:line="360" w:lineRule="auto"/>
        <w:rPr>
          <w:rFonts w:ascii="宋体" w:hAnsi="宋体"/>
          <w:b/>
          <w:bCs/>
          <w:color w:val="auto"/>
          <w:sz w:val="30"/>
          <w:szCs w:val="30"/>
        </w:rPr>
      </w:pPr>
      <w:r>
        <w:rPr>
          <w:rFonts w:hint="eastAsia" w:ascii="宋体" w:hAnsi="宋体"/>
          <w:b/>
          <w:bCs/>
          <w:color w:val="auto"/>
          <w:sz w:val="30"/>
          <w:szCs w:val="30"/>
        </w:rPr>
        <w:t>4.4磋商有效期</w:t>
      </w:r>
    </w:p>
    <w:p w14:paraId="0C5F5BA5">
      <w:pPr>
        <w:tabs>
          <w:tab w:val="left" w:pos="7665"/>
        </w:tabs>
        <w:spacing w:line="360" w:lineRule="auto"/>
        <w:ind w:left="13" w:leftChars="6" w:firstLine="420" w:firstLineChars="200"/>
        <w:rPr>
          <w:rFonts w:ascii="宋体" w:hAnsi="宋体"/>
          <w:color w:val="auto"/>
          <w:szCs w:val="21"/>
        </w:rPr>
      </w:pPr>
      <w:r>
        <w:rPr>
          <w:rFonts w:hint="eastAsia" w:ascii="宋体" w:hAnsi="宋体"/>
          <w:color w:val="auto"/>
          <w:szCs w:val="21"/>
        </w:rPr>
        <w:t>4.4.1磋商有效期见供应商须知前附表。</w:t>
      </w:r>
      <w:r>
        <w:rPr>
          <w:rFonts w:hint="eastAsia" w:hAnsi="宋体"/>
          <w:color w:val="auto"/>
        </w:rPr>
        <w:t>在此期间响应文件对供应商具有法律约束力，</w:t>
      </w:r>
      <w:r>
        <w:rPr>
          <w:rFonts w:hint="eastAsia" w:hAnsi="宋体" w:cs="Arial"/>
          <w:color w:val="auto"/>
        </w:rPr>
        <w:t>从</w:t>
      </w:r>
      <w:r>
        <w:rPr>
          <w:rFonts w:hint="eastAsia" w:hAnsi="宋体"/>
          <w:b/>
          <w:color w:val="auto"/>
        </w:rPr>
        <w:t>供应商须知前附表规定</w:t>
      </w:r>
      <w:r>
        <w:rPr>
          <w:rFonts w:hint="eastAsia" w:hAnsi="宋体"/>
          <w:color w:val="auto"/>
        </w:rPr>
        <w:t>的</w:t>
      </w:r>
      <w:r>
        <w:rPr>
          <w:rFonts w:hint="eastAsia" w:hAnsi="宋体" w:cs="宋体"/>
          <w:color w:val="auto"/>
          <w:kern w:val="0"/>
        </w:rPr>
        <w:t>递交首次响应文件截止时间</w:t>
      </w:r>
      <w:r>
        <w:rPr>
          <w:rFonts w:hint="eastAsia" w:hAnsi="宋体"/>
          <w:color w:val="auto"/>
        </w:rPr>
        <w:t>之日</w:t>
      </w:r>
      <w:r>
        <w:rPr>
          <w:rFonts w:hint="eastAsia" w:hAnsi="宋体" w:cs="Arial"/>
          <w:color w:val="auto"/>
        </w:rPr>
        <w:t>起计算。</w:t>
      </w:r>
      <w:r>
        <w:rPr>
          <w:rFonts w:hint="eastAsia" w:ascii="宋体" w:hAnsi="宋体"/>
          <w:color w:val="auto"/>
          <w:szCs w:val="21"/>
        </w:rPr>
        <w:t>响应文件中必须载明磋商有效期，载明的磋商有效期可以长于磋商文件规定的期限，但不得短于磋商文件规定的期限，否则，属于非实质性响应，将按无效响应文件处理。</w:t>
      </w:r>
    </w:p>
    <w:p w14:paraId="38532EF0">
      <w:pPr>
        <w:tabs>
          <w:tab w:val="left" w:pos="7665"/>
        </w:tabs>
        <w:spacing w:line="360" w:lineRule="auto"/>
        <w:ind w:left="13" w:leftChars="6" w:firstLine="420" w:firstLineChars="200"/>
        <w:rPr>
          <w:rFonts w:ascii="宋体" w:hAnsi="宋体"/>
          <w:color w:val="auto"/>
          <w:szCs w:val="21"/>
        </w:rPr>
      </w:pPr>
      <w:r>
        <w:rPr>
          <w:rFonts w:hint="eastAsia" w:ascii="宋体" w:hAnsi="宋体"/>
          <w:color w:val="auto"/>
          <w:szCs w:val="21"/>
        </w:rPr>
        <w:t>4.4.2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45555CE">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4.4.3 在磋商有效期内，供应商撤销响应文件的，应承担磋商文件和法律规定的责任。</w:t>
      </w:r>
    </w:p>
    <w:p w14:paraId="576E2C19">
      <w:pPr>
        <w:tabs>
          <w:tab w:val="left" w:pos="7665"/>
        </w:tabs>
        <w:spacing w:line="360" w:lineRule="auto"/>
        <w:ind w:left="13" w:leftChars="6" w:firstLine="420" w:firstLineChars="200"/>
        <w:rPr>
          <w:rFonts w:ascii="宋体" w:hAnsi="宋体"/>
          <w:color w:val="auto"/>
          <w:szCs w:val="21"/>
        </w:rPr>
      </w:pPr>
      <w:r>
        <w:rPr>
          <w:rFonts w:hint="eastAsia" w:ascii="宋体" w:hAnsi="宋体"/>
          <w:color w:val="auto"/>
          <w:szCs w:val="21"/>
        </w:rPr>
        <w:t>4.4.4 成交供应商的磋商有效期自动延长至合同终止为止。</w:t>
      </w:r>
    </w:p>
    <w:p w14:paraId="29D107D1">
      <w:pPr>
        <w:pStyle w:val="8"/>
        <w:spacing w:before="120" w:beforeLines="50" w:after="120" w:afterLines="50" w:line="360" w:lineRule="auto"/>
        <w:ind w:firstLine="0"/>
        <w:rPr>
          <w:rFonts w:ascii="宋体" w:hAnsi="宋体"/>
          <w:b/>
          <w:color w:val="auto"/>
          <w:sz w:val="30"/>
          <w:szCs w:val="30"/>
        </w:rPr>
      </w:pPr>
      <w:r>
        <w:rPr>
          <w:rFonts w:hint="eastAsia" w:ascii="宋体" w:hAnsi="宋体"/>
          <w:b/>
          <w:bCs/>
          <w:color w:val="auto"/>
          <w:sz w:val="30"/>
          <w:szCs w:val="30"/>
        </w:rPr>
        <w:t>4.5磋商保证金</w:t>
      </w:r>
    </w:p>
    <w:p w14:paraId="3F6558CC">
      <w:pPr>
        <w:spacing w:line="360" w:lineRule="auto"/>
        <w:ind w:firstLine="411" w:firstLineChars="196"/>
        <w:rPr>
          <w:rFonts w:ascii="宋体" w:hAnsi="宋体"/>
          <w:color w:val="auto"/>
          <w:szCs w:val="21"/>
        </w:rPr>
      </w:pPr>
      <w:r>
        <w:rPr>
          <w:rFonts w:hint="eastAsia" w:ascii="宋体" w:hAnsi="宋体"/>
          <w:color w:val="auto"/>
          <w:szCs w:val="21"/>
        </w:rPr>
        <w:t>根据</w:t>
      </w:r>
      <w:r>
        <w:rPr>
          <w:rFonts w:hint="eastAsia" w:ascii="宋体" w:hAnsi="宋体"/>
          <w:color w:val="auto"/>
          <w:szCs w:val="21"/>
          <w:lang w:val="en-US" w:eastAsia="zh-CN"/>
        </w:rPr>
        <w:t>供应商</w:t>
      </w:r>
      <w:r>
        <w:rPr>
          <w:rFonts w:hint="eastAsia" w:ascii="宋体" w:hAnsi="宋体"/>
          <w:color w:val="auto"/>
          <w:szCs w:val="21"/>
        </w:rPr>
        <w:t>须知前附表要求，本项目不要求</w:t>
      </w:r>
      <w:r>
        <w:rPr>
          <w:rFonts w:hint="eastAsia" w:ascii="宋体" w:hAnsi="宋体"/>
          <w:color w:val="auto"/>
          <w:szCs w:val="21"/>
          <w:lang w:val="en-US" w:eastAsia="zh-CN"/>
        </w:rPr>
        <w:t>供应商</w:t>
      </w:r>
      <w:r>
        <w:rPr>
          <w:rFonts w:hint="eastAsia" w:ascii="宋体" w:hAnsi="宋体"/>
          <w:color w:val="auto"/>
          <w:szCs w:val="21"/>
        </w:rPr>
        <w:t>提交投标保证金。</w:t>
      </w:r>
    </w:p>
    <w:p w14:paraId="16C28977">
      <w:pPr>
        <w:spacing w:before="120" w:beforeLines="50" w:after="120" w:afterLines="50" w:line="360" w:lineRule="auto"/>
        <w:rPr>
          <w:rFonts w:ascii="宋体" w:hAnsi="宋体"/>
          <w:b/>
          <w:bCs/>
          <w:color w:val="auto"/>
          <w:sz w:val="30"/>
          <w:szCs w:val="30"/>
        </w:rPr>
      </w:pPr>
      <w:r>
        <w:rPr>
          <w:rFonts w:hint="eastAsia" w:ascii="宋体" w:hAnsi="宋体"/>
          <w:b/>
          <w:bCs/>
          <w:color w:val="auto"/>
          <w:sz w:val="30"/>
          <w:szCs w:val="30"/>
        </w:rPr>
        <w:t>4.6 商务部分</w:t>
      </w:r>
    </w:p>
    <w:p w14:paraId="128DBE4B">
      <w:pPr>
        <w:spacing w:line="360" w:lineRule="auto"/>
        <w:rPr>
          <w:rFonts w:ascii="宋体" w:hAnsi="宋体"/>
          <w:color w:val="auto"/>
          <w:szCs w:val="21"/>
        </w:rPr>
      </w:pPr>
      <w:r>
        <w:rPr>
          <w:rFonts w:hint="eastAsia" w:ascii="宋体" w:hAnsi="宋体"/>
          <w:b/>
          <w:bCs/>
          <w:color w:val="auto"/>
          <w:sz w:val="24"/>
        </w:rPr>
        <w:t xml:space="preserve">   </w:t>
      </w:r>
      <w:r>
        <w:rPr>
          <w:rFonts w:hint="eastAsia" w:ascii="宋体" w:hAnsi="宋体"/>
          <w:b/>
          <w:bCs/>
          <w:color w:val="auto"/>
          <w:szCs w:val="21"/>
        </w:rPr>
        <w:t xml:space="preserve"> </w:t>
      </w:r>
      <w:r>
        <w:rPr>
          <w:rFonts w:hint="eastAsia" w:ascii="宋体" w:hAnsi="宋体"/>
          <w:bCs/>
          <w:color w:val="auto"/>
          <w:szCs w:val="21"/>
        </w:rPr>
        <w:t>4.6.1供应商应</w:t>
      </w:r>
      <w:r>
        <w:rPr>
          <w:rFonts w:hint="eastAsia" w:ascii="宋体" w:hAnsi="宋体"/>
          <w:color w:val="auto"/>
          <w:szCs w:val="21"/>
        </w:rPr>
        <w:t>按照磋商文件商务要求做出完全响应。未作出商务响应的，作为不实质性响应磋商文件，按无效响应文件处理。</w:t>
      </w:r>
    </w:p>
    <w:p w14:paraId="3829898E">
      <w:pPr>
        <w:spacing w:line="360" w:lineRule="auto"/>
        <w:ind w:left="2" w:leftChars="1" w:firstLine="420" w:firstLineChars="200"/>
        <w:rPr>
          <w:rFonts w:ascii="宋体" w:hAnsi="宋体"/>
          <w:bCs/>
          <w:color w:val="auto"/>
          <w:szCs w:val="21"/>
        </w:rPr>
      </w:pPr>
      <w:r>
        <w:rPr>
          <w:rFonts w:hint="eastAsia" w:ascii="宋体" w:hAnsi="宋体"/>
          <w:bCs/>
          <w:color w:val="auto"/>
          <w:szCs w:val="21"/>
        </w:rPr>
        <w:t>4.6.2 供应商应对以下（不限于）要求作出承诺：</w:t>
      </w:r>
    </w:p>
    <w:p w14:paraId="5CD8E775">
      <w:pPr>
        <w:spacing w:line="360" w:lineRule="auto"/>
        <w:ind w:left="2" w:leftChars="1" w:firstLine="420" w:firstLineChars="200"/>
        <w:rPr>
          <w:rFonts w:ascii="宋体" w:hAnsi="宋体"/>
          <w:color w:val="auto"/>
          <w:szCs w:val="21"/>
        </w:rPr>
      </w:pPr>
      <w:r>
        <w:rPr>
          <w:rFonts w:hint="eastAsia" w:ascii="宋体" w:hAnsi="宋体"/>
          <w:bCs/>
          <w:color w:val="auto"/>
          <w:szCs w:val="21"/>
        </w:rPr>
        <w:t>（1）</w:t>
      </w:r>
      <w:r>
        <w:rPr>
          <w:rFonts w:hint="eastAsia" w:ascii="宋体" w:hAnsi="宋体"/>
          <w:color w:val="auto"/>
          <w:szCs w:val="21"/>
        </w:rPr>
        <w:t>承诺给予采购人的各种优惠条件；</w:t>
      </w:r>
    </w:p>
    <w:p w14:paraId="6712B13D">
      <w:pPr>
        <w:spacing w:line="360" w:lineRule="auto"/>
        <w:ind w:left="2" w:leftChars="1" w:firstLine="420" w:firstLineChars="200"/>
        <w:rPr>
          <w:rFonts w:ascii="宋体" w:hAnsi="宋体"/>
          <w:bCs/>
          <w:color w:val="auto"/>
          <w:szCs w:val="21"/>
        </w:rPr>
      </w:pPr>
      <w:r>
        <w:rPr>
          <w:rFonts w:hint="eastAsia" w:ascii="宋体" w:hAnsi="宋体"/>
          <w:bCs/>
          <w:color w:val="auto"/>
          <w:szCs w:val="21"/>
        </w:rPr>
        <w:t>（2）服务质量和</w:t>
      </w:r>
      <w:r>
        <w:rPr>
          <w:rFonts w:hint="eastAsia" w:ascii="宋体" w:hAnsi="宋体"/>
          <w:color w:val="auto"/>
          <w:szCs w:val="21"/>
        </w:rPr>
        <w:t>利于用户的售后服务承诺；</w:t>
      </w:r>
    </w:p>
    <w:p w14:paraId="408B09B3">
      <w:pPr>
        <w:spacing w:line="360" w:lineRule="auto"/>
        <w:ind w:left="2" w:leftChars="1" w:firstLine="420" w:firstLineChars="200"/>
        <w:rPr>
          <w:rFonts w:ascii="宋体" w:hAnsi="宋体"/>
          <w:bCs/>
          <w:color w:val="auto"/>
          <w:szCs w:val="21"/>
        </w:rPr>
      </w:pPr>
      <w:r>
        <w:rPr>
          <w:rFonts w:hint="eastAsia" w:ascii="宋体" w:hAnsi="宋体"/>
          <w:bCs/>
          <w:color w:val="auto"/>
          <w:szCs w:val="21"/>
        </w:rPr>
        <w:t>（3）严格按照磋商文件对本项目的要求，精心</w:t>
      </w:r>
      <w:r>
        <w:rPr>
          <w:rFonts w:hint="eastAsia"/>
          <w:bCs/>
          <w:color w:val="auto"/>
          <w:szCs w:val="21"/>
        </w:rPr>
        <w:t>组织、合理安排提供各项服务和产品（如有）；</w:t>
      </w:r>
    </w:p>
    <w:p w14:paraId="064AE3AA">
      <w:pPr>
        <w:spacing w:line="360" w:lineRule="auto"/>
        <w:ind w:left="2" w:leftChars="1" w:firstLine="420" w:firstLineChars="200"/>
        <w:rPr>
          <w:rFonts w:ascii="宋体" w:hAnsi="宋体"/>
          <w:color w:val="auto"/>
          <w:szCs w:val="21"/>
        </w:rPr>
      </w:pPr>
      <w:r>
        <w:rPr>
          <w:rFonts w:hint="eastAsia" w:ascii="宋体" w:hAnsi="宋体"/>
          <w:color w:val="auto"/>
          <w:szCs w:val="21"/>
        </w:rPr>
        <w:t>（4）未经采购人许可，不得将本采购项目采取转包实施的办法，一经发现，立即取消其成交资格，并承担由此产生的一切经济损失和法律后果；</w:t>
      </w:r>
    </w:p>
    <w:p w14:paraId="7C11BB80">
      <w:pPr>
        <w:pStyle w:val="8"/>
        <w:spacing w:line="360" w:lineRule="auto"/>
        <w:ind w:firstLine="472" w:firstLineChars="225"/>
        <w:rPr>
          <w:rFonts w:ascii="宋体" w:hAnsi="宋体"/>
          <w:color w:val="auto"/>
          <w:szCs w:val="21"/>
        </w:rPr>
      </w:pPr>
      <w:r>
        <w:rPr>
          <w:rFonts w:hint="eastAsia" w:ascii="宋体" w:hAnsi="宋体"/>
          <w:color w:val="auto"/>
          <w:szCs w:val="21"/>
        </w:rPr>
        <w:t>（5）接受采购人或采购人委托相关单位对项目实施方案、服务进度、服务质量、售后服务、费用支付与结算审核等方面监督和管理；</w:t>
      </w:r>
    </w:p>
    <w:p w14:paraId="568B032C">
      <w:pPr>
        <w:pStyle w:val="8"/>
        <w:spacing w:line="360" w:lineRule="auto"/>
        <w:ind w:firstLine="472" w:firstLineChars="225"/>
        <w:rPr>
          <w:rFonts w:ascii="宋体" w:hAnsi="宋体"/>
          <w:color w:val="auto"/>
          <w:szCs w:val="21"/>
        </w:rPr>
      </w:pPr>
      <w:r>
        <w:rPr>
          <w:rFonts w:hint="eastAsia" w:ascii="宋体" w:hAnsi="宋体"/>
          <w:color w:val="auto"/>
          <w:szCs w:val="21"/>
        </w:rPr>
        <w:t>（6）其它承诺。</w:t>
      </w:r>
    </w:p>
    <w:p w14:paraId="53C05341">
      <w:pPr>
        <w:spacing w:line="360" w:lineRule="auto"/>
        <w:ind w:firstLine="420" w:firstLineChars="200"/>
        <w:rPr>
          <w:rFonts w:ascii="宋体" w:hAnsi="宋体"/>
          <w:color w:val="auto"/>
          <w:szCs w:val="21"/>
        </w:rPr>
      </w:pPr>
      <w:r>
        <w:rPr>
          <w:rFonts w:hint="eastAsia" w:ascii="宋体" w:hAnsi="宋体"/>
          <w:color w:val="auto"/>
          <w:szCs w:val="21"/>
        </w:rPr>
        <w:t>4.6.3 其他证明材料不是必备证明材料，仅作为评审因素；供应商未提供的，评审时不予考虑；包括供应商享受政府采购优惠政策的证明材料、类似业绩证明材料等。</w:t>
      </w:r>
    </w:p>
    <w:p w14:paraId="57A2C08E">
      <w:pPr>
        <w:pStyle w:val="8"/>
        <w:spacing w:before="120" w:beforeLines="50" w:after="120" w:afterLines="50" w:line="360" w:lineRule="auto"/>
        <w:ind w:firstLine="0"/>
        <w:rPr>
          <w:rFonts w:ascii="宋体" w:hAnsi="宋体"/>
          <w:b/>
          <w:color w:val="auto"/>
          <w:sz w:val="30"/>
          <w:szCs w:val="30"/>
        </w:rPr>
      </w:pPr>
      <w:r>
        <w:rPr>
          <w:rFonts w:hint="eastAsia" w:ascii="宋体" w:hAnsi="宋体"/>
          <w:b/>
          <w:color w:val="auto"/>
          <w:sz w:val="30"/>
          <w:szCs w:val="30"/>
        </w:rPr>
        <w:t>4.7 技术部分</w:t>
      </w:r>
    </w:p>
    <w:p w14:paraId="54735C54">
      <w:pPr>
        <w:pStyle w:val="8"/>
        <w:spacing w:line="360" w:lineRule="auto"/>
        <w:ind w:firstLine="465"/>
        <w:rPr>
          <w:rFonts w:ascii="宋体" w:hAnsi="宋体"/>
          <w:color w:val="auto"/>
          <w:szCs w:val="21"/>
        </w:rPr>
      </w:pPr>
      <w:r>
        <w:rPr>
          <w:rFonts w:hint="eastAsia" w:ascii="宋体" w:hAnsi="宋体"/>
          <w:color w:val="auto"/>
          <w:szCs w:val="21"/>
        </w:rPr>
        <w:t xml:space="preserve">4.7.1 </w:t>
      </w:r>
      <w:r>
        <w:rPr>
          <w:rFonts w:hint="eastAsia" w:ascii="宋体" w:hAnsi="宋体"/>
          <w:bCs/>
          <w:color w:val="auto"/>
          <w:szCs w:val="21"/>
        </w:rPr>
        <w:t>供应商应</w:t>
      </w:r>
      <w:r>
        <w:rPr>
          <w:rFonts w:hint="eastAsia" w:ascii="宋体" w:hAnsi="宋体"/>
          <w:color w:val="auto"/>
          <w:szCs w:val="21"/>
        </w:rPr>
        <w:t xml:space="preserve">按照磋商文件要求做出的技术应答，主要是针对采购项目的技术指标和技术服务要求做出的实质性响应和满足。 </w:t>
      </w:r>
    </w:p>
    <w:p w14:paraId="08FAE3F7">
      <w:pPr>
        <w:pStyle w:val="8"/>
        <w:spacing w:line="360" w:lineRule="auto"/>
        <w:ind w:firstLine="422" w:firstLineChars="200"/>
        <w:rPr>
          <w:rFonts w:ascii="宋体" w:hAnsi="宋体"/>
          <w:b/>
          <w:color w:val="auto"/>
          <w:szCs w:val="21"/>
        </w:rPr>
      </w:pPr>
      <w:r>
        <w:rPr>
          <w:rFonts w:hint="eastAsia" w:ascii="宋体" w:hAnsi="宋体"/>
          <w:b/>
          <w:color w:val="auto"/>
          <w:szCs w:val="21"/>
        </w:rPr>
        <w:t xml:space="preserve">4.7.2 证明服务符合磋商文件要求的相关文件，可以是文字资料、图纸、数据、宣传彩页等，所有证明文件，表达意思必须统一。 </w:t>
      </w:r>
    </w:p>
    <w:p w14:paraId="2B17B418">
      <w:pPr>
        <w:tabs>
          <w:tab w:val="left" w:pos="7665"/>
        </w:tabs>
        <w:spacing w:before="120" w:beforeLines="50" w:after="120" w:afterLines="50" w:line="360" w:lineRule="auto"/>
        <w:rPr>
          <w:rFonts w:ascii="宋体" w:hAnsi="宋体"/>
          <w:b/>
          <w:bCs/>
          <w:color w:val="auto"/>
          <w:sz w:val="30"/>
          <w:szCs w:val="30"/>
        </w:rPr>
      </w:pPr>
      <w:r>
        <w:rPr>
          <w:rFonts w:hint="eastAsia" w:ascii="宋体" w:hAnsi="宋体"/>
          <w:b/>
          <w:bCs/>
          <w:color w:val="auto"/>
          <w:sz w:val="30"/>
          <w:szCs w:val="30"/>
        </w:rPr>
        <w:t>4.8 响应文件的制作和签署</w:t>
      </w:r>
    </w:p>
    <w:p w14:paraId="08DE6772">
      <w:pPr>
        <w:tabs>
          <w:tab w:val="left" w:pos="7665"/>
        </w:tabs>
        <w:spacing w:line="360" w:lineRule="auto"/>
        <w:ind w:left="13" w:leftChars="6" w:firstLine="420" w:firstLineChars="200"/>
        <w:rPr>
          <w:rFonts w:ascii="宋体" w:hAnsi="宋体"/>
          <w:color w:val="auto"/>
          <w:szCs w:val="21"/>
        </w:rPr>
      </w:pPr>
      <w:r>
        <w:rPr>
          <w:rFonts w:hint="eastAsia" w:ascii="宋体" w:hAnsi="宋体"/>
          <w:color w:val="auto"/>
          <w:szCs w:val="21"/>
        </w:rPr>
        <w:t>4.8.1 响应文件应根据磋商文件的要求制作。供应商应填写全称，同时加盖单位章，签署、盖章和内容应完整，如有遗漏，将被视为无效响应文件。</w:t>
      </w:r>
    </w:p>
    <w:p w14:paraId="6C6A0198">
      <w:pPr>
        <w:tabs>
          <w:tab w:val="left" w:pos="7665"/>
        </w:tabs>
        <w:spacing w:line="360" w:lineRule="auto"/>
        <w:ind w:left="13" w:leftChars="6" w:firstLine="420" w:firstLineChars="200"/>
        <w:rPr>
          <w:rFonts w:ascii="宋体" w:hAnsi="宋体"/>
          <w:color w:val="auto"/>
          <w:szCs w:val="21"/>
        </w:rPr>
      </w:pPr>
      <w:r>
        <w:rPr>
          <w:rFonts w:hint="eastAsia" w:ascii="宋体" w:hAnsi="宋体"/>
          <w:color w:val="auto"/>
          <w:szCs w:val="21"/>
        </w:rPr>
        <w:t>4.8.2 响应文件格式。供应商应严格按照第六章提供的“响应文件格式”编写相关内容。除明确允许供应商可以自行编写外，供应商不得以“响应文件格式”规定之外的方式填写相关内容。否则，供应商提供的响应文件将作为无效响应文件处理。</w:t>
      </w:r>
    </w:p>
    <w:p w14:paraId="5EFED4C2">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4.8.3 对于没有格式要求的响应文件由供应商自行编写。</w:t>
      </w:r>
    </w:p>
    <w:p w14:paraId="3625858B">
      <w:pPr>
        <w:tabs>
          <w:tab w:val="left" w:pos="1080"/>
        </w:tabs>
        <w:spacing w:line="360" w:lineRule="auto"/>
        <w:ind w:firstLine="403" w:firstLineChars="192"/>
        <w:rPr>
          <w:rFonts w:ascii="宋体" w:hAnsi="宋体"/>
          <w:color w:val="auto"/>
          <w:szCs w:val="21"/>
        </w:rPr>
      </w:pPr>
      <w:r>
        <w:rPr>
          <w:rFonts w:hint="eastAsia" w:ascii="宋体" w:hAnsi="宋体"/>
          <w:color w:val="auto"/>
          <w:szCs w:val="21"/>
        </w:rPr>
        <w:t>4.8.4 供应商应按“供应商须知前附表”规定的份数准备响应文件正本、副本和相应的电子文件。正本和副本封面右上角应清楚地标明“正本”或“副本”字样。当副本和正本有不一致的内容，以正本书面响应文件为准。</w:t>
      </w:r>
    </w:p>
    <w:p w14:paraId="7C3755B3">
      <w:pPr>
        <w:spacing w:line="360" w:lineRule="auto"/>
        <w:ind w:firstLine="420" w:firstLineChars="200"/>
        <w:jc w:val="left"/>
        <w:rPr>
          <w:rFonts w:ascii="宋体" w:hAnsi="宋体"/>
          <w:color w:val="auto"/>
          <w:szCs w:val="21"/>
        </w:rPr>
      </w:pPr>
      <w:r>
        <w:rPr>
          <w:rFonts w:hint="eastAsia" w:ascii="宋体" w:hAnsi="宋体"/>
          <w:color w:val="auto"/>
          <w:szCs w:val="21"/>
        </w:rPr>
        <w:t>4.8.5 响应文件的正本和副本均需打印或用不褪色、不变质的墨水书写，并由供应商的法定代表人或其委托代理人在规定签章处签字和盖章。响应文件副本可采用正本的复印件。</w:t>
      </w:r>
    </w:p>
    <w:p w14:paraId="0B3DCC18">
      <w:pPr>
        <w:tabs>
          <w:tab w:val="left" w:pos="1095"/>
        </w:tabs>
        <w:spacing w:line="360" w:lineRule="auto"/>
        <w:ind w:firstLine="403" w:firstLineChars="192"/>
        <w:rPr>
          <w:rFonts w:ascii="宋体" w:hAnsi="宋体"/>
          <w:color w:val="auto"/>
          <w:szCs w:val="21"/>
        </w:rPr>
      </w:pPr>
      <w:r>
        <w:rPr>
          <w:rFonts w:hint="eastAsia" w:ascii="宋体" w:hAnsi="宋体"/>
          <w:color w:val="auto"/>
          <w:szCs w:val="21"/>
        </w:rPr>
        <w:t>4.8.6 响应文件的打印或书写应清楚工整，尽量避免行间插字、涂改或增删。如出现上述情况，改动之处应由供应商的法定代表人或其委托代理人签字或盖单位章。字迹潦草、表达不清或可能导致非唯一理解的响应文件可能视为无效响应文件。</w:t>
      </w:r>
    </w:p>
    <w:p w14:paraId="573DF724">
      <w:pPr>
        <w:tabs>
          <w:tab w:val="left" w:pos="1080"/>
        </w:tabs>
        <w:spacing w:line="360" w:lineRule="auto"/>
        <w:ind w:firstLine="403" w:firstLineChars="192"/>
        <w:rPr>
          <w:rFonts w:ascii="宋体" w:hAnsi="宋体"/>
          <w:color w:val="auto"/>
          <w:szCs w:val="21"/>
        </w:rPr>
      </w:pPr>
      <w:r>
        <w:rPr>
          <w:rFonts w:hint="eastAsia" w:ascii="宋体" w:hAnsi="宋体"/>
          <w:color w:val="auto"/>
          <w:szCs w:val="21"/>
        </w:rPr>
        <w:t>4.8.7 响应文件的正本和副本</w:t>
      </w:r>
      <w:r>
        <w:rPr>
          <w:rFonts w:hint="eastAsia" w:ascii="宋体" w:hAnsi="宋体"/>
          <w:color w:val="auto"/>
          <w:szCs w:val="21"/>
          <w:lang w:val="zh-CN"/>
        </w:rPr>
        <w:t>一律采用A4纸幅面，并</w:t>
      </w:r>
      <w:r>
        <w:rPr>
          <w:rFonts w:hint="eastAsia" w:ascii="宋体" w:hAnsi="宋体"/>
          <w:color w:val="auto"/>
          <w:szCs w:val="21"/>
        </w:rPr>
        <w:t>分别装订和编制目录。响应文件需分册装订的，具体分册装订要求见</w:t>
      </w:r>
      <w:r>
        <w:rPr>
          <w:rFonts w:hint="eastAsia" w:ascii="宋体" w:hAnsi="宋体"/>
          <w:color w:val="auto"/>
          <w:szCs w:val="21"/>
          <w:lang w:val="zh-CN"/>
        </w:rPr>
        <w:t>供应商须知前附表的规定。响应文件</w:t>
      </w:r>
      <w:r>
        <w:rPr>
          <w:rFonts w:hint="eastAsia" w:ascii="宋体" w:hAnsi="宋体"/>
          <w:color w:val="auto"/>
          <w:szCs w:val="21"/>
        </w:rPr>
        <w:t>胶装后，页面不可抽取，不得有活动页，无破损、不可拆分。</w:t>
      </w:r>
    </w:p>
    <w:p w14:paraId="7BE7D291">
      <w:pPr>
        <w:spacing w:line="360" w:lineRule="auto"/>
        <w:ind w:firstLine="420" w:firstLineChars="200"/>
        <w:jc w:val="left"/>
        <w:rPr>
          <w:rFonts w:ascii="宋体" w:hAnsi="宋体"/>
          <w:b/>
          <w:color w:val="auto"/>
          <w:szCs w:val="21"/>
        </w:rPr>
      </w:pPr>
      <w:r>
        <w:rPr>
          <w:rFonts w:hint="eastAsia" w:ascii="宋体" w:hAnsi="宋体"/>
          <w:color w:val="auto"/>
          <w:szCs w:val="21"/>
        </w:rPr>
        <w:t>4.8.8 电子文件制作要求。电子文件与纸质正本响应文件的内容应保持一致，具有同等法律效力。电子文件应具有项目名称和供应商名称标识。</w:t>
      </w:r>
      <w:bookmarkStart w:id="72" w:name="_Toc5"/>
    </w:p>
    <w:p w14:paraId="7E051F28">
      <w:pPr>
        <w:pStyle w:val="8"/>
        <w:spacing w:before="120" w:beforeLines="50" w:after="120" w:afterLines="50" w:line="360" w:lineRule="auto"/>
        <w:ind w:firstLine="0"/>
        <w:outlineLvl w:val="9"/>
        <w:rPr>
          <w:rFonts w:ascii="黑体" w:hAnsi="黑体" w:eastAsia="黑体" w:cs="黑体"/>
          <w:bCs/>
          <w:color w:val="auto"/>
          <w:sz w:val="36"/>
          <w:szCs w:val="36"/>
        </w:rPr>
      </w:pPr>
      <w:r>
        <w:rPr>
          <w:rFonts w:hint="eastAsia" w:ascii="黑体" w:hAnsi="黑体" w:eastAsia="黑体" w:cs="黑体"/>
          <w:bCs/>
          <w:color w:val="auto"/>
          <w:sz w:val="36"/>
          <w:szCs w:val="36"/>
        </w:rPr>
        <w:t>5.响应文件的提交</w:t>
      </w:r>
      <w:bookmarkEnd w:id="72"/>
    </w:p>
    <w:p w14:paraId="2EC46399">
      <w:pPr>
        <w:tabs>
          <w:tab w:val="left" w:pos="1080"/>
        </w:tabs>
        <w:spacing w:after="120" w:afterLines="50" w:line="360" w:lineRule="auto"/>
        <w:rPr>
          <w:rFonts w:ascii="宋体" w:hAnsi="宋体"/>
          <w:b/>
          <w:color w:val="auto"/>
          <w:sz w:val="30"/>
          <w:szCs w:val="30"/>
        </w:rPr>
      </w:pPr>
      <w:r>
        <w:rPr>
          <w:rFonts w:hint="eastAsia" w:ascii="宋体" w:hAnsi="宋体"/>
          <w:b/>
          <w:color w:val="auto"/>
          <w:sz w:val="30"/>
          <w:szCs w:val="30"/>
        </w:rPr>
        <w:t>5.1 响应文件内容要求</w:t>
      </w:r>
    </w:p>
    <w:p w14:paraId="5BC534B8">
      <w:pPr>
        <w:tabs>
          <w:tab w:val="left" w:pos="1080"/>
        </w:tabs>
        <w:spacing w:line="360" w:lineRule="auto"/>
        <w:ind w:firstLine="403" w:firstLineChars="192"/>
        <w:rPr>
          <w:rFonts w:ascii="宋体" w:hAnsi="宋体"/>
          <w:color w:val="auto"/>
          <w:szCs w:val="21"/>
        </w:rPr>
      </w:pPr>
      <w:r>
        <w:rPr>
          <w:rFonts w:hint="eastAsia" w:ascii="宋体" w:hAnsi="宋体"/>
          <w:color w:val="auto"/>
          <w:szCs w:val="21"/>
        </w:rPr>
        <w:t>供应商应仔细阅读磋商文件中的所有事项、格式、条款和要求，对磋商文件的全部内容及要求作出实质性响应，提交相应资料。若分包，应以包为单位提交，不得在其中选项提交或将其中内容再行分解；否则，响应文件将视为无效响应文件。</w:t>
      </w:r>
    </w:p>
    <w:p w14:paraId="2BF40D3C">
      <w:pPr>
        <w:tabs>
          <w:tab w:val="left" w:pos="1080"/>
        </w:tabs>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5.2 响应文件的密封和标记</w:t>
      </w:r>
    </w:p>
    <w:p w14:paraId="035AB08D">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 xml:space="preserve">5.2.1 </w:t>
      </w:r>
      <w:r>
        <w:rPr>
          <w:rFonts w:hint="eastAsia" w:ascii="宋体" w:hAnsi="宋体"/>
          <w:color w:val="auto"/>
          <w:kern w:val="0"/>
          <w:szCs w:val="21"/>
        </w:rPr>
        <w:t>开启响应文件前，供应商应将响应文件所有正本、副本、电子文件全部密封。</w:t>
      </w:r>
    </w:p>
    <w:p w14:paraId="7D2C64B0">
      <w:pPr>
        <w:adjustRightInd w:val="0"/>
        <w:snapToGrid w:val="0"/>
        <w:spacing w:line="360" w:lineRule="auto"/>
        <w:ind w:firstLine="420" w:firstLineChars="200"/>
        <w:rPr>
          <w:rFonts w:ascii="宋体" w:hAnsi="宋体"/>
          <w:color w:val="auto"/>
          <w:szCs w:val="21"/>
        </w:rPr>
      </w:pPr>
      <w:r>
        <w:rPr>
          <w:rFonts w:hint="eastAsia" w:ascii="宋体" w:hAnsi="宋体"/>
          <w:color w:val="auto"/>
          <w:kern w:val="0"/>
          <w:szCs w:val="21"/>
        </w:rPr>
        <w:t xml:space="preserve">5.2.2 </w:t>
      </w:r>
      <w:r>
        <w:rPr>
          <w:rFonts w:hint="eastAsia" w:ascii="宋体" w:hAnsi="宋体"/>
          <w:color w:val="auto"/>
          <w:szCs w:val="21"/>
        </w:rPr>
        <w:t>响应文件装订、密封、装袋要求见供应商须知前附表，并在封套的封口处（缝隙处）加贴封条，应粘贴牢固，加盖密封章（供应商单位章）。</w:t>
      </w:r>
    </w:p>
    <w:p w14:paraId="32A9BAB4">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5.2.3 响应文件封套上应写明的内容见供应商须知前附表。</w:t>
      </w:r>
    </w:p>
    <w:p w14:paraId="48B6C7DC">
      <w:pPr>
        <w:adjustRightInd w:val="0"/>
        <w:snapToGrid w:val="0"/>
        <w:spacing w:line="360" w:lineRule="auto"/>
        <w:ind w:firstLine="420" w:firstLineChars="200"/>
        <w:rPr>
          <w:rFonts w:ascii="宋体" w:hAnsi="宋体" w:cs="宋体"/>
          <w:color w:val="auto"/>
          <w:kern w:val="0"/>
          <w:szCs w:val="21"/>
        </w:rPr>
      </w:pPr>
      <w:r>
        <w:rPr>
          <w:rFonts w:hint="eastAsia" w:ascii="宋体" w:hAnsi="宋体"/>
          <w:color w:val="auto"/>
          <w:szCs w:val="21"/>
        </w:rPr>
        <w:t>5.2.4 未按要求密封的响应文件，采购代理机构将予以拒收。</w:t>
      </w:r>
    </w:p>
    <w:p w14:paraId="4D555716">
      <w:pPr>
        <w:tabs>
          <w:tab w:val="left" w:pos="1080"/>
        </w:tabs>
        <w:spacing w:before="120" w:beforeLines="50" w:after="120" w:afterLines="50" w:line="360" w:lineRule="auto"/>
        <w:rPr>
          <w:rFonts w:ascii="宋体" w:hAnsi="宋体"/>
          <w:b/>
          <w:color w:val="auto"/>
          <w:sz w:val="30"/>
          <w:szCs w:val="30"/>
        </w:rPr>
      </w:pPr>
      <w:r>
        <w:rPr>
          <w:rFonts w:hint="eastAsia" w:ascii="宋体" w:hAnsi="宋体"/>
          <w:b/>
          <w:bCs/>
          <w:color w:val="auto"/>
          <w:sz w:val="30"/>
          <w:szCs w:val="30"/>
        </w:rPr>
        <w:t>5.3 响应文件的提交</w:t>
      </w:r>
    </w:p>
    <w:p w14:paraId="7DDCDB20">
      <w:pPr>
        <w:tabs>
          <w:tab w:val="left" w:pos="1095"/>
        </w:tabs>
        <w:spacing w:line="360" w:lineRule="auto"/>
        <w:ind w:firstLine="403" w:firstLineChars="192"/>
        <w:rPr>
          <w:rFonts w:ascii="宋体" w:hAnsi="宋体"/>
          <w:color w:val="auto"/>
          <w:szCs w:val="21"/>
        </w:rPr>
      </w:pPr>
      <w:r>
        <w:rPr>
          <w:rFonts w:hint="eastAsia" w:ascii="宋体" w:hAnsi="宋体"/>
          <w:color w:val="auto"/>
          <w:szCs w:val="21"/>
        </w:rPr>
        <w:t>5.3.1 供应商应在供应商须知前附表规定的提交响应文件截止时间前提交响应文件。</w:t>
      </w:r>
    </w:p>
    <w:p w14:paraId="4CD384C9">
      <w:pPr>
        <w:tabs>
          <w:tab w:val="left" w:pos="1095"/>
        </w:tabs>
        <w:spacing w:line="360" w:lineRule="auto"/>
        <w:ind w:firstLine="403" w:firstLineChars="192"/>
        <w:rPr>
          <w:rFonts w:ascii="宋体" w:hAnsi="宋体"/>
          <w:color w:val="auto"/>
          <w:szCs w:val="21"/>
        </w:rPr>
      </w:pPr>
      <w:r>
        <w:rPr>
          <w:rFonts w:hint="eastAsia" w:ascii="宋体" w:hAnsi="宋体"/>
          <w:color w:val="auto"/>
          <w:szCs w:val="21"/>
        </w:rPr>
        <w:t>5.3.2 供应商提交响应文件地点：见供应商须知前附表。</w:t>
      </w:r>
    </w:p>
    <w:p w14:paraId="258CD3A1">
      <w:pPr>
        <w:tabs>
          <w:tab w:val="left" w:pos="1095"/>
        </w:tabs>
        <w:spacing w:line="360" w:lineRule="auto"/>
        <w:ind w:firstLine="403" w:firstLineChars="192"/>
        <w:rPr>
          <w:rFonts w:ascii="宋体" w:hAnsi="宋体"/>
          <w:color w:val="auto"/>
          <w:szCs w:val="21"/>
        </w:rPr>
      </w:pPr>
      <w:r>
        <w:rPr>
          <w:rFonts w:hint="eastAsia" w:ascii="宋体" w:hAnsi="宋体"/>
          <w:color w:val="auto"/>
          <w:szCs w:val="21"/>
        </w:rPr>
        <w:t>5.3.3 除供应商须知前附表另有规定外，供应商提交的响应文件不予退还。</w:t>
      </w:r>
    </w:p>
    <w:p w14:paraId="14F4FCE8">
      <w:pPr>
        <w:pStyle w:val="8"/>
        <w:spacing w:line="360" w:lineRule="auto"/>
        <w:ind w:firstLineChars="200"/>
        <w:rPr>
          <w:rFonts w:ascii="宋体" w:hAnsi="宋体"/>
          <w:color w:val="auto"/>
          <w:szCs w:val="21"/>
        </w:rPr>
      </w:pPr>
      <w:r>
        <w:rPr>
          <w:rFonts w:hint="eastAsia" w:ascii="宋体" w:hAnsi="宋体"/>
          <w:color w:val="auto"/>
          <w:szCs w:val="21"/>
        </w:rPr>
        <w:t>5.3.4采购代理机构收到响应文件后，应当如实记载响应文件的送达时间、份数、密封情况和提交人等信息。</w:t>
      </w:r>
    </w:p>
    <w:p w14:paraId="1A60C7EE">
      <w:pPr>
        <w:tabs>
          <w:tab w:val="left" w:pos="851"/>
          <w:tab w:val="left" w:pos="1095"/>
        </w:tabs>
        <w:spacing w:line="360" w:lineRule="auto"/>
        <w:ind w:firstLine="403" w:firstLineChars="192"/>
        <w:rPr>
          <w:rFonts w:ascii="宋体" w:hAnsi="宋体"/>
          <w:color w:val="auto"/>
          <w:szCs w:val="21"/>
        </w:rPr>
      </w:pPr>
      <w:r>
        <w:rPr>
          <w:rFonts w:hint="eastAsia" w:ascii="宋体" w:hAnsi="宋体"/>
          <w:color w:val="auto"/>
          <w:szCs w:val="21"/>
        </w:rPr>
        <w:t>5.3.5 逾期送达的响应文件，采购代理机构将予以拒收。</w:t>
      </w:r>
    </w:p>
    <w:p w14:paraId="262B5351">
      <w:pPr>
        <w:pStyle w:val="8"/>
        <w:spacing w:line="360" w:lineRule="auto"/>
        <w:ind w:firstLineChars="200"/>
        <w:rPr>
          <w:rFonts w:ascii="宋体" w:hAnsi="宋体"/>
          <w:color w:val="auto"/>
          <w:szCs w:val="21"/>
        </w:rPr>
      </w:pPr>
      <w:r>
        <w:rPr>
          <w:rFonts w:hint="eastAsia" w:ascii="宋体" w:hAnsi="宋体"/>
          <w:color w:val="auto"/>
          <w:szCs w:val="21"/>
        </w:rPr>
        <w:t>5.3.6 本次磋商不接受邮寄的响应文件。</w:t>
      </w:r>
    </w:p>
    <w:p w14:paraId="048C3766">
      <w:pPr>
        <w:pStyle w:val="8"/>
        <w:spacing w:line="360" w:lineRule="auto"/>
        <w:ind w:firstLineChars="200"/>
        <w:rPr>
          <w:rFonts w:ascii="宋体" w:hAnsi="宋体"/>
          <w:color w:val="auto"/>
          <w:szCs w:val="21"/>
        </w:rPr>
      </w:pPr>
      <w:r>
        <w:rPr>
          <w:rFonts w:hint="eastAsia" w:ascii="宋体" w:hAnsi="宋体"/>
          <w:color w:val="auto"/>
          <w:szCs w:val="21"/>
        </w:rPr>
        <w:t>5.3.7 需要供应商提供样品的，同响应文件一起提交。</w:t>
      </w:r>
    </w:p>
    <w:p w14:paraId="40AC089A">
      <w:pPr>
        <w:pStyle w:val="8"/>
        <w:spacing w:before="120" w:beforeLines="50" w:after="120" w:afterLines="50" w:line="360" w:lineRule="auto"/>
        <w:ind w:firstLine="0"/>
        <w:jc w:val="left"/>
        <w:rPr>
          <w:rFonts w:ascii="宋体" w:hAnsi="宋体"/>
          <w:b/>
          <w:color w:val="auto"/>
          <w:sz w:val="30"/>
          <w:szCs w:val="30"/>
        </w:rPr>
      </w:pPr>
      <w:r>
        <w:rPr>
          <w:rFonts w:hint="eastAsia" w:ascii="宋体" w:hAnsi="宋体"/>
          <w:b/>
          <w:bCs/>
          <w:color w:val="auto"/>
          <w:sz w:val="30"/>
          <w:szCs w:val="30"/>
        </w:rPr>
        <w:t>5.4 响应文件的修改和撤回</w:t>
      </w:r>
    </w:p>
    <w:p w14:paraId="5CD7E91B">
      <w:pPr>
        <w:spacing w:line="360" w:lineRule="auto"/>
        <w:ind w:firstLine="411" w:firstLineChars="196"/>
        <w:rPr>
          <w:rFonts w:ascii="宋体" w:hAnsi="宋体"/>
          <w:color w:val="auto"/>
          <w:szCs w:val="21"/>
        </w:rPr>
      </w:pPr>
      <w:r>
        <w:rPr>
          <w:rFonts w:hint="eastAsia" w:ascii="宋体" w:hAnsi="宋体"/>
          <w:color w:val="auto"/>
          <w:szCs w:val="21"/>
        </w:rPr>
        <w:t>5.4.1 在本章第5.3.1项规定的提交响应文件截止时间前，供应商可以补充、修改或者撤回已提交的响应文件，但应以书面形式通知采购代理机构。</w:t>
      </w:r>
    </w:p>
    <w:p w14:paraId="757F361F">
      <w:pPr>
        <w:spacing w:line="360" w:lineRule="auto"/>
        <w:ind w:firstLine="411" w:firstLineChars="196"/>
        <w:rPr>
          <w:rFonts w:ascii="宋体" w:hAnsi="宋体"/>
          <w:color w:val="auto"/>
          <w:szCs w:val="21"/>
        </w:rPr>
      </w:pPr>
      <w:r>
        <w:rPr>
          <w:rFonts w:hint="eastAsia" w:ascii="宋体" w:hAnsi="宋体"/>
          <w:color w:val="auto"/>
          <w:szCs w:val="21"/>
        </w:rPr>
        <w:t>5.4.2 供应商的补充、修改或者撤回通知书，应由其法定代表人或委托代理人签署并盖单位章。补充、修改或者撤回通知书应按本章第5.2.2项规定进行密封，并在密封袋上标注“响应文件补充、修改”或“响应文件撤回通知”字样，“补充、修改文件”作为响应文件的组成部分。补充、修改内容与响应文件不一致的，以补充、修改的内容为准。</w:t>
      </w:r>
    </w:p>
    <w:p w14:paraId="2CF09CAC">
      <w:pPr>
        <w:spacing w:line="360" w:lineRule="auto"/>
        <w:ind w:firstLine="411" w:firstLineChars="196"/>
        <w:rPr>
          <w:rFonts w:ascii="宋体" w:hAnsi="宋体"/>
          <w:color w:val="auto"/>
          <w:szCs w:val="21"/>
        </w:rPr>
      </w:pPr>
      <w:r>
        <w:rPr>
          <w:rFonts w:hint="eastAsia" w:ascii="宋体" w:hAnsi="宋体"/>
          <w:color w:val="auto"/>
          <w:szCs w:val="21"/>
        </w:rPr>
        <w:t>5.4.3 供应商撤回响应文件的，采购代理机构自收到供应商书面撤回通知之日起5个工作日内退还已收取的磋商保证金。</w:t>
      </w:r>
    </w:p>
    <w:p w14:paraId="17DD10BE">
      <w:pPr>
        <w:spacing w:line="360" w:lineRule="auto"/>
        <w:ind w:firstLine="411" w:firstLineChars="196"/>
        <w:rPr>
          <w:rFonts w:ascii="宋体" w:hAnsi="宋体"/>
          <w:color w:val="auto"/>
          <w:szCs w:val="21"/>
        </w:rPr>
      </w:pPr>
      <w:r>
        <w:rPr>
          <w:rFonts w:hint="eastAsia" w:ascii="宋体" w:hAnsi="宋体"/>
          <w:color w:val="auto"/>
          <w:szCs w:val="21"/>
        </w:rPr>
        <w:t>5.4.4 在提交响应文件截止时间之后，供应商不得对其提交的响应文件做任何补充、修改或者撤销响应文件。</w:t>
      </w:r>
    </w:p>
    <w:p w14:paraId="59833075">
      <w:pPr>
        <w:pStyle w:val="8"/>
        <w:spacing w:before="120" w:beforeLines="50" w:after="120" w:afterLines="50" w:line="360" w:lineRule="auto"/>
        <w:ind w:firstLine="0"/>
        <w:outlineLvl w:val="9"/>
        <w:rPr>
          <w:rFonts w:ascii="黑体" w:hAnsi="黑体" w:eastAsia="黑体" w:cs="黑体"/>
          <w:bCs/>
          <w:color w:val="auto"/>
          <w:sz w:val="36"/>
          <w:szCs w:val="36"/>
        </w:rPr>
      </w:pPr>
      <w:bookmarkStart w:id="73" w:name="_Toc23218"/>
      <w:r>
        <w:rPr>
          <w:rFonts w:hint="eastAsia" w:ascii="黑体" w:hAnsi="黑体" w:eastAsia="黑体" w:cs="黑体"/>
          <w:bCs/>
          <w:color w:val="auto"/>
          <w:sz w:val="36"/>
          <w:szCs w:val="36"/>
        </w:rPr>
        <w:t>6.开启响应文件</w:t>
      </w:r>
      <w:bookmarkEnd w:id="73"/>
    </w:p>
    <w:p w14:paraId="6B64102A">
      <w:pPr>
        <w:spacing w:after="120" w:afterLines="50" w:line="360" w:lineRule="auto"/>
        <w:rPr>
          <w:rFonts w:ascii="宋体" w:hAnsi="宋体"/>
          <w:b/>
          <w:color w:val="auto"/>
          <w:sz w:val="30"/>
          <w:szCs w:val="30"/>
        </w:rPr>
      </w:pPr>
      <w:r>
        <w:rPr>
          <w:rFonts w:hint="eastAsia" w:ascii="宋体" w:hAnsi="宋体"/>
          <w:b/>
          <w:color w:val="auto"/>
          <w:sz w:val="30"/>
          <w:szCs w:val="30"/>
        </w:rPr>
        <w:t>6.1开启响应文件的时间和地点</w:t>
      </w:r>
    </w:p>
    <w:p w14:paraId="166E047C">
      <w:pPr>
        <w:spacing w:line="360" w:lineRule="auto"/>
        <w:ind w:firstLine="420" w:firstLineChars="200"/>
        <w:rPr>
          <w:rFonts w:ascii="宋体" w:hAnsi="宋体"/>
          <w:color w:val="auto"/>
          <w:szCs w:val="21"/>
        </w:rPr>
      </w:pPr>
      <w:r>
        <w:rPr>
          <w:rFonts w:hint="eastAsia" w:ascii="宋体" w:hAnsi="宋体"/>
          <w:color w:val="auto"/>
          <w:szCs w:val="21"/>
        </w:rPr>
        <w:t>6.1.1 采购代理机构在供应商须知前附表中规定的开启响应文件时间和地点开启响应文件，并邀请采购人、所有获取磋商文件的供应商派代表准时参加并签到以证明其出席。</w:t>
      </w:r>
    </w:p>
    <w:p w14:paraId="64C569F8">
      <w:pPr>
        <w:spacing w:line="360" w:lineRule="auto"/>
        <w:ind w:firstLine="420" w:firstLineChars="200"/>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6.1.2</w:t>
      </w:r>
      <w:r>
        <w:rPr>
          <w:rFonts w:hint="eastAsia" w:ascii="宋体" w:hAnsi="宋体" w:eastAsia="宋体" w:cs="Times New Roman"/>
          <w:color w:val="auto"/>
          <w:szCs w:val="21"/>
        </w:rPr>
        <w:t>投标人未参加开标的，视同认可开标结果</w:t>
      </w:r>
      <w:r>
        <w:rPr>
          <w:rFonts w:hint="eastAsia" w:ascii="宋体" w:hAnsi="宋体" w:eastAsia="宋体" w:cs="Times New Roman"/>
          <w:color w:val="auto"/>
          <w:szCs w:val="21"/>
          <w:lang w:val="en-US" w:eastAsia="zh-CN"/>
        </w:rPr>
        <w:t>。</w:t>
      </w:r>
    </w:p>
    <w:p w14:paraId="4CA3D518">
      <w:pPr>
        <w:spacing w:line="360" w:lineRule="auto"/>
        <w:ind w:firstLine="420" w:firstLineChars="200"/>
        <w:rPr>
          <w:rFonts w:ascii="宋体" w:hAnsi="宋体"/>
          <w:color w:val="auto"/>
          <w:szCs w:val="21"/>
        </w:rPr>
      </w:pPr>
      <w:r>
        <w:rPr>
          <w:rFonts w:hint="eastAsia" w:ascii="宋体" w:hAnsi="宋体"/>
          <w:color w:val="auto"/>
          <w:szCs w:val="21"/>
        </w:rPr>
        <w:t>6.1.</w:t>
      </w:r>
      <w:r>
        <w:rPr>
          <w:rFonts w:hint="eastAsia" w:ascii="宋体" w:hAnsi="宋体"/>
          <w:color w:val="auto"/>
          <w:szCs w:val="21"/>
          <w:lang w:val="en-US" w:eastAsia="zh-CN"/>
        </w:rPr>
        <w:t>3</w:t>
      </w:r>
      <w:r>
        <w:rPr>
          <w:rFonts w:hint="eastAsia" w:ascii="宋体" w:hAnsi="宋体"/>
          <w:color w:val="auto"/>
          <w:szCs w:val="21"/>
        </w:rPr>
        <w:t xml:space="preserve"> 采购代理机构将邀请有关监督管理机构对开启响应文件现场进行监督。</w:t>
      </w:r>
    </w:p>
    <w:p w14:paraId="491A7032">
      <w:pPr>
        <w:spacing w:line="360" w:lineRule="auto"/>
        <w:ind w:firstLine="420" w:firstLineChars="200"/>
        <w:rPr>
          <w:rFonts w:ascii="宋体" w:hAnsi="宋体"/>
          <w:color w:val="auto"/>
          <w:szCs w:val="21"/>
        </w:rPr>
      </w:pPr>
      <w:r>
        <w:rPr>
          <w:rFonts w:hint="eastAsia" w:ascii="宋体" w:hAnsi="宋体"/>
          <w:color w:val="auto"/>
          <w:szCs w:val="21"/>
        </w:rPr>
        <w:t>6.1.</w:t>
      </w:r>
      <w:r>
        <w:rPr>
          <w:rFonts w:hint="eastAsia" w:ascii="宋体" w:hAnsi="宋体"/>
          <w:color w:val="auto"/>
          <w:szCs w:val="21"/>
          <w:lang w:val="en-US" w:eastAsia="zh-CN"/>
        </w:rPr>
        <w:t>4</w:t>
      </w:r>
      <w:r>
        <w:rPr>
          <w:rFonts w:hint="eastAsia" w:ascii="宋体" w:hAnsi="宋体"/>
          <w:color w:val="auto"/>
          <w:szCs w:val="21"/>
        </w:rPr>
        <w:t>供应商不足3家的，不得开启响应文件。</w:t>
      </w:r>
    </w:p>
    <w:p w14:paraId="195B380F">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6.2 开启响应文件程序</w:t>
      </w:r>
    </w:p>
    <w:p w14:paraId="30248481">
      <w:pPr>
        <w:pStyle w:val="16"/>
        <w:ind w:firstLine="420"/>
        <w:rPr>
          <w:rFonts w:ascii="宋体" w:hAnsi="宋体" w:eastAsia="宋体"/>
          <w:color w:val="auto"/>
          <w:sz w:val="21"/>
          <w:szCs w:val="21"/>
        </w:rPr>
      </w:pPr>
      <w:r>
        <w:rPr>
          <w:rFonts w:hint="eastAsia" w:ascii="宋体" w:hAnsi="宋体" w:eastAsia="宋体"/>
          <w:color w:val="auto"/>
          <w:sz w:val="21"/>
          <w:szCs w:val="21"/>
        </w:rPr>
        <w:t>6.2.1 根据财政部《政府采购竞争性磋商采购方式管理暂行办法》（财库[2014</w:t>
      </w:r>
      <w:r>
        <w:rPr>
          <w:rFonts w:ascii="宋体" w:hAnsi="宋体" w:eastAsia="宋体"/>
          <w:color w:val="auto"/>
          <w:sz w:val="21"/>
          <w:szCs w:val="21"/>
        </w:rPr>
        <w:t>]</w:t>
      </w:r>
      <w:r>
        <w:rPr>
          <w:rFonts w:hint="eastAsia" w:ascii="宋体" w:hAnsi="宋体" w:eastAsia="宋体"/>
          <w:color w:val="auto"/>
          <w:sz w:val="21"/>
          <w:szCs w:val="21"/>
        </w:rPr>
        <w:t>214号）第五条规定，开启响应文件和每轮磋商结束时均不公开报价。</w:t>
      </w:r>
    </w:p>
    <w:p w14:paraId="68283F91">
      <w:pPr>
        <w:pStyle w:val="16"/>
        <w:ind w:firstLine="420"/>
        <w:rPr>
          <w:rFonts w:ascii="宋体" w:hAnsi="宋体" w:eastAsia="宋体"/>
          <w:color w:val="auto"/>
          <w:sz w:val="21"/>
          <w:szCs w:val="21"/>
        </w:rPr>
      </w:pPr>
      <w:r>
        <w:rPr>
          <w:rFonts w:hint="eastAsia" w:ascii="宋体" w:hAnsi="宋体" w:eastAsia="宋体"/>
          <w:color w:val="auto"/>
          <w:sz w:val="21"/>
          <w:szCs w:val="21"/>
        </w:rPr>
        <w:t>6.2.2开启响应文件由采购代理机构主持。主持人按照磋商文件规定的开启响应文件时间宣布开启响应文件开始，并按下列程序进行（但不限于）：</w:t>
      </w:r>
    </w:p>
    <w:p w14:paraId="3820B914">
      <w:pPr>
        <w:spacing w:line="360" w:lineRule="auto"/>
        <w:ind w:firstLine="420" w:firstLineChars="200"/>
        <w:rPr>
          <w:rFonts w:ascii="宋体" w:hAnsi="宋体"/>
          <w:color w:val="auto"/>
          <w:szCs w:val="21"/>
        </w:rPr>
      </w:pPr>
      <w:r>
        <w:rPr>
          <w:rFonts w:hint="eastAsia" w:ascii="宋体" w:hAnsi="宋体"/>
          <w:color w:val="auto"/>
          <w:szCs w:val="21"/>
        </w:rPr>
        <w:t>（1）宣布开启响应文件开始和开启录音录像设备并致辞；</w:t>
      </w:r>
    </w:p>
    <w:p w14:paraId="781C06E8">
      <w:pPr>
        <w:spacing w:line="360" w:lineRule="auto"/>
        <w:ind w:firstLine="420" w:firstLineChars="200"/>
        <w:rPr>
          <w:rFonts w:ascii="宋体" w:hAnsi="宋体"/>
          <w:color w:val="auto"/>
          <w:szCs w:val="21"/>
        </w:rPr>
      </w:pPr>
      <w:r>
        <w:rPr>
          <w:rFonts w:hint="eastAsia" w:ascii="宋体" w:hAnsi="宋体"/>
          <w:color w:val="auto"/>
          <w:szCs w:val="21"/>
        </w:rPr>
        <w:t>（2）宣布开启响应文件纪律和有关注意事项；</w:t>
      </w:r>
    </w:p>
    <w:p w14:paraId="30ED2582">
      <w:pPr>
        <w:spacing w:line="360" w:lineRule="auto"/>
        <w:ind w:firstLine="420" w:firstLineChars="200"/>
        <w:rPr>
          <w:rFonts w:ascii="宋体" w:hAnsi="宋体"/>
          <w:color w:val="auto"/>
          <w:szCs w:val="21"/>
        </w:rPr>
      </w:pPr>
      <w:r>
        <w:rPr>
          <w:rFonts w:hint="eastAsia" w:ascii="宋体" w:hAnsi="宋体"/>
          <w:color w:val="auto"/>
          <w:szCs w:val="21"/>
        </w:rPr>
        <w:t>（3）公布在提交响应文件截止时间前提交响应文件的供应商名称；</w:t>
      </w:r>
    </w:p>
    <w:p w14:paraId="2E236973">
      <w:pPr>
        <w:spacing w:line="360" w:lineRule="auto"/>
        <w:ind w:firstLine="420" w:firstLineChars="200"/>
        <w:rPr>
          <w:rFonts w:ascii="宋体" w:hAnsi="宋体"/>
          <w:color w:val="auto"/>
          <w:szCs w:val="21"/>
        </w:rPr>
      </w:pPr>
      <w:r>
        <w:rPr>
          <w:rFonts w:hint="eastAsia" w:ascii="宋体" w:hAnsi="宋体"/>
          <w:color w:val="auto"/>
          <w:szCs w:val="21"/>
        </w:rPr>
        <w:t>（4）宣布参加开启响应文件的现场监督人员和主持人、会议记录等有关工作人员；</w:t>
      </w:r>
    </w:p>
    <w:p w14:paraId="0ACB837B">
      <w:pPr>
        <w:spacing w:line="360" w:lineRule="auto"/>
        <w:ind w:firstLine="420" w:firstLineChars="200"/>
        <w:rPr>
          <w:rFonts w:ascii="宋体" w:hAnsi="宋体"/>
          <w:color w:val="auto"/>
          <w:szCs w:val="21"/>
        </w:rPr>
      </w:pPr>
      <w:r>
        <w:rPr>
          <w:rFonts w:hint="eastAsia" w:ascii="宋体" w:hAnsi="宋体"/>
          <w:color w:val="auto"/>
          <w:szCs w:val="21"/>
        </w:rPr>
        <w:t>（5）检查并宣布响应文件的密封情况</w:t>
      </w:r>
      <w:r>
        <w:rPr>
          <w:rFonts w:hint="eastAsia" w:ascii="宋体" w:hAnsi="宋体"/>
          <w:color w:val="auto"/>
          <w:szCs w:val="21"/>
          <w:lang w:eastAsia="zh-CN"/>
        </w:rPr>
        <w:t>，</w:t>
      </w:r>
      <w:r>
        <w:rPr>
          <w:rFonts w:hint="eastAsia" w:ascii="宋体" w:hAnsi="宋体" w:eastAsia="宋体" w:cs="Times New Roman"/>
          <w:color w:val="auto"/>
          <w:szCs w:val="21"/>
        </w:rPr>
        <w:t>由</w:t>
      </w:r>
      <w:r>
        <w:rPr>
          <w:rFonts w:hint="eastAsia" w:ascii="宋体" w:hAnsi="宋体" w:eastAsia="宋体" w:cs="Times New Roman"/>
          <w:color w:val="auto"/>
          <w:szCs w:val="21"/>
          <w:lang w:val="en-US" w:eastAsia="zh-CN"/>
        </w:rPr>
        <w:t>供应商</w:t>
      </w:r>
      <w:r>
        <w:rPr>
          <w:rFonts w:hint="eastAsia" w:ascii="宋体" w:hAnsi="宋体" w:eastAsia="宋体" w:cs="Times New Roman"/>
          <w:color w:val="auto"/>
          <w:szCs w:val="21"/>
        </w:rPr>
        <w:t>或者其推选的代表检查其自己递交的</w:t>
      </w:r>
      <w:r>
        <w:rPr>
          <w:rFonts w:hint="eastAsia" w:ascii="宋体" w:hAnsi="宋体" w:eastAsia="宋体" w:cs="Times New Roman"/>
          <w:color w:val="auto"/>
          <w:szCs w:val="21"/>
          <w:lang w:val="en-US" w:eastAsia="zh-CN"/>
        </w:rPr>
        <w:t>响应</w:t>
      </w:r>
      <w:r>
        <w:rPr>
          <w:rFonts w:hint="eastAsia" w:ascii="宋体" w:hAnsi="宋体" w:eastAsia="宋体" w:cs="Times New Roman"/>
          <w:color w:val="auto"/>
          <w:szCs w:val="21"/>
        </w:rPr>
        <w:t>文件的密封情况，以确认各</w:t>
      </w:r>
      <w:r>
        <w:rPr>
          <w:rFonts w:hint="eastAsia" w:ascii="宋体" w:hAnsi="宋体" w:eastAsia="宋体" w:cs="Times New Roman"/>
          <w:color w:val="auto"/>
          <w:szCs w:val="21"/>
          <w:lang w:val="en-US" w:eastAsia="zh-CN"/>
        </w:rPr>
        <w:t>供应商</w:t>
      </w:r>
      <w:r>
        <w:rPr>
          <w:rFonts w:hint="eastAsia" w:ascii="宋体" w:hAnsi="宋体" w:eastAsia="宋体" w:cs="Times New Roman"/>
          <w:color w:val="auto"/>
          <w:szCs w:val="21"/>
        </w:rPr>
        <w:t>的</w:t>
      </w:r>
      <w:r>
        <w:rPr>
          <w:rFonts w:hint="eastAsia" w:ascii="宋体" w:hAnsi="宋体" w:eastAsia="宋体" w:cs="Times New Roman"/>
          <w:color w:val="auto"/>
          <w:szCs w:val="21"/>
          <w:lang w:val="en-US" w:eastAsia="zh-CN"/>
        </w:rPr>
        <w:t>响应</w:t>
      </w:r>
      <w:r>
        <w:rPr>
          <w:rFonts w:hint="eastAsia" w:ascii="宋体" w:hAnsi="宋体" w:eastAsia="宋体" w:cs="Times New Roman"/>
          <w:color w:val="auto"/>
          <w:szCs w:val="21"/>
        </w:rPr>
        <w:t>文件密封情况是否与递交时一致，没有被提前启封等异常情况，经检查无误后，签字确认</w:t>
      </w:r>
      <w:r>
        <w:rPr>
          <w:rFonts w:hint="eastAsia" w:ascii="宋体" w:hAnsi="宋体"/>
          <w:color w:val="auto"/>
          <w:szCs w:val="21"/>
        </w:rPr>
        <w:t xml:space="preserve">； </w:t>
      </w:r>
    </w:p>
    <w:p w14:paraId="36E91C73">
      <w:pPr>
        <w:spacing w:line="360" w:lineRule="auto"/>
        <w:ind w:firstLine="420" w:firstLineChars="200"/>
        <w:rPr>
          <w:rFonts w:ascii="宋体" w:hAnsi="宋体"/>
          <w:color w:val="auto"/>
          <w:szCs w:val="21"/>
        </w:rPr>
      </w:pPr>
      <w:r>
        <w:rPr>
          <w:rFonts w:hint="eastAsia" w:ascii="宋体" w:hAnsi="宋体"/>
          <w:color w:val="auto"/>
          <w:szCs w:val="21"/>
        </w:rPr>
        <w:t>（6）启封响应文件；</w:t>
      </w:r>
    </w:p>
    <w:p w14:paraId="22025215">
      <w:pPr>
        <w:spacing w:line="360" w:lineRule="auto"/>
        <w:ind w:firstLine="420" w:firstLineChars="200"/>
        <w:rPr>
          <w:rFonts w:ascii="宋体" w:hAnsi="宋体"/>
          <w:color w:val="auto"/>
          <w:szCs w:val="21"/>
        </w:rPr>
      </w:pPr>
      <w:r>
        <w:rPr>
          <w:rFonts w:hint="eastAsia" w:ascii="宋体" w:hAnsi="宋体"/>
          <w:color w:val="auto"/>
          <w:szCs w:val="21"/>
        </w:rPr>
        <w:t>（7）启封响应文件结束，供应商退场；</w:t>
      </w:r>
    </w:p>
    <w:p w14:paraId="120D6097">
      <w:pPr>
        <w:spacing w:line="360" w:lineRule="auto"/>
        <w:ind w:firstLine="420" w:firstLineChars="200"/>
        <w:rPr>
          <w:rFonts w:ascii="宋体" w:hAnsi="宋体"/>
          <w:color w:val="auto"/>
          <w:szCs w:val="21"/>
        </w:rPr>
      </w:pPr>
      <w:r>
        <w:rPr>
          <w:rFonts w:hint="eastAsia" w:ascii="宋体" w:hAnsi="宋体"/>
          <w:color w:val="auto"/>
          <w:szCs w:val="21"/>
        </w:rPr>
        <w:t>（8）向采购人及监督人员宣布供应商首次磋商报价，并由监督人员确认；</w:t>
      </w:r>
    </w:p>
    <w:p w14:paraId="02197529">
      <w:pPr>
        <w:spacing w:line="360" w:lineRule="auto"/>
        <w:ind w:firstLine="420" w:firstLineChars="200"/>
        <w:rPr>
          <w:rFonts w:ascii="宋体" w:hAnsi="宋体"/>
          <w:color w:val="auto"/>
          <w:szCs w:val="21"/>
        </w:rPr>
      </w:pPr>
      <w:r>
        <w:rPr>
          <w:rFonts w:hint="eastAsia" w:ascii="宋体" w:hAnsi="宋体"/>
          <w:color w:val="auto"/>
          <w:szCs w:val="21"/>
        </w:rPr>
        <w:t>（9）开启响应文件结束。</w:t>
      </w:r>
    </w:p>
    <w:p w14:paraId="342D248B">
      <w:pPr>
        <w:spacing w:line="360" w:lineRule="auto"/>
        <w:ind w:firstLine="420" w:firstLineChars="200"/>
        <w:rPr>
          <w:rFonts w:ascii="宋体" w:hAnsi="宋体"/>
          <w:color w:val="auto"/>
          <w:szCs w:val="21"/>
        </w:rPr>
      </w:pPr>
      <w:r>
        <w:rPr>
          <w:rFonts w:hint="eastAsia" w:ascii="宋体" w:hAnsi="宋体"/>
          <w:color w:val="auto"/>
          <w:szCs w:val="21"/>
        </w:rPr>
        <w:t>6.2.3 所有提交了响应文件的供应商在退场后，不要远离会场并</w:t>
      </w:r>
      <w:r>
        <w:rPr>
          <w:rFonts w:hint="eastAsia" w:ascii="宋体"/>
          <w:color w:val="auto"/>
          <w:szCs w:val="21"/>
        </w:rPr>
        <w:t>保持通讯设备的畅通，以方便后续磋商和在评审过程中磋商小组要求供应商对响应文件的必要澄清。</w:t>
      </w:r>
    </w:p>
    <w:p w14:paraId="5BC22903">
      <w:pPr>
        <w:spacing w:line="360" w:lineRule="auto"/>
        <w:ind w:firstLine="420" w:firstLineChars="200"/>
        <w:rPr>
          <w:rFonts w:ascii="宋体"/>
          <w:color w:val="auto"/>
          <w:szCs w:val="21"/>
        </w:rPr>
      </w:pPr>
      <w:r>
        <w:rPr>
          <w:rFonts w:hint="eastAsia" w:ascii="宋体" w:hAnsi="宋体"/>
          <w:color w:val="auto"/>
          <w:szCs w:val="21"/>
        </w:rPr>
        <w:t xml:space="preserve">6.2.4 </w:t>
      </w:r>
      <w:r>
        <w:rPr>
          <w:rFonts w:hint="eastAsia" w:ascii="宋体"/>
          <w:color w:val="auto"/>
          <w:szCs w:val="21"/>
        </w:rPr>
        <w:t>检查响应文件密封情况是指，由供应商或者其推选的代表检查其自己提交的响应文件的密封情况，经检查无误后，签字确认。</w:t>
      </w:r>
    </w:p>
    <w:p w14:paraId="1C4E3623">
      <w:pPr>
        <w:spacing w:line="360" w:lineRule="auto"/>
        <w:ind w:firstLine="420" w:firstLineChars="200"/>
        <w:rPr>
          <w:rFonts w:ascii="宋体" w:hAnsi="宋体"/>
          <w:color w:val="auto"/>
          <w:szCs w:val="21"/>
        </w:rPr>
      </w:pPr>
      <w:r>
        <w:rPr>
          <w:rFonts w:hint="eastAsia" w:ascii="宋体"/>
          <w:color w:val="auto"/>
          <w:szCs w:val="21"/>
        </w:rPr>
        <w:t>6.2.5 供应商或者其推选的代表确认响应文件情况，仅限于确认其自己提交的响应文件的密封情况，不代表对其他供应商的响应文件的密封情况确认。供应商或者其推选的代表检对其他供应商的响应文件密封情况有异议的，可以当场反映开启响应文件主持人或者现场监督人员，要求开启响应文件现场记录人员予以记录，但不得干扰、阻挠开启响应文件工作的正常进行。</w:t>
      </w:r>
    </w:p>
    <w:p w14:paraId="26955207">
      <w:pPr>
        <w:spacing w:line="360" w:lineRule="auto"/>
        <w:ind w:firstLine="420" w:firstLineChars="200"/>
        <w:rPr>
          <w:rFonts w:ascii="宋体" w:hAnsi="宋体" w:cs="宋体"/>
          <w:color w:val="auto"/>
          <w:kern w:val="0"/>
          <w:szCs w:val="21"/>
        </w:rPr>
      </w:pPr>
      <w:r>
        <w:rPr>
          <w:rFonts w:hint="eastAsia" w:ascii="宋体" w:hAnsi="宋体" w:cs="宋体"/>
          <w:color w:val="auto"/>
          <w:kern w:val="0"/>
          <w:szCs w:val="21"/>
        </w:rPr>
        <w:t>6.2.6 供应商认为采购人、采购代理机构相关工作人员有需要回避情形的，应当场提出询问或者回避申请。采购人、采购代理机构对供应商提出的询问或者回避申请应当及时处理，并制作记录。</w:t>
      </w:r>
    </w:p>
    <w:p w14:paraId="1723FF5E">
      <w:pPr>
        <w:pStyle w:val="8"/>
        <w:spacing w:before="120" w:beforeLines="50" w:after="120" w:afterLines="50" w:line="360" w:lineRule="auto"/>
        <w:ind w:firstLine="0"/>
        <w:outlineLvl w:val="9"/>
        <w:rPr>
          <w:rFonts w:ascii="黑体" w:hAnsi="宋体" w:eastAsia="黑体"/>
          <w:color w:val="auto"/>
          <w:sz w:val="36"/>
          <w:szCs w:val="36"/>
        </w:rPr>
      </w:pPr>
      <w:bookmarkStart w:id="74" w:name="_Toc14972"/>
      <w:r>
        <w:rPr>
          <w:rFonts w:hint="eastAsia" w:ascii="黑体" w:hAnsi="宋体" w:eastAsia="黑体"/>
          <w:color w:val="auto"/>
          <w:sz w:val="36"/>
          <w:szCs w:val="36"/>
        </w:rPr>
        <w:t>7.磋商</w:t>
      </w:r>
      <w:bookmarkEnd w:id="74"/>
    </w:p>
    <w:p w14:paraId="3A972C82">
      <w:pPr>
        <w:spacing w:before="120" w:beforeLines="50" w:after="120" w:afterLines="50" w:line="360" w:lineRule="auto"/>
        <w:ind w:left="120" w:leftChars="50" w:hanging="15" w:hangingChars="5"/>
        <w:rPr>
          <w:rFonts w:ascii="宋体" w:hAnsi="宋体"/>
          <w:color w:val="auto"/>
          <w:sz w:val="30"/>
          <w:szCs w:val="30"/>
        </w:rPr>
      </w:pPr>
      <w:bookmarkStart w:id="75" w:name="_Toc217446058"/>
      <w:r>
        <w:rPr>
          <w:rFonts w:hint="eastAsia" w:ascii="宋体" w:hAnsi="宋体"/>
          <w:b/>
          <w:color w:val="auto"/>
          <w:sz w:val="30"/>
          <w:szCs w:val="30"/>
        </w:rPr>
        <w:t>7.1 磋商小组</w:t>
      </w:r>
    </w:p>
    <w:p w14:paraId="4E644862">
      <w:pPr>
        <w:pStyle w:val="19"/>
        <w:spacing w:before="0" w:beforeAutospacing="0" w:after="0" w:afterAutospacing="0" w:line="360" w:lineRule="auto"/>
        <w:ind w:firstLine="420" w:firstLineChars="200"/>
        <w:rPr>
          <w:color w:val="auto"/>
          <w:spacing w:val="6"/>
          <w:sz w:val="21"/>
          <w:szCs w:val="21"/>
        </w:rPr>
      </w:pPr>
      <w:r>
        <w:rPr>
          <w:rFonts w:hint="eastAsia"/>
          <w:color w:val="auto"/>
          <w:sz w:val="21"/>
          <w:szCs w:val="21"/>
        </w:rPr>
        <w:t>7.1.1 磋商由</w:t>
      </w:r>
      <w:r>
        <w:rPr>
          <w:rFonts w:hint="eastAsia" w:cs="宋体"/>
          <w:color w:val="auto"/>
          <w:sz w:val="21"/>
          <w:szCs w:val="21"/>
        </w:rPr>
        <w:t>采购代理机构依法组建的磋商小组负责。磋商小组由采购人代表和评审专家组成，成员由3人以上单数组成，或者达到公开招标限额标准的项目由5人以上单数组成</w:t>
      </w:r>
      <w:r>
        <w:rPr>
          <w:rFonts w:hint="eastAsia"/>
          <w:color w:val="auto"/>
          <w:spacing w:val="6"/>
          <w:sz w:val="21"/>
          <w:szCs w:val="21"/>
        </w:rPr>
        <w:t>，</w:t>
      </w:r>
      <w:r>
        <w:rPr>
          <w:color w:val="auto"/>
          <w:spacing w:val="6"/>
          <w:sz w:val="21"/>
          <w:szCs w:val="21"/>
        </w:rPr>
        <w:t>其中评</w:t>
      </w:r>
      <w:r>
        <w:rPr>
          <w:rFonts w:hint="eastAsia"/>
          <w:color w:val="auto"/>
          <w:spacing w:val="6"/>
          <w:sz w:val="21"/>
          <w:szCs w:val="21"/>
        </w:rPr>
        <w:t>审</w:t>
      </w:r>
      <w:r>
        <w:rPr>
          <w:color w:val="auto"/>
          <w:spacing w:val="6"/>
          <w:sz w:val="21"/>
          <w:szCs w:val="21"/>
        </w:rPr>
        <w:t>专家不得少于成员总数的三分之二</w:t>
      </w:r>
      <w:r>
        <w:rPr>
          <w:rFonts w:hint="eastAsia"/>
          <w:color w:val="auto"/>
          <w:spacing w:val="6"/>
          <w:sz w:val="21"/>
          <w:szCs w:val="21"/>
        </w:rPr>
        <w:t>。采购人代表不得以评审专家身份参加本单位或者本部门采购项目的评审。</w:t>
      </w:r>
    </w:p>
    <w:p w14:paraId="3FE8E52C">
      <w:pPr>
        <w:pStyle w:val="19"/>
        <w:spacing w:before="0" w:beforeAutospacing="0" w:after="0" w:afterAutospacing="0" w:line="360" w:lineRule="auto"/>
        <w:ind w:firstLine="444" w:firstLineChars="200"/>
        <w:rPr>
          <w:rFonts w:ascii="Times New Roman" w:hAnsi="Times New Roman"/>
          <w:bCs/>
          <w:color w:val="auto"/>
          <w:kern w:val="2"/>
          <w:sz w:val="21"/>
          <w:szCs w:val="21"/>
        </w:rPr>
      </w:pPr>
      <w:r>
        <w:rPr>
          <w:rFonts w:hint="eastAsia"/>
          <w:color w:val="auto"/>
          <w:spacing w:val="6"/>
          <w:sz w:val="21"/>
          <w:szCs w:val="21"/>
        </w:rPr>
        <w:t>7.1.2 评审</w:t>
      </w:r>
      <w:r>
        <w:rPr>
          <w:rFonts w:hint="eastAsia"/>
          <w:color w:val="auto"/>
          <w:sz w:val="21"/>
          <w:szCs w:val="21"/>
        </w:rPr>
        <w:t>专家应当从省级财政部门设立的政府采购评审专家库内相关专业的专家名单中随机抽取。</w:t>
      </w:r>
      <w:r>
        <w:rPr>
          <w:rFonts w:ascii="Times New Roman" w:hAnsi="Helvetica"/>
          <w:bCs/>
          <w:color w:val="auto"/>
          <w:kern w:val="2"/>
          <w:sz w:val="21"/>
          <w:szCs w:val="21"/>
        </w:rPr>
        <w:t>对技术复杂、专业性强的采购项目，通过随机方式难以确定合适评</w:t>
      </w:r>
      <w:r>
        <w:rPr>
          <w:rFonts w:hint="eastAsia" w:ascii="Times New Roman" w:hAnsi="Helvetica"/>
          <w:bCs/>
          <w:color w:val="auto"/>
          <w:kern w:val="2"/>
          <w:sz w:val="21"/>
          <w:szCs w:val="21"/>
        </w:rPr>
        <w:t>审</w:t>
      </w:r>
      <w:r>
        <w:rPr>
          <w:rFonts w:ascii="Times New Roman" w:hAnsi="Helvetica"/>
          <w:bCs/>
          <w:color w:val="auto"/>
          <w:kern w:val="2"/>
          <w:sz w:val="21"/>
          <w:szCs w:val="21"/>
        </w:rPr>
        <w:t>专家的，经主管预算单位同意，采购人</w:t>
      </w:r>
      <w:r>
        <w:rPr>
          <w:rFonts w:hint="eastAsia" w:ascii="Times New Roman" w:hAnsi="Helvetica"/>
          <w:bCs/>
          <w:color w:val="auto"/>
          <w:kern w:val="2"/>
          <w:sz w:val="21"/>
          <w:szCs w:val="21"/>
        </w:rPr>
        <w:t>或采购代理机构</w:t>
      </w:r>
      <w:r>
        <w:rPr>
          <w:rFonts w:ascii="Times New Roman" w:hAnsi="Helvetica"/>
          <w:bCs/>
          <w:color w:val="auto"/>
          <w:kern w:val="2"/>
          <w:sz w:val="21"/>
          <w:szCs w:val="21"/>
        </w:rPr>
        <w:t>可以自行选定相应专业领域的评</w:t>
      </w:r>
      <w:r>
        <w:rPr>
          <w:rFonts w:hint="eastAsia" w:ascii="Times New Roman" w:hAnsi="Helvetica"/>
          <w:bCs/>
          <w:color w:val="auto"/>
          <w:kern w:val="2"/>
          <w:sz w:val="21"/>
          <w:szCs w:val="21"/>
        </w:rPr>
        <w:t>审</w:t>
      </w:r>
      <w:r>
        <w:rPr>
          <w:rFonts w:ascii="Times New Roman" w:hAnsi="Helvetica"/>
          <w:bCs/>
          <w:color w:val="auto"/>
          <w:kern w:val="2"/>
          <w:sz w:val="21"/>
          <w:szCs w:val="21"/>
        </w:rPr>
        <w:t>专家。</w:t>
      </w:r>
      <w:r>
        <w:rPr>
          <w:rFonts w:hint="eastAsia" w:ascii="Times New Roman" w:hAnsi="Helvetica"/>
          <w:bCs/>
          <w:color w:val="auto"/>
          <w:kern w:val="2"/>
          <w:sz w:val="21"/>
          <w:szCs w:val="21"/>
        </w:rPr>
        <w:t>技术复杂、专业性强的采购项目，评审专家中应当包括1名法律专家。</w:t>
      </w:r>
    </w:p>
    <w:p w14:paraId="4CF0FF9A">
      <w:pPr>
        <w:spacing w:line="360" w:lineRule="auto"/>
        <w:ind w:left="120" w:leftChars="57" w:firstLine="315" w:firstLineChars="150"/>
        <w:rPr>
          <w:rFonts w:ascii="宋体" w:hAnsi="宋体"/>
          <w:color w:val="auto"/>
          <w:szCs w:val="21"/>
        </w:rPr>
      </w:pPr>
      <w:r>
        <w:rPr>
          <w:rFonts w:hint="eastAsia" w:ascii="宋体" w:hAnsi="宋体"/>
          <w:color w:val="auto"/>
          <w:szCs w:val="21"/>
        </w:rPr>
        <w:t>7.1.3 磋商小组成员到位后，推荐一名评审专家担任磋商小组组长，并由磋商小组组长牵头组织该项目磋商工作，采购人代表，不得担任磋商小组组长。</w:t>
      </w:r>
    </w:p>
    <w:p w14:paraId="6889D671">
      <w:pPr>
        <w:spacing w:line="360" w:lineRule="auto"/>
        <w:ind w:left="120" w:leftChars="57" w:firstLine="315" w:firstLineChars="150"/>
        <w:rPr>
          <w:rFonts w:ascii="宋体" w:hAnsi="宋体"/>
          <w:color w:val="auto"/>
          <w:szCs w:val="21"/>
        </w:rPr>
      </w:pPr>
      <w:r>
        <w:rPr>
          <w:rFonts w:hint="eastAsia" w:ascii="宋体" w:hAnsi="宋体"/>
          <w:color w:val="auto"/>
          <w:szCs w:val="21"/>
        </w:rPr>
        <w:t>7.1.4 磋商小组成员有下列情形之一的，应当回避：</w:t>
      </w:r>
    </w:p>
    <w:p w14:paraId="20870459">
      <w:pPr>
        <w:spacing w:line="360" w:lineRule="auto"/>
        <w:ind w:left="120" w:leftChars="57" w:firstLine="315" w:firstLineChars="150"/>
        <w:rPr>
          <w:rFonts w:ascii="宋体" w:hAnsi="宋体"/>
          <w:color w:val="auto"/>
          <w:szCs w:val="21"/>
        </w:rPr>
      </w:pPr>
      <w:r>
        <w:rPr>
          <w:rFonts w:hint="eastAsia" w:ascii="宋体" w:hAnsi="宋体"/>
          <w:color w:val="auto"/>
          <w:szCs w:val="21"/>
        </w:rPr>
        <w:t>（1）采购人或供应商的主要负责人的近亲属；</w:t>
      </w:r>
    </w:p>
    <w:p w14:paraId="36CD3B94">
      <w:pPr>
        <w:spacing w:line="360" w:lineRule="auto"/>
        <w:ind w:left="120" w:leftChars="57" w:firstLine="315" w:firstLineChars="150"/>
        <w:rPr>
          <w:rFonts w:ascii="宋体" w:hAnsi="宋体"/>
          <w:color w:val="auto"/>
          <w:szCs w:val="21"/>
        </w:rPr>
      </w:pPr>
      <w:r>
        <w:rPr>
          <w:rFonts w:hint="eastAsia" w:ascii="宋体" w:hAnsi="宋体"/>
          <w:color w:val="auto"/>
          <w:szCs w:val="21"/>
        </w:rPr>
        <w:t>（2）与供应商有经济利益关系，可能影响对响应文件公正评审的；</w:t>
      </w:r>
    </w:p>
    <w:p w14:paraId="686AECEF">
      <w:pPr>
        <w:spacing w:line="360" w:lineRule="auto"/>
        <w:ind w:left="120" w:leftChars="57" w:firstLine="315" w:firstLineChars="150"/>
        <w:rPr>
          <w:rFonts w:ascii="宋体" w:hAnsi="宋体"/>
          <w:color w:val="auto"/>
          <w:szCs w:val="21"/>
        </w:rPr>
      </w:pPr>
      <w:r>
        <w:rPr>
          <w:rFonts w:hint="eastAsia" w:ascii="宋体" w:hAnsi="宋体"/>
          <w:color w:val="auto"/>
          <w:szCs w:val="21"/>
        </w:rPr>
        <w:t>（3）曾因在招标、评审以及其他与招标投标有关活动中从事违法行为而受过行政处罚或刑事处罚的。</w:t>
      </w:r>
    </w:p>
    <w:p w14:paraId="101AF294">
      <w:pPr>
        <w:autoSpaceDE w:val="0"/>
        <w:autoSpaceDN w:val="0"/>
        <w:spacing w:line="360" w:lineRule="auto"/>
        <w:ind w:firstLine="420" w:firstLineChars="200"/>
        <w:rPr>
          <w:rFonts w:ascii="宋体" w:hAnsi="宋体" w:cs="宋体"/>
          <w:color w:val="auto"/>
          <w:kern w:val="0"/>
          <w:lang w:val="zh-CN"/>
        </w:rPr>
      </w:pPr>
      <w:r>
        <w:rPr>
          <w:rFonts w:hint="eastAsia" w:ascii="宋体" w:hAnsi="宋体"/>
          <w:color w:val="auto"/>
          <w:szCs w:val="21"/>
        </w:rPr>
        <w:t xml:space="preserve">7.1.5 </w:t>
      </w:r>
      <w:r>
        <w:rPr>
          <w:rFonts w:hint="eastAsia" w:ascii="宋体" w:hAnsi="宋体" w:cs="宋体"/>
          <w:color w:val="auto"/>
          <w:kern w:val="0"/>
        </w:rPr>
        <w:t>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起响应文件、磋商和评审资料，依法重新组建磋商小组进行磋商。原磋商小组所作出的评审意见无效。</w:t>
      </w:r>
      <w:r>
        <w:rPr>
          <w:rFonts w:hint="eastAsia" w:ascii="宋体" w:hAnsi="宋体" w:cs="宋体"/>
          <w:color w:val="auto"/>
          <w:kern w:val="0"/>
          <w:lang w:val="zh-CN"/>
        </w:rPr>
        <w:t>采购代理机构</w:t>
      </w:r>
      <w:r>
        <w:rPr>
          <w:rFonts w:hint="eastAsia" w:ascii="宋体" w:hAnsi="宋体" w:cs="宋体"/>
          <w:color w:val="auto"/>
          <w:kern w:val="0"/>
        </w:rPr>
        <w:t>应当将变更、重新组建磋商小组的情况予以记录，并随采购文件一并存档。</w:t>
      </w:r>
    </w:p>
    <w:p w14:paraId="045980B9">
      <w:pPr>
        <w:autoSpaceDE w:val="0"/>
        <w:autoSpaceDN w:val="0"/>
        <w:spacing w:line="360" w:lineRule="auto"/>
        <w:ind w:firstLine="420" w:firstLineChars="200"/>
        <w:rPr>
          <w:rFonts w:ascii="宋体" w:hAnsi="宋体"/>
          <w:color w:val="auto"/>
          <w:szCs w:val="21"/>
        </w:rPr>
      </w:pPr>
      <w:r>
        <w:rPr>
          <w:rFonts w:hint="eastAsia" w:ascii="宋体" w:hAnsi="宋体"/>
          <w:color w:val="auto"/>
          <w:szCs w:val="21"/>
        </w:rPr>
        <w:t>7.1.6 磋商小组成员名单在成交结果公告前，应当保密。</w:t>
      </w:r>
    </w:p>
    <w:p w14:paraId="4ABD6EF0">
      <w:pPr>
        <w:widowControl/>
        <w:autoSpaceDE w:val="0"/>
        <w:autoSpaceDN w:val="0"/>
        <w:spacing w:line="360" w:lineRule="auto"/>
        <w:ind w:right="51" w:firstLine="420" w:firstLineChars="200"/>
        <w:textAlignment w:val="bottom"/>
        <w:rPr>
          <w:rFonts w:ascii="宋体" w:hAnsi="宋体"/>
          <w:color w:val="auto"/>
          <w:szCs w:val="21"/>
        </w:rPr>
      </w:pPr>
      <w:r>
        <w:rPr>
          <w:rFonts w:hint="eastAsia" w:ascii="宋体" w:hAnsi="宋体"/>
          <w:color w:val="auto"/>
          <w:szCs w:val="21"/>
        </w:rPr>
        <w:t>7.1.7 磋商小组及其成员，在磋商中不得有下列行为：</w:t>
      </w:r>
    </w:p>
    <w:p w14:paraId="7AFD4B64">
      <w:pPr>
        <w:pStyle w:val="11"/>
        <w:spacing w:line="360" w:lineRule="auto"/>
        <w:ind w:firstLine="420" w:firstLineChars="200"/>
        <w:rPr>
          <w:color w:val="auto"/>
        </w:rPr>
      </w:pPr>
      <w:r>
        <w:rPr>
          <w:color w:val="auto"/>
        </w:rPr>
        <w:t>（</w:t>
      </w:r>
      <w:r>
        <w:rPr>
          <w:rFonts w:hint="eastAsia"/>
          <w:color w:val="auto"/>
        </w:rPr>
        <w:t>1</w:t>
      </w:r>
      <w:r>
        <w:rPr>
          <w:color w:val="auto"/>
        </w:rPr>
        <w:t>）确定参与</w:t>
      </w:r>
      <w:r>
        <w:rPr>
          <w:rFonts w:hint="eastAsia"/>
          <w:color w:val="auto"/>
        </w:rPr>
        <w:t>磋商</w:t>
      </w:r>
      <w:r>
        <w:rPr>
          <w:color w:val="auto"/>
        </w:rPr>
        <w:t>至</w:t>
      </w:r>
      <w:r>
        <w:rPr>
          <w:rFonts w:hint="eastAsia"/>
          <w:color w:val="auto"/>
        </w:rPr>
        <w:t>磋商</w:t>
      </w:r>
      <w:r>
        <w:rPr>
          <w:color w:val="auto"/>
        </w:rPr>
        <w:t>结束前私自接触</w:t>
      </w:r>
      <w:r>
        <w:rPr>
          <w:rFonts w:hint="eastAsia"/>
          <w:color w:val="auto"/>
        </w:rPr>
        <w:t>供应商</w:t>
      </w:r>
      <w:r>
        <w:rPr>
          <w:color w:val="auto"/>
        </w:rPr>
        <w:t>；</w:t>
      </w:r>
    </w:p>
    <w:p w14:paraId="1EB44FD8">
      <w:pPr>
        <w:pStyle w:val="11"/>
        <w:spacing w:line="360" w:lineRule="auto"/>
        <w:ind w:firstLine="420" w:firstLineChars="200"/>
        <w:rPr>
          <w:color w:val="auto"/>
        </w:rPr>
      </w:pPr>
      <w:r>
        <w:rPr>
          <w:color w:val="auto"/>
        </w:rPr>
        <w:t>（</w:t>
      </w:r>
      <w:r>
        <w:rPr>
          <w:rFonts w:hint="eastAsia"/>
          <w:color w:val="auto"/>
        </w:rPr>
        <w:t>2</w:t>
      </w:r>
      <w:r>
        <w:rPr>
          <w:color w:val="auto"/>
        </w:rPr>
        <w:t>）接受供应商提出的与</w:t>
      </w:r>
      <w:r>
        <w:rPr>
          <w:rFonts w:hint="eastAsia"/>
          <w:color w:val="auto"/>
        </w:rPr>
        <w:t>响应</w:t>
      </w:r>
      <w:r>
        <w:rPr>
          <w:color w:val="auto"/>
        </w:rPr>
        <w:t>文件不一致的澄清和说明；</w:t>
      </w:r>
    </w:p>
    <w:p w14:paraId="1C501237">
      <w:pPr>
        <w:pStyle w:val="11"/>
        <w:spacing w:line="360" w:lineRule="auto"/>
        <w:ind w:firstLine="420" w:firstLineChars="200"/>
        <w:rPr>
          <w:color w:val="auto"/>
        </w:rPr>
      </w:pPr>
      <w:r>
        <w:rPr>
          <w:color w:val="auto"/>
        </w:rPr>
        <w:t>（</w:t>
      </w:r>
      <w:r>
        <w:rPr>
          <w:rFonts w:hint="eastAsia"/>
          <w:color w:val="auto"/>
        </w:rPr>
        <w:t>3</w:t>
      </w:r>
      <w:r>
        <w:rPr>
          <w:color w:val="auto"/>
        </w:rPr>
        <w:t>）</w:t>
      </w:r>
      <w:r>
        <w:rPr>
          <w:rFonts w:hint="eastAsia"/>
          <w:color w:val="auto"/>
        </w:rPr>
        <w:t>未集中与单一供应商分别进行磋商或者未给予所有参加磋商的供应商平等的磋商机会；</w:t>
      </w:r>
    </w:p>
    <w:p w14:paraId="0CA13D9A">
      <w:pPr>
        <w:pStyle w:val="11"/>
        <w:spacing w:line="360" w:lineRule="auto"/>
        <w:ind w:firstLine="420" w:firstLineChars="200"/>
        <w:rPr>
          <w:color w:val="auto"/>
        </w:rPr>
      </w:pPr>
      <w:r>
        <w:rPr>
          <w:rFonts w:hint="eastAsia" w:hAnsi="宋体" w:cs="宋体"/>
          <w:color w:val="auto"/>
          <w:kern w:val="0"/>
        </w:rPr>
        <w:t>（4）违反评审纪律发表倾向性意见或者</w:t>
      </w:r>
      <w:r>
        <w:rPr>
          <w:color w:val="auto"/>
        </w:rPr>
        <w:t>征询采购人的倾向性意见；</w:t>
      </w:r>
    </w:p>
    <w:p w14:paraId="3239F878">
      <w:pPr>
        <w:widowControl/>
        <w:spacing w:line="360" w:lineRule="auto"/>
        <w:ind w:firstLine="420" w:firstLineChars="200"/>
        <w:jc w:val="left"/>
        <w:rPr>
          <w:color w:val="auto"/>
        </w:rPr>
      </w:pPr>
      <w:r>
        <w:rPr>
          <w:color w:val="auto"/>
        </w:rPr>
        <w:t>（</w:t>
      </w:r>
      <w:r>
        <w:rPr>
          <w:rFonts w:hint="eastAsia"/>
          <w:color w:val="auto"/>
        </w:rPr>
        <w:t>5</w:t>
      </w:r>
      <w:r>
        <w:rPr>
          <w:color w:val="auto"/>
        </w:rPr>
        <w:t>）</w:t>
      </w:r>
      <w:r>
        <w:rPr>
          <w:rFonts w:hint="eastAsia" w:ascii="宋体" w:hAnsi="宋体" w:cs="宋体"/>
          <w:color w:val="auto"/>
          <w:kern w:val="0"/>
          <w:szCs w:val="21"/>
        </w:rPr>
        <w:t>对需要专业判断的主观评审因素协商评分；</w:t>
      </w:r>
    </w:p>
    <w:p w14:paraId="1157222F">
      <w:pPr>
        <w:pStyle w:val="11"/>
        <w:spacing w:line="360" w:lineRule="auto"/>
        <w:ind w:firstLine="420" w:firstLineChars="200"/>
        <w:rPr>
          <w:color w:val="auto"/>
        </w:rPr>
      </w:pPr>
      <w:r>
        <w:rPr>
          <w:color w:val="auto"/>
        </w:rPr>
        <w:t>（</w:t>
      </w:r>
      <w:r>
        <w:rPr>
          <w:rFonts w:hint="eastAsia"/>
          <w:color w:val="auto"/>
        </w:rPr>
        <w:t>6</w:t>
      </w:r>
      <w:r>
        <w:rPr>
          <w:color w:val="auto"/>
        </w:rPr>
        <w:t>）在</w:t>
      </w:r>
      <w:r>
        <w:rPr>
          <w:rFonts w:hint="eastAsia"/>
          <w:color w:val="auto"/>
        </w:rPr>
        <w:t>磋商或评审环节</w:t>
      </w:r>
      <w:r>
        <w:rPr>
          <w:color w:val="auto"/>
        </w:rPr>
        <w:t>擅离职守，影响</w:t>
      </w:r>
      <w:r>
        <w:rPr>
          <w:rFonts w:hint="eastAsia"/>
          <w:color w:val="auto"/>
        </w:rPr>
        <w:t>磋商或评审</w:t>
      </w:r>
      <w:r>
        <w:rPr>
          <w:color w:val="auto"/>
        </w:rPr>
        <w:t>程序正常进行的；</w:t>
      </w:r>
    </w:p>
    <w:p w14:paraId="1A7CC250">
      <w:pPr>
        <w:pStyle w:val="11"/>
        <w:spacing w:line="360" w:lineRule="auto"/>
        <w:ind w:firstLine="420" w:firstLineChars="200"/>
        <w:rPr>
          <w:color w:val="auto"/>
        </w:rPr>
      </w:pPr>
      <w:r>
        <w:rPr>
          <w:color w:val="auto"/>
        </w:rPr>
        <w:t>（</w:t>
      </w:r>
      <w:r>
        <w:rPr>
          <w:rFonts w:hint="eastAsia"/>
          <w:color w:val="auto"/>
        </w:rPr>
        <w:t>7</w:t>
      </w:r>
      <w:r>
        <w:rPr>
          <w:color w:val="auto"/>
        </w:rPr>
        <w:t>）记录、复制或带走任何评</w:t>
      </w:r>
      <w:r>
        <w:rPr>
          <w:rFonts w:hint="eastAsia"/>
          <w:color w:val="auto"/>
        </w:rPr>
        <w:t>审</w:t>
      </w:r>
      <w:r>
        <w:rPr>
          <w:color w:val="auto"/>
        </w:rPr>
        <w:t>资料</w:t>
      </w:r>
      <w:r>
        <w:rPr>
          <w:rFonts w:hint="eastAsia"/>
          <w:color w:val="auto"/>
        </w:rPr>
        <w:t>；</w:t>
      </w:r>
    </w:p>
    <w:p w14:paraId="5D49877A">
      <w:pPr>
        <w:widowControl/>
        <w:spacing w:line="360" w:lineRule="auto"/>
        <w:ind w:firstLine="420" w:firstLineChars="200"/>
        <w:jc w:val="left"/>
        <w:rPr>
          <w:rFonts w:ascii="宋体" w:hAnsi="宋体" w:cs="宋体"/>
          <w:color w:val="auto"/>
          <w:kern w:val="0"/>
          <w:szCs w:val="21"/>
        </w:rPr>
      </w:pPr>
      <w:r>
        <w:rPr>
          <w:rFonts w:hint="eastAsia"/>
          <w:color w:val="auto"/>
        </w:rPr>
        <w:t>（8）</w:t>
      </w:r>
      <w:r>
        <w:rPr>
          <w:rFonts w:hint="eastAsia" w:ascii="宋体" w:hAnsi="宋体" w:cs="宋体"/>
          <w:color w:val="auto"/>
          <w:kern w:val="0"/>
          <w:szCs w:val="21"/>
        </w:rPr>
        <w:t>其他不遵守评审纪律的行为。</w:t>
      </w:r>
    </w:p>
    <w:p w14:paraId="37ABD0A4">
      <w:pPr>
        <w:widowControl/>
        <w:spacing w:line="360" w:lineRule="auto"/>
        <w:ind w:firstLine="420" w:firstLineChars="200"/>
        <w:jc w:val="left"/>
        <w:rPr>
          <w:rFonts w:ascii="宋体" w:hAnsi="宋体" w:cs="宋体"/>
          <w:color w:val="auto"/>
          <w:kern w:val="0"/>
          <w:szCs w:val="21"/>
        </w:rPr>
      </w:pPr>
      <w:r>
        <w:rPr>
          <w:rFonts w:hint="eastAsia"/>
          <w:color w:val="auto"/>
          <w:szCs w:val="21"/>
        </w:rPr>
        <w:t>磋商小组</w:t>
      </w:r>
      <w:r>
        <w:rPr>
          <w:color w:val="auto"/>
          <w:szCs w:val="21"/>
        </w:rPr>
        <w:t>成员有前款第一至</w:t>
      </w:r>
      <w:r>
        <w:rPr>
          <w:rFonts w:hint="eastAsia"/>
          <w:color w:val="auto"/>
          <w:szCs w:val="21"/>
        </w:rPr>
        <w:t>五</w:t>
      </w:r>
      <w:r>
        <w:rPr>
          <w:color w:val="auto"/>
          <w:szCs w:val="21"/>
        </w:rPr>
        <w:t>项行为之一的，其评审意见无效</w:t>
      </w:r>
      <w:r>
        <w:rPr>
          <w:rFonts w:hint="eastAsia"/>
          <w:color w:val="auto"/>
          <w:szCs w:val="21"/>
        </w:rPr>
        <w:t>，</w:t>
      </w:r>
      <w:r>
        <w:rPr>
          <w:rFonts w:hint="eastAsia" w:ascii="宋体" w:hAnsi="宋体" w:cs="宋体"/>
          <w:color w:val="auto"/>
          <w:kern w:val="0"/>
          <w:szCs w:val="21"/>
        </w:rPr>
        <w:t>并不得获取评审劳务报酬和报销异地评审差旅费。</w:t>
      </w:r>
    </w:p>
    <w:p w14:paraId="2BBE7210">
      <w:pPr>
        <w:spacing w:before="120" w:beforeLines="50" w:after="120" w:afterLines="50" w:line="360" w:lineRule="auto"/>
        <w:rPr>
          <w:rFonts w:ascii="宋体" w:hAnsi="宋体"/>
          <w:color w:val="auto"/>
          <w:sz w:val="30"/>
          <w:szCs w:val="30"/>
        </w:rPr>
      </w:pPr>
      <w:r>
        <w:rPr>
          <w:rFonts w:hint="eastAsia" w:ascii="宋体" w:hAnsi="宋体"/>
          <w:b/>
          <w:color w:val="auto"/>
          <w:sz w:val="30"/>
          <w:szCs w:val="30"/>
        </w:rPr>
        <w:t>7.2 磋商原则</w:t>
      </w:r>
    </w:p>
    <w:p w14:paraId="538A8185">
      <w:pPr>
        <w:tabs>
          <w:tab w:val="left" w:pos="0"/>
        </w:tabs>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7.2.1“客观、公正、审慎”为本次磋商的基本原则，磋商小组按照这一原则的要求，公正、平等地对待各供应商。同时，在磋商中恪守以下原则：</w:t>
      </w:r>
    </w:p>
    <w:p w14:paraId="148FC14E">
      <w:pPr>
        <w:tabs>
          <w:tab w:val="left" w:pos="0"/>
        </w:tabs>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（1）统一性原则：磋商小组将按照统一的磋商原则和方法，用统一标准进行评审。</w:t>
      </w:r>
    </w:p>
    <w:p w14:paraId="60EBB6AD">
      <w:pPr>
        <w:tabs>
          <w:tab w:val="left" w:pos="0"/>
        </w:tabs>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（2）独立性原则:磋商工作在磋商小组内部独立进行，不受外界任何因素的干扰和影响。磋商小组成员对其出具的意见承担个人责任。</w:t>
      </w:r>
      <w:r>
        <w:rPr>
          <w:rFonts w:hint="eastAsia" w:ascii="宋体" w:hAnsi="宋体" w:cs="宋体"/>
          <w:color w:val="auto"/>
          <w:kern w:val="0"/>
          <w:szCs w:val="21"/>
        </w:rPr>
        <w:t>供应商试图影响或干预评审的任何行为，将导致其丧失磋商的资格，并承担相应的法律责任。</w:t>
      </w:r>
    </w:p>
    <w:p w14:paraId="04E44C30">
      <w:pPr>
        <w:spacing w:line="360" w:lineRule="auto"/>
        <w:ind w:firstLine="420" w:firstLineChars="200"/>
        <w:rPr>
          <w:rFonts w:ascii="宋体" w:hAnsi="宋体"/>
          <w:color w:val="auto"/>
          <w:szCs w:val="21"/>
        </w:rPr>
      </w:pPr>
      <w:r>
        <w:rPr>
          <w:rFonts w:hint="eastAsia" w:ascii="宋体" w:hAnsi="宋体"/>
          <w:color w:val="auto"/>
          <w:szCs w:val="21"/>
        </w:rPr>
        <w:t>（3）物有所值原则：通过首轮的磋商报价，激发供应商展开竞争，进一步优化方案，并使报价符合预期目标。</w:t>
      </w:r>
    </w:p>
    <w:p w14:paraId="775AC52C">
      <w:pPr>
        <w:tabs>
          <w:tab w:val="left" w:pos="0"/>
        </w:tabs>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（4）客观性原则：磋商小组将严格按照磋商文件要求，对供应商的响应文件进行认真评审；磋商小组对响应文件的评审仅依据响应文件本身，而不依据响应文件以外的任何因素。</w:t>
      </w:r>
    </w:p>
    <w:p w14:paraId="6E900407">
      <w:pPr>
        <w:tabs>
          <w:tab w:val="left" w:pos="0"/>
        </w:tabs>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（5）保密性原则：采购代理机构应当采取必要的措施，保证评审在严格保密情况下进行。</w:t>
      </w:r>
    </w:p>
    <w:p w14:paraId="29F42700">
      <w:pPr>
        <w:tabs>
          <w:tab w:val="left" w:pos="0"/>
        </w:tabs>
        <w:adjustRightInd w:val="0"/>
        <w:snapToGrid w:val="0"/>
        <w:spacing w:line="360" w:lineRule="auto"/>
        <w:ind w:firstLine="411" w:firstLineChars="196"/>
        <w:rPr>
          <w:rFonts w:ascii="宋体" w:hAnsi="宋体"/>
          <w:color w:val="auto"/>
          <w:szCs w:val="21"/>
        </w:rPr>
      </w:pPr>
      <w:r>
        <w:rPr>
          <w:rFonts w:hint="eastAsia" w:ascii="宋体" w:hAnsi="宋体"/>
          <w:color w:val="auto"/>
          <w:szCs w:val="21"/>
        </w:rPr>
        <w:t>（6）综合性原则:磋商小组将综合分析、评审供应商的各项指标，而不以单项指标的优劣评定出成交供应商。</w:t>
      </w:r>
    </w:p>
    <w:p w14:paraId="644687E6">
      <w:pPr>
        <w:spacing w:line="360" w:lineRule="auto"/>
        <w:ind w:firstLine="420" w:firstLineChars="200"/>
        <w:rPr>
          <w:rFonts w:ascii="宋体" w:hAnsi="宋体"/>
          <w:color w:val="auto"/>
          <w:szCs w:val="21"/>
        </w:rPr>
      </w:pPr>
      <w:r>
        <w:rPr>
          <w:rFonts w:hint="eastAsia" w:ascii="宋体" w:hAnsi="宋体"/>
          <w:color w:val="auto"/>
          <w:szCs w:val="21"/>
        </w:rPr>
        <w:t>7.2.2 磋商小组有权对整个磋商和评审过程中出现的所有问题，可根据《中华人民共和国政府采购法》及实施条例和《政府采购竞争性磋商采购方式管理暂行办法》等相关规定进行处理。</w:t>
      </w:r>
    </w:p>
    <w:p w14:paraId="3401B9E8">
      <w:pPr>
        <w:pStyle w:val="19"/>
        <w:spacing w:before="120" w:beforeLines="50" w:beforeAutospacing="0" w:after="120" w:afterLines="50" w:afterAutospacing="0" w:line="360" w:lineRule="auto"/>
        <w:rPr>
          <w:b/>
          <w:color w:val="auto"/>
          <w:kern w:val="2"/>
          <w:sz w:val="30"/>
          <w:szCs w:val="30"/>
        </w:rPr>
      </w:pPr>
      <w:r>
        <w:rPr>
          <w:rFonts w:hint="eastAsia"/>
          <w:b/>
          <w:color w:val="auto"/>
          <w:kern w:val="2"/>
          <w:sz w:val="30"/>
          <w:szCs w:val="30"/>
        </w:rPr>
        <w:t>7.3磋商</w:t>
      </w:r>
    </w:p>
    <w:p w14:paraId="2A520BDF">
      <w:pPr>
        <w:spacing w:line="360" w:lineRule="auto"/>
        <w:ind w:firstLine="420" w:firstLineChars="200"/>
        <w:rPr>
          <w:rFonts w:ascii="宋体" w:hAnsi="宋体"/>
          <w:color w:val="auto"/>
          <w:szCs w:val="21"/>
        </w:rPr>
      </w:pPr>
      <w:r>
        <w:rPr>
          <w:rFonts w:hint="eastAsia" w:ascii="宋体" w:hAnsi="宋体"/>
          <w:color w:val="auto"/>
          <w:szCs w:val="21"/>
        </w:rPr>
        <w:t>7.3.1 磋商小组根据磋商文件第三章“磋商办法”规定的方法、评审因素、标准和程序，在与单一供应商进行反复磋商的基础上，对其响应文件进行评审。第三章“磋商办法”没有规定的方法、评审因素和标准，不作为评审依据。</w:t>
      </w:r>
    </w:p>
    <w:p w14:paraId="6A4091BB">
      <w:pPr>
        <w:spacing w:line="360" w:lineRule="auto"/>
        <w:ind w:firstLine="420" w:firstLineChars="200"/>
        <w:rPr>
          <w:rFonts w:ascii="宋体" w:hAnsi="宋体"/>
          <w:color w:val="auto"/>
          <w:szCs w:val="21"/>
        </w:rPr>
      </w:pPr>
      <w:r>
        <w:rPr>
          <w:rFonts w:hint="eastAsia" w:ascii="宋体" w:hAnsi="宋体"/>
          <w:color w:val="auto"/>
          <w:szCs w:val="21"/>
        </w:rPr>
        <w:t>7.3.2 磋商小组负责具体磋商事务，并独立履行下列职责：</w:t>
      </w:r>
    </w:p>
    <w:p w14:paraId="32AF8025">
      <w:pPr>
        <w:spacing w:line="360" w:lineRule="auto"/>
        <w:ind w:firstLine="420" w:firstLineChars="200"/>
        <w:rPr>
          <w:rFonts w:ascii="宋体" w:hAnsi="宋体"/>
          <w:color w:val="auto"/>
          <w:szCs w:val="21"/>
        </w:rPr>
      </w:pPr>
      <w:r>
        <w:rPr>
          <w:rFonts w:hint="eastAsia" w:ascii="宋体" w:hAnsi="宋体"/>
          <w:color w:val="auto"/>
          <w:szCs w:val="21"/>
        </w:rPr>
        <w:t>（1）审查、评价响应文件是否符合磋商文件的商务、技术、服务等实质性要求；</w:t>
      </w:r>
    </w:p>
    <w:p w14:paraId="3132FAC6">
      <w:pPr>
        <w:spacing w:line="360" w:lineRule="auto"/>
        <w:ind w:firstLine="420" w:firstLineChars="200"/>
        <w:rPr>
          <w:rFonts w:ascii="宋体" w:hAnsi="宋体"/>
          <w:color w:val="auto"/>
          <w:szCs w:val="21"/>
        </w:rPr>
      </w:pPr>
      <w:r>
        <w:rPr>
          <w:rFonts w:hint="eastAsia" w:ascii="宋体" w:hAnsi="宋体"/>
          <w:color w:val="auto"/>
          <w:szCs w:val="21"/>
        </w:rPr>
        <w:t>（2）要求供应商对响应文件有关事项作出澄清或者说明；</w:t>
      </w:r>
    </w:p>
    <w:p w14:paraId="6B103761">
      <w:pPr>
        <w:spacing w:line="360" w:lineRule="auto"/>
        <w:ind w:firstLine="420" w:firstLineChars="200"/>
        <w:rPr>
          <w:rFonts w:ascii="宋体" w:hAnsi="宋体"/>
          <w:color w:val="auto"/>
          <w:szCs w:val="21"/>
        </w:rPr>
      </w:pPr>
      <w:r>
        <w:rPr>
          <w:rFonts w:hint="eastAsia" w:ascii="宋体" w:hAnsi="宋体"/>
          <w:color w:val="auto"/>
          <w:szCs w:val="21"/>
        </w:rPr>
        <w:t>（3）与合格的供应商分别就技术和商务事务进行磋商；</w:t>
      </w:r>
    </w:p>
    <w:p w14:paraId="40C2207B">
      <w:pPr>
        <w:spacing w:line="360" w:lineRule="auto"/>
        <w:ind w:firstLine="420" w:firstLineChars="200"/>
        <w:rPr>
          <w:rFonts w:ascii="宋体" w:hAnsi="宋体"/>
          <w:color w:val="auto"/>
          <w:szCs w:val="21"/>
        </w:rPr>
      </w:pPr>
      <w:r>
        <w:rPr>
          <w:rFonts w:hint="eastAsia" w:ascii="宋体" w:hAnsi="宋体"/>
          <w:color w:val="auto"/>
          <w:szCs w:val="21"/>
        </w:rPr>
        <w:t>（4）对响应文件进行比较和评价；</w:t>
      </w:r>
    </w:p>
    <w:p w14:paraId="1CC017BE">
      <w:pPr>
        <w:spacing w:line="360" w:lineRule="auto"/>
        <w:ind w:firstLine="420" w:firstLineChars="200"/>
        <w:rPr>
          <w:rFonts w:ascii="宋体" w:hAnsi="宋体"/>
          <w:color w:val="auto"/>
          <w:szCs w:val="21"/>
        </w:rPr>
      </w:pPr>
      <w:r>
        <w:rPr>
          <w:rFonts w:hint="eastAsia" w:ascii="宋体" w:hAnsi="宋体"/>
          <w:color w:val="auto"/>
          <w:szCs w:val="21"/>
        </w:rPr>
        <w:t>（5）推荐成交候选人名单，或者根据采购人委托直接确定成交供应商；</w:t>
      </w:r>
    </w:p>
    <w:p w14:paraId="1307DE39">
      <w:pPr>
        <w:spacing w:line="360" w:lineRule="auto"/>
        <w:ind w:firstLine="420" w:firstLineChars="200"/>
        <w:rPr>
          <w:rFonts w:ascii="宋体" w:hAnsi="宋体"/>
          <w:color w:val="auto"/>
          <w:szCs w:val="21"/>
        </w:rPr>
      </w:pPr>
      <w:r>
        <w:rPr>
          <w:rFonts w:hint="eastAsia" w:ascii="宋体" w:hAnsi="宋体"/>
          <w:color w:val="auto"/>
          <w:szCs w:val="21"/>
        </w:rPr>
        <w:t>（6）向采购人、采购代理机构或者有关部门报告非法干预磋商工作的行为。</w:t>
      </w:r>
    </w:p>
    <w:p w14:paraId="3BA423AF">
      <w:pPr>
        <w:pStyle w:val="19"/>
        <w:snapToGrid w:val="0"/>
        <w:spacing w:before="0" w:beforeAutospacing="0" w:after="0" w:afterAutospacing="0" w:line="360" w:lineRule="auto"/>
        <w:ind w:firstLine="420" w:firstLineChars="200"/>
        <w:rPr>
          <w:color w:val="auto"/>
          <w:sz w:val="21"/>
          <w:szCs w:val="21"/>
        </w:rPr>
      </w:pPr>
      <w:r>
        <w:rPr>
          <w:rFonts w:hint="eastAsia"/>
          <w:color w:val="auto"/>
          <w:sz w:val="21"/>
          <w:szCs w:val="21"/>
        </w:rPr>
        <w:t>7.3.3磋商小组成员应当履行下列义务：</w:t>
      </w:r>
    </w:p>
    <w:p w14:paraId="432DBE41">
      <w:pPr>
        <w:pStyle w:val="19"/>
        <w:snapToGrid w:val="0"/>
        <w:spacing w:before="0" w:beforeAutospacing="0" w:after="0" w:afterAutospacing="0" w:line="360" w:lineRule="auto"/>
        <w:ind w:firstLine="420" w:firstLineChars="200"/>
        <w:rPr>
          <w:color w:val="auto"/>
          <w:sz w:val="21"/>
          <w:szCs w:val="21"/>
        </w:rPr>
      </w:pPr>
      <w:r>
        <w:rPr>
          <w:rFonts w:hint="eastAsia"/>
          <w:color w:val="auto"/>
          <w:sz w:val="21"/>
          <w:szCs w:val="21"/>
        </w:rPr>
        <w:t>（1）遵纪守法，客观、公正、廉洁地履行职责；</w:t>
      </w:r>
    </w:p>
    <w:p w14:paraId="6343212F">
      <w:pPr>
        <w:pStyle w:val="19"/>
        <w:snapToGrid w:val="0"/>
        <w:spacing w:before="0" w:beforeAutospacing="0" w:after="0" w:afterAutospacing="0" w:line="360" w:lineRule="auto"/>
        <w:ind w:firstLine="420" w:firstLineChars="200"/>
        <w:rPr>
          <w:color w:val="auto"/>
          <w:sz w:val="21"/>
          <w:szCs w:val="21"/>
        </w:rPr>
      </w:pPr>
      <w:r>
        <w:rPr>
          <w:rFonts w:hint="eastAsia"/>
          <w:color w:val="auto"/>
          <w:sz w:val="21"/>
          <w:szCs w:val="21"/>
        </w:rPr>
        <w:t>（2）根据采购文件的规定独立进行评审，对个人的评审意见承担法律责任；</w:t>
      </w:r>
    </w:p>
    <w:p w14:paraId="6084A1D1">
      <w:pPr>
        <w:pStyle w:val="19"/>
        <w:snapToGrid w:val="0"/>
        <w:spacing w:before="0" w:beforeAutospacing="0" w:after="0" w:afterAutospacing="0" w:line="360" w:lineRule="auto"/>
        <w:rPr>
          <w:color w:val="auto"/>
          <w:sz w:val="21"/>
          <w:szCs w:val="21"/>
        </w:rPr>
      </w:pPr>
      <w:r>
        <w:rPr>
          <w:rFonts w:hint="eastAsia"/>
          <w:color w:val="auto"/>
          <w:sz w:val="21"/>
          <w:szCs w:val="21"/>
        </w:rPr>
        <w:t>　　（3）参与评审报告的起草；</w:t>
      </w:r>
    </w:p>
    <w:p w14:paraId="3D185A4B">
      <w:pPr>
        <w:pStyle w:val="19"/>
        <w:snapToGrid w:val="0"/>
        <w:spacing w:before="0" w:beforeAutospacing="0" w:after="0" w:afterAutospacing="0" w:line="360" w:lineRule="auto"/>
        <w:rPr>
          <w:color w:val="auto"/>
          <w:sz w:val="21"/>
          <w:szCs w:val="21"/>
        </w:rPr>
      </w:pPr>
      <w:r>
        <w:rPr>
          <w:rFonts w:hint="eastAsia"/>
          <w:color w:val="auto"/>
          <w:sz w:val="21"/>
          <w:szCs w:val="21"/>
        </w:rPr>
        <w:t>　　（4）配合采购人、采购代理机构答复供应商提出的质疑；</w:t>
      </w:r>
    </w:p>
    <w:p w14:paraId="517DA53D">
      <w:pPr>
        <w:pStyle w:val="19"/>
        <w:snapToGrid w:val="0"/>
        <w:spacing w:before="0" w:beforeAutospacing="0" w:after="0" w:afterAutospacing="0" w:line="360" w:lineRule="auto"/>
        <w:rPr>
          <w:color w:val="auto"/>
          <w:sz w:val="21"/>
          <w:szCs w:val="21"/>
        </w:rPr>
      </w:pPr>
      <w:r>
        <w:rPr>
          <w:rFonts w:hint="eastAsia"/>
          <w:color w:val="auto"/>
          <w:sz w:val="21"/>
          <w:szCs w:val="21"/>
        </w:rPr>
        <w:t>　　（5）配合财政部门的投诉处理和监督检查工作。</w:t>
      </w:r>
    </w:p>
    <w:p w14:paraId="14B53045">
      <w:pPr>
        <w:pStyle w:val="19"/>
        <w:spacing w:before="0" w:beforeAutospacing="0" w:after="0" w:afterAutospacing="0" w:line="360" w:lineRule="auto"/>
        <w:ind w:firstLine="420" w:firstLineChars="200"/>
        <w:rPr>
          <w:color w:val="auto"/>
          <w:kern w:val="2"/>
          <w:sz w:val="21"/>
          <w:szCs w:val="21"/>
        </w:rPr>
      </w:pPr>
      <w:r>
        <w:rPr>
          <w:rFonts w:hint="eastAsia"/>
          <w:color w:val="auto"/>
          <w:sz w:val="21"/>
          <w:szCs w:val="21"/>
        </w:rPr>
        <w:t xml:space="preserve">7.3.4 </w:t>
      </w:r>
      <w:r>
        <w:rPr>
          <w:color w:val="auto"/>
          <w:kern w:val="2"/>
          <w:sz w:val="21"/>
          <w:szCs w:val="21"/>
        </w:rPr>
        <w:t>采购代理机构负责组织</w:t>
      </w:r>
      <w:r>
        <w:rPr>
          <w:rFonts w:hint="eastAsia"/>
          <w:color w:val="auto"/>
          <w:kern w:val="2"/>
          <w:sz w:val="21"/>
          <w:szCs w:val="21"/>
        </w:rPr>
        <w:t>磋商</w:t>
      </w:r>
      <w:r>
        <w:rPr>
          <w:color w:val="auto"/>
          <w:kern w:val="2"/>
          <w:sz w:val="21"/>
          <w:szCs w:val="21"/>
        </w:rPr>
        <w:t>工作并履行下列职责：</w:t>
      </w:r>
    </w:p>
    <w:p w14:paraId="437162DF">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1</w:t>
      </w:r>
      <w:r>
        <w:rPr>
          <w:color w:val="auto"/>
          <w:kern w:val="2"/>
          <w:sz w:val="21"/>
          <w:szCs w:val="21"/>
        </w:rPr>
        <w:t>）核对</w:t>
      </w:r>
      <w:r>
        <w:rPr>
          <w:rFonts w:hint="eastAsia"/>
          <w:color w:val="auto"/>
          <w:kern w:val="2"/>
          <w:sz w:val="21"/>
          <w:szCs w:val="21"/>
        </w:rPr>
        <w:t>评审专家</w:t>
      </w:r>
      <w:r>
        <w:rPr>
          <w:color w:val="auto"/>
          <w:kern w:val="2"/>
          <w:sz w:val="21"/>
          <w:szCs w:val="21"/>
        </w:rPr>
        <w:t>身份和采购人代表授权函</w:t>
      </w:r>
      <w:r>
        <w:rPr>
          <w:rFonts w:hint="eastAsia"/>
          <w:color w:val="auto"/>
          <w:kern w:val="2"/>
          <w:sz w:val="21"/>
          <w:szCs w:val="21"/>
        </w:rPr>
        <w:t>，</w:t>
      </w:r>
      <w:r>
        <w:rPr>
          <w:rFonts w:hint="eastAsia"/>
          <w:color w:val="auto"/>
          <w:sz w:val="21"/>
          <w:szCs w:val="21"/>
        </w:rPr>
        <w:t>对评审专家在政府采购活动中的职责履行情况予以记录，并及时将有关违法违规行为向财政部门报告；</w:t>
      </w:r>
    </w:p>
    <w:p w14:paraId="7B97B07C">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2</w:t>
      </w:r>
      <w:r>
        <w:rPr>
          <w:color w:val="auto"/>
          <w:kern w:val="2"/>
          <w:sz w:val="21"/>
          <w:szCs w:val="21"/>
        </w:rPr>
        <w:t>）宣布</w:t>
      </w:r>
      <w:r>
        <w:rPr>
          <w:rFonts w:hint="eastAsia"/>
          <w:color w:val="auto"/>
          <w:kern w:val="2"/>
          <w:sz w:val="21"/>
          <w:szCs w:val="21"/>
        </w:rPr>
        <w:t>磋商</w:t>
      </w:r>
      <w:r>
        <w:rPr>
          <w:color w:val="auto"/>
          <w:kern w:val="2"/>
          <w:sz w:val="21"/>
          <w:szCs w:val="21"/>
        </w:rPr>
        <w:t>纪律</w:t>
      </w:r>
      <w:r>
        <w:rPr>
          <w:rFonts w:hint="eastAsia"/>
          <w:color w:val="auto"/>
          <w:kern w:val="2"/>
          <w:sz w:val="21"/>
          <w:szCs w:val="21"/>
        </w:rPr>
        <w:t>和开启录音录像设备</w:t>
      </w:r>
      <w:r>
        <w:rPr>
          <w:color w:val="auto"/>
          <w:kern w:val="2"/>
          <w:sz w:val="21"/>
          <w:szCs w:val="21"/>
        </w:rPr>
        <w:t>；</w:t>
      </w:r>
    </w:p>
    <w:p w14:paraId="0734B4F7">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3</w:t>
      </w:r>
      <w:r>
        <w:rPr>
          <w:color w:val="auto"/>
          <w:kern w:val="2"/>
          <w:sz w:val="21"/>
          <w:szCs w:val="21"/>
        </w:rPr>
        <w:t>）公布</w:t>
      </w:r>
      <w:r>
        <w:rPr>
          <w:rFonts w:hint="eastAsia"/>
          <w:color w:val="auto"/>
          <w:kern w:val="2"/>
          <w:sz w:val="21"/>
          <w:szCs w:val="21"/>
        </w:rPr>
        <w:t>提交了响应文件的供应商</w:t>
      </w:r>
      <w:r>
        <w:rPr>
          <w:color w:val="auto"/>
          <w:kern w:val="2"/>
          <w:sz w:val="21"/>
          <w:szCs w:val="21"/>
        </w:rPr>
        <w:t>名单，告知</w:t>
      </w:r>
      <w:r>
        <w:rPr>
          <w:rFonts w:hint="eastAsia"/>
          <w:color w:val="auto"/>
          <w:kern w:val="2"/>
          <w:sz w:val="21"/>
          <w:szCs w:val="21"/>
        </w:rPr>
        <w:t>评审专家</w:t>
      </w:r>
      <w:r>
        <w:rPr>
          <w:color w:val="auto"/>
          <w:kern w:val="2"/>
          <w:sz w:val="21"/>
          <w:szCs w:val="21"/>
        </w:rPr>
        <w:t>应当回避的情形；</w:t>
      </w:r>
    </w:p>
    <w:p w14:paraId="1281E0D0">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4</w:t>
      </w:r>
      <w:r>
        <w:rPr>
          <w:color w:val="auto"/>
          <w:kern w:val="2"/>
          <w:sz w:val="21"/>
          <w:szCs w:val="21"/>
        </w:rPr>
        <w:t>）组织</w:t>
      </w:r>
      <w:r>
        <w:rPr>
          <w:rFonts w:hint="eastAsia"/>
          <w:color w:val="auto"/>
          <w:kern w:val="2"/>
          <w:sz w:val="21"/>
          <w:szCs w:val="21"/>
        </w:rPr>
        <w:t>磋商小组成员</w:t>
      </w:r>
      <w:r>
        <w:rPr>
          <w:color w:val="auto"/>
          <w:kern w:val="2"/>
          <w:sz w:val="21"/>
          <w:szCs w:val="21"/>
        </w:rPr>
        <w:t>推选</w:t>
      </w:r>
      <w:r>
        <w:rPr>
          <w:rFonts w:hint="eastAsia"/>
          <w:color w:val="auto"/>
          <w:kern w:val="2"/>
          <w:sz w:val="21"/>
          <w:szCs w:val="21"/>
        </w:rPr>
        <w:t>磋商小组</w:t>
      </w:r>
      <w:r>
        <w:rPr>
          <w:color w:val="auto"/>
          <w:kern w:val="2"/>
          <w:sz w:val="21"/>
          <w:szCs w:val="21"/>
        </w:rPr>
        <w:t>组长，采购人代表不得担任组长；</w:t>
      </w:r>
    </w:p>
    <w:p w14:paraId="170BE893">
      <w:pPr>
        <w:widowControl/>
        <w:spacing w:line="360" w:lineRule="auto"/>
        <w:ind w:firstLine="420" w:firstLineChars="200"/>
        <w:jc w:val="left"/>
        <w:rPr>
          <w:rFonts w:ascii="宋体" w:hAnsi="宋体" w:cs="宋体"/>
          <w:color w:val="auto"/>
          <w:kern w:val="0"/>
          <w:szCs w:val="21"/>
        </w:rPr>
      </w:pPr>
      <w:r>
        <w:rPr>
          <w:color w:val="auto"/>
          <w:szCs w:val="21"/>
        </w:rPr>
        <w:t>（</w:t>
      </w:r>
      <w:r>
        <w:rPr>
          <w:rFonts w:hint="eastAsia"/>
          <w:color w:val="auto"/>
          <w:szCs w:val="21"/>
        </w:rPr>
        <w:t>5</w:t>
      </w:r>
      <w:r>
        <w:rPr>
          <w:color w:val="auto"/>
          <w:szCs w:val="21"/>
        </w:rPr>
        <w:t>）</w:t>
      </w:r>
      <w:r>
        <w:rPr>
          <w:rFonts w:hint="eastAsia" w:ascii="宋体" w:hAnsi="宋体" w:cs="宋体"/>
          <w:color w:val="auto"/>
          <w:kern w:val="0"/>
          <w:szCs w:val="21"/>
        </w:rPr>
        <w:t>在磋商期间采取必要的通讯管理措施，保证磋商活动不受外界干扰；</w:t>
      </w:r>
    </w:p>
    <w:p w14:paraId="2510F99E">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6</w:t>
      </w:r>
      <w:r>
        <w:rPr>
          <w:color w:val="auto"/>
          <w:kern w:val="2"/>
          <w:sz w:val="21"/>
          <w:szCs w:val="21"/>
        </w:rPr>
        <w:t>）根据</w:t>
      </w:r>
      <w:r>
        <w:rPr>
          <w:rFonts w:hint="eastAsia"/>
          <w:color w:val="auto"/>
          <w:kern w:val="2"/>
          <w:sz w:val="21"/>
          <w:szCs w:val="21"/>
        </w:rPr>
        <w:t>磋商小组</w:t>
      </w:r>
      <w:r>
        <w:rPr>
          <w:color w:val="auto"/>
          <w:kern w:val="2"/>
          <w:sz w:val="21"/>
          <w:szCs w:val="21"/>
        </w:rPr>
        <w:t>的要求介绍政府采购相关政策法规、</w:t>
      </w:r>
      <w:r>
        <w:rPr>
          <w:rFonts w:hint="eastAsia"/>
          <w:color w:val="auto"/>
          <w:kern w:val="2"/>
          <w:sz w:val="21"/>
          <w:szCs w:val="21"/>
        </w:rPr>
        <w:t>磋商</w:t>
      </w:r>
      <w:r>
        <w:rPr>
          <w:color w:val="auto"/>
          <w:kern w:val="2"/>
          <w:sz w:val="21"/>
          <w:szCs w:val="21"/>
        </w:rPr>
        <w:t>文件；</w:t>
      </w:r>
    </w:p>
    <w:p w14:paraId="731CFD20">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7</w:t>
      </w:r>
      <w:r>
        <w:rPr>
          <w:color w:val="auto"/>
          <w:kern w:val="2"/>
          <w:sz w:val="21"/>
          <w:szCs w:val="21"/>
        </w:rPr>
        <w:t>）维护</w:t>
      </w:r>
      <w:r>
        <w:rPr>
          <w:rFonts w:hint="eastAsia"/>
          <w:color w:val="auto"/>
          <w:kern w:val="2"/>
          <w:sz w:val="21"/>
          <w:szCs w:val="21"/>
        </w:rPr>
        <w:t>磋商</w:t>
      </w:r>
      <w:r>
        <w:rPr>
          <w:color w:val="auto"/>
          <w:kern w:val="2"/>
          <w:sz w:val="21"/>
          <w:szCs w:val="21"/>
        </w:rPr>
        <w:t>秩序，监督</w:t>
      </w:r>
      <w:r>
        <w:rPr>
          <w:rFonts w:hint="eastAsia"/>
          <w:color w:val="auto"/>
          <w:kern w:val="2"/>
          <w:sz w:val="21"/>
          <w:szCs w:val="21"/>
        </w:rPr>
        <w:t>磋商小组</w:t>
      </w:r>
      <w:r>
        <w:rPr>
          <w:color w:val="auto"/>
          <w:kern w:val="2"/>
          <w:sz w:val="21"/>
          <w:szCs w:val="21"/>
        </w:rPr>
        <w:t>依照</w:t>
      </w:r>
      <w:r>
        <w:rPr>
          <w:rFonts w:hint="eastAsia"/>
          <w:color w:val="auto"/>
          <w:kern w:val="2"/>
          <w:sz w:val="21"/>
          <w:szCs w:val="21"/>
        </w:rPr>
        <w:t>磋商</w:t>
      </w:r>
      <w:r>
        <w:rPr>
          <w:color w:val="auto"/>
          <w:kern w:val="2"/>
          <w:sz w:val="21"/>
          <w:szCs w:val="21"/>
        </w:rPr>
        <w:t>文件规定的</w:t>
      </w:r>
      <w:r>
        <w:rPr>
          <w:rFonts w:hint="eastAsia"/>
          <w:color w:val="auto"/>
          <w:kern w:val="2"/>
          <w:sz w:val="21"/>
          <w:szCs w:val="21"/>
        </w:rPr>
        <w:t>磋商</w:t>
      </w:r>
      <w:r>
        <w:rPr>
          <w:color w:val="auto"/>
          <w:kern w:val="2"/>
          <w:sz w:val="21"/>
          <w:szCs w:val="21"/>
        </w:rPr>
        <w:t>程序、</w:t>
      </w:r>
      <w:r>
        <w:rPr>
          <w:rFonts w:hint="eastAsia"/>
          <w:color w:val="auto"/>
          <w:kern w:val="2"/>
          <w:sz w:val="21"/>
          <w:szCs w:val="21"/>
        </w:rPr>
        <w:t>评审</w:t>
      </w:r>
      <w:r>
        <w:rPr>
          <w:color w:val="auto"/>
          <w:kern w:val="2"/>
          <w:sz w:val="21"/>
          <w:szCs w:val="21"/>
        </w:rPr>
        <w:t>方法和标准进行独立评审，对采购人代表、</w:t>
      </w:r>
      <w:r>
        <w:rPr>
          <w:rFonts w:hint="eastAsia"/>
          <w:color w:val="auto"/>
          <w:kern w:val="2"/>
          <w:sz w:val="21"/>
          <w:szCs w:val="21"/>
        </w:rPr>
        <w:t>磋商小组成员</w:t>
      </w:r>
      <w:r>
        <w:rPr>
          <w:color w:val="auto"/>
          <w:kern w:val="2"/>
          <w:sz w:val="21"/>
          <w:szCs w:val="21"/>
        </w:rPr>
        <w:t>的倾向性言论或违法违规行为及时制止和纠正；</w:t>
      </w:r>
    </w:p>
    <w:p w14:paraId="53BD10BF">
      <w:pPr>
        <w:pStyle w:val="19"/>
        <w:spacing w:before="0" w:beforeAutospacing="0" w:after="0" w:afterAutospacing="0" w:line="360" w:lineRule="auto"/>
        <w:ind w:firstLine="420" w:firstLineChars="200"/>
        <w:rPr>
          <w:color w:val="auto"/>
          <w:kern w:val="2"/>
          <w:sz w:val="21"/>
          <w:szCs w:val="21"/>
        </w:rPr>
      </w:pPr>
      <w:r>
        <w:rPr>
          <w:color w:val="auto"/>
          <w:kern w:val="2"/>
          <w:sz w:val="21"/>
          <w:szCs w:val="21"/>
        </w:rPr>
        <w:t>（</w:t>
      </w:r>
      <w:r>
        <w:rPr>
          <w:rFonts w:hint="eastAsia"/>
          <w:color w:val="auto"/>
          <w:kern w:val="2"/>
          <w:sz w:val="21"/>
          <w:szCs w:val="21"/>
        </w:rPr>
        <w:t>8</w:t>
      </w:r>
      <w:r>
        <w:rPr>
          <w:color w:val="auto"/>
          <w:kern w:val="2"/>
          <w:sz w:val="21"/>
          <w:szCs w:val="21"/>
        </w:rPr>
        <w:t>）核对</w:t>
      </w:r>
      <w:r>
        <w:rPr>
          <w:rFonts w:hint="eastAsia"/>
          <w:color w:val="auto"/>
          <w:kern w:val="2"/>
          <w:sz w:val="21"/>
          <w:szCs w:val="21"/>
        </w:rPr>
        <w:t>评审</w:t>
      </w:r>
      <w:r>
        <w:rPr>
          <w:color w:val="auto"/>
          <w:kern w:val="2"/>
          <w:sz w:val="21"/>
          <w:szCs w:val="21"/>
        </w:rPr>
        <w:t>结果，有</w:t>
      </w:r>
      <w:r>
        <w:rPr>
          <w:rFonts w:hint="eastAsia"/>
          <w:color w:val="auto"/>
          <w:kern w:val="2"/>
          <w:sz w:val="21"/>
          <w:szCs w:val="21"/>
        </w:rPr>
        <w:t>《政府采购竞争性磋商采购方式暂行管理办法》第三十二</w:t>
      </w:r>
      <w:r>
        <w:rPr>
          <w:color w:val="auto"/>
          <w:kern w:val="2"/>
          <w:sz w:val="21"/>
          <w:szCs w:val="21"/>
        </w:rPr>
        <w:t>条</w:t>
      </w:r>
      <w:r>
        <w:rPr>
          <w:rFonts w:hint="eastAsia"/>
          <w:color w:val="auto"/>
          <w:kern w:val="2"/>
          <w:sz w:val="21"/>
          <w:szCs w:val="21"/>
        </w:rPr>
        <w:t>第一款</w:t>
      </w:r>
      <w:r>
        <w:rPr>
          <w:color w:val="auto"/>
          <w:kern w:val="2"/>
          <w:sz w:val="21"/>
          <w:szCs w:val="21"/>
        </w:rPr>
        <w:t>规定情形的，要求</w:t>
      </w:r>
      <w:r>
        <w:rPr>
          <w:rFonts w:hint="eastAsia"/>
          <w:color w:val="auto"/>
          <w:kern w:val="2"/>
          <w:sz w:val="21"/>
          <w:szCs w:val="21"/>
        </w:rPr>
        <w:t>磋商小组</w:t>
      </w:r>
      <w:r>
        <w:rPr>
          <w:color w:val="auto"/>
          <w:kern w:val="2"/>
          <w:sz w:val="21"/>
          <w:szCs w:val="21"/>
        </w:rPr>
        <w:t>复核或书面说明理由，</w:t>
      </w:r>
      <w:r>
        <w:rPr>
          <w:rFonts w:hint="eastAsia"/>
          <w:color w:val="auto"/>
          <w:kern w:val="2"/>
          <w:sz w:val="21"/>
          <w:szCs w:val="21"/>
        </w:rPr>
        <w:t>磋商小组</w:t>
      </w:r>
      <w:r>
        <w:rPr>
          <w:color w:val="auto"/>
          <w:kern w:val="2"/>
          <w:sz w:val="21"/>
          <w:szCs w:val="21"/>
        </w:rPr>
        <w:t>拒绝的，应予记录并向</w:t>
      </w:r>
      <w:r>
        <w:rPr>
          <w:rFonts w:hint="eastAsia"/>
          <w:color w:val="auto"/>
          <w:kern w:val="2"/>
          <w:sz w:val="21"/>
          <w:szCs w:val="21"/>
        </w:rPr>
        <w:t>采购人</w:t>
      </w:r>
      <w:r>
        <w:rPr>
          <w:color w:val="auto"/>
          <w:kern w:val="2"/>
          <w:sz w:val="21"/>
          <w:szCs w:val="21"/>
        </w:rPr>
        <w:t>本级财政部门报告；</w:t>
      </w:r>
    </w:p>
    <w:p w14:paraId="74E90BC6">
      <w:pPr>
        <w:widowControl/>
        <w:spacing w:line="360" w:lineRule="auto"/>
        <w:ind w:firstLine="420" w:firstLineChars="200"/>
        <w:jc w:val="left"/>
        <w:rPr>
          <w:rFonts w:ascii="宋体" w:hAnsi="宋体"/>
          <w:bCs/>
          <w:color w:val="auto"/>
          <w:szCs w:val="21"/>
        </w:rPr>
      </w:pPr>
      <w:r>
        <w:rPr>
          <w:color w:val="auto"/>
          <w:szCs w:val="21"/>
        </w:rPr>
        <w:t>（</w:t>
      </w:r>
      <w:r>
        <w:rPr>
          <w:rFonts w:hint="eastAsia"/>
          <w:color w:val="auto"/>
          <w:szCs w:val="21"/>
        </w:rPr>
        <w:t>9</w:t>
      </w:r>
      <w:r>
        <w:rPr>
          <w:color w:val="auto"/>
          <w:szCs w:val="21"/>
        </w:rPr>
        <w:t>）</w:t>
      </w:r>
      <w:r>
        <w:rPr>
          <w:rFonts w:hint="eastAsia" w:ascii="宋体" w:hAnsi="宋体"/>
          <w:bCs/>
          <w:color w:val="auto"/>
          <w:szCs w:val="21"/>
        </w:rPr>
        <w:t>磋商</w:t>
      </w:r>
      <w:r>
        <w:rPr>
          <w:rFonts w:hint="eastAsia" w:ascii="宋体" w:hAnsi="宋体"/>
          <w:color w:val="auto"/>
          <w:kern w:val="0"/>
          <w:szCs w:val="21"/>
        </w:rPr>
        <w:t>工作完成后，按照规定向评审专家支付劳务报酬和异地评审差旅费，不得向评审专家以外的其他人员支付评审劳务报酬；</w:t>
      </w:r>
    </w:p>
    <w:p w14:paraId="33687C3E">
      <w:pPr>
        <w:pStyle w:val="19"/>
        <w:spacing w:before="0" w:beforeAutospacing="0" w:after="0" w:afterAutospacing="0" w:line="360" w:lineRule="auto"/>
        <w:ind w:firstLine="420" w:firstLineChars="200"/>
        <w:rPr>
          <w:color w:val="auto"/>
          <w:kern w:val="2"/>
          <w:sz w:val="21"/>
          <w:szCs w:val="21"/>
        </w:rPr>
      </w:pPr>
      <w:r>
        <w:rPr>
          <w:rFonts w:hint="eastAsia"/>
          <w:color w:val="auto"/>
          <w:kern w:val="2"/>
          <w:sz w:val="21"/>
          <w:szCs w:val="21"/>
        </w:rPr>
        <w:t>（10）</w:t>
      </w:r>
      <w:r>
        <w:rPr>
          <w:color w:val="auto"/>
          <w:kern w:val="2"/>
          <w:sz w:val="21"/>
          <w:szCs w:val="21"/>
        </w:rPr>
        <w:t>处理与</w:t>
      </w:r>
      <w:r>
        <w:rPr>
          <w:rFonts w:hint="eastAsia"/>
          <w:color w:val="auto"/>
          <w:kern w:val="2"/>
          <w:sz w:val="21"/>
          <w:szCs w:val="21"/>
        </w:rPr>
        <w:t>磋商</w:t>
      </w:r>
      <w:r>
        <w:rPr>
          <w:color w:val="auto"/>
          <w:kern w:val="2"/>
          <w:sz w:val="21"/>
          <w:szCs w:val="21"/>
        </w:rPr>
        <w:t>有关的其他事项。</w:t>
      </w:r>
    </w:p>
    <w:p w14:paraId="1BE6234D">
      <w:pPr>
        <w:spacing w:line="360" w:lineRule="auto"/>
        <w:ind w:firstLine="441" w:firstLineChars="210"/>
        <w:rPr>
          <w:rFonts w:ascii="宋体" w:hAnsi="宋体"/>
          <w:color w:val="auto"/>
          <w:szCs w:val="21"/>
        </w:rPr>
      </w:pPr>
      <w:r>
        <w:rPr>
          <w:rFonts w:hint="eastAsia" w:ascii="宋体" w:hAnsi="宋体"/>
          <w:color w:val="auto"/>
          <w:szCs w:val="21"/>
        </w:rPr>
        <w:t xml:space="preserve">7.3.5 </w:t>
      </w:r>
      <w:r>
        <w:rPr>
          <w:rFonts w:ascii="宋体" w:hAnsi="宋体"/>
          <w:color w:val="auto"/>
          <w:szCs w:val="21"/>
        </w:rPr>
        <w:t>采购人可以在</w:t>
      </w:r>
      <w:r>
        <w:rPr>
          <w:rFonts w:hint="eastAsia" w:ascii="宋体" w:hAnsi="宋体"/>
          <w:color w:val="auto"/>
          <w:szCs w:val="21"/>
        </w:rPr>
        <w:t>磋商</w:t>
      </w:r>
      <w:r>
        <w:rPr>
          <w:rFonts w:ascii="宋体" w:hAnsi="宋体"/>
          <w:color w:val="auto"/>
          <w:szCs w:val="21"/>
        </w:rPr>
        <w:t>前介绍项目背景和采购需求，介绍内容不得含有歧视性、倾向性意见，不得超出</w:t>
      </w:r>
      <w:r>
        <w:rPr>
          <w:rFonts w:hint="eastAsia" w:ascii="宋体" w:hAnsi="宋体"/>
          <w:color w:val="auto"/>
          <w:szCs w:val="21"/>
        </w:rPr>
        <w:t>磋商</w:t>
      </w:r>
      <w:r>
        <w:rPr>
          <w:rFonts w:ascii="宋体" w:hAnsi="宋体"/>
          <w:color w:val="auto"/>
          <w:szCs w:val="21"/>
        </w:rPr>
        <w:t>文件所述范围。介绍应当提交书面介绍材料，并随采购文件一并存档。</w:t>
      </w:r>
    </w:p>
    <w:p w14:paraId="06E77930">
      <w:pPr>
        <w:spacing w:line="360" w:lineRule="auto"/>
        <w:ind w:left="120" w:leftChars="57" w:firstLine="315" w:firstLineChars="150"/>
        <w:rPr>
          <w:rFonts w:ascii="宋体" w:hAnsi="宋体"/>
          <w:color w:val="auto"/>
          <w:szCs w:val="21"/>
        </w:rPr>
      </w:pPr>
      <w:r>
        <w:rPr>
          <w:rFonts w:hint="eastAsia" w:ascii="宋体" w:hAnsi="宋体"/>
          <w:color w:val="auto"/>
          <w:szCs w:val="21"/>
        </w:rPr>
        <w:t>7.3.6 磋商过程严格保密</w:t>
      </w:r>
    </w:p>
    <w:p w14:paraId="2E13A977">
      <w:pPr>
        <w:autoSpaceDE w:val="0"/>
        <w:autoSpaceDN w:val="0"/>
        <w:spacing w:line="360" w:lineRule="auto"/>
        <w:ind w:firstLine="630" w:firstLineChars="300"/>
        <w:rPr>
          <w:rFonts w:ascii="宋体" w:hAnsi="宋体" w:cs="宋体"/>
          <w:color w:val="auto"/>
          <w:kern w:val="0"/>
        </w:rPr>
      </w:pPr>
      <w:r>
        <w:rPr>
          <w:rFonts w:hint="eastAsia" w:ascii="宋体" w:hAnsi="宋体"/>
          <w:color w:val="auto"/>
          <w:szCs w:val="21"/>
        </w:rPr>
        <w:t xml:space="preserve">7.3.6.1 </w:t>
      </w:r>
      <w:r>
        <w:rPr>
          <w:rFonts w:hint="eastAsia" w:ascii="宋体" w:hAnsi="宋体" w:cs="宋体"/>
          <w:color w:val="auto"/>
          <w:kern w:val="0"/>
        </w:rPr>
        <w:t>采购人、采购代理机构应当采取必要措施，保证磋商在严格保密的情况下进行。除采购人代表、磋商现场组织人员外，采购人的其他工作人员以及与磋商工作无关的人员不得进入磋商现场。</w:t>
      </w:r>
    </w:p>
    <w:p w14:paraId="37E9A557">
      <w:pPr>
        <w:autoSpaceDE w:val="0"/>
        <w:autoSpaceDN w:val="0"/>
        <w:spacing w:line="360" w:lineRule="auto"/>
        <w:ind w:firstLine="630" w:firstLineChars="300"/>
        <w:rPr>
          <w:rFonts w:ascii="宋体" w:hAnsi="宋体"/>
          <w:color w:val="auto"/>
          <w:szCs w:val="21"/>
        </w:rPr>
      </w:pPr>
      <w:r>
        <w:rPr>
          <w:rFonts w:hint="eastAsia" w:ascii="宋体" w:hAnsi="宋体" w:cs="宋体"/>
          <w:color w:val="auto"/>
          <w:kern w:val="0"/>
        </w:rPr>
        <w:t>7.3.6.2 有关人员对磋商情况以及在磋商过程中获悉的国家秘密、商业秘密负有保密责任。</w:t>
      </w:r>
      <w:r>
        <w:rPr>
          <w:rFonts w:hint="eastAsia" w:ascii="宋体" w:hAnsi="宋体"/>
          <w:color w:val="auto"/>
          <w:szCs w:val="21"/>
        </w:rPr>
        <w:t>开启响应文件后，直至授予成交供应商合同为止，凡属于对响应文件的审查、澄清、评价和比较的有关资料以及成交候选人的推荐情况，与磋商有关的其他任何情况均严格保密。</w:t>
      </w:r>
    </w:p>
    <w:p w14:paraId="03720E62">
      <w:pPr>
        <w:spacing w:line="360" w:lineRule="auto"/>
        <w:ind w:firstLine="420" w:firstLineChars="200"/>
        <w:rPr>
          <w:rFonts w:ascii="宋体" w:hAnsi="宋体"/>
          <w:color w:val="auto"/>
          <w:szCs w:val="21"/>
        </w:rPr>
      </w:pPr>
      <w:r>
        <w:rPr>
          <w:rFonts w:hint="eastAsia" w:ascii="宋体" w:hAnsi="宋体"/>
          <w:color w:val="auto"/>
          <w:szCs w:val="21"/>
        </w:rPr>
        <w:t>7.3.7 供应商对磋商小组的磋商过程或合同授予决定施加影响的任何行为都可能导致其响应文件无效。</w:t>
      </w:r>
    </w:p>
    <w:p w14:paraId="23452A8F">
      <w:pPr>
        <w:tabs>
          <w:tab w:val="left" w:pos="426"/>
        </w:tabs>
        <w:spacing w:line="360" w:lineRule="auto"/>
        <w:ind w:firstLine="420" w:firstLineChars="200"/>
        <w:rPr>
          <w:rFonts w:ascii="宋体" w:hAnsi="宋体"/>
          <w:color w:val="auto"/>
          <w:szCs w:val="21"/>
        </w:rPr>
      </w:pPr>
      <w:r>
        <w:rPr>
          <w:rFonts w:hint="eastAsia" w:ascii="宋体" w:hAnsi="宋体"/>
          <w:color w:val="auto"/>
          <w:szCs w:val="21"/>
        </w:rPr>
        <w:t>7.3.8 磋商完成后，磋商小组应当向采购人提交书面评审报告，并由采购代理机构转送。</w:t>
      </w:r>
    </w:p>
    <w:p w14:paraId="31AE2AA4">
      <w:pPr>
        <w:outlineLvl w:val="9"/>
        <w:rPr>
          <w:rFonts w:ascii="黑体" w:hAnsi="宋体"/>
          <w:b w:val="0"/>
          <w:bCs/>
          <w:color w:val="auto"/>
          <w:sz w:val="36"/>
          <w:szCs w:val="36"/>
        </w:rPr>
      </w:pPr>
      <w:bookmarkStart w:id="76" w:name="_Toc1689"/>
      <w:r>
        <w:rPr>
          <w:rFonts w:hint="eastAsia" w:ascii="黑体" w:hAnsi="宋体"/>
          <w:b w:val="0"/>
          <w:bCs/>
          <w:color w:val="auto"/>
          <w:sz w:val="36"/>
          <w:szCs w:val="36"/>
        </w:rPr>
        <w:t>8</w:t>
      </w:r>
      <w:bookmarkStart w:id="77" w:name="_Toc217446061"/>
      <w:r>
        <w:rPr>
          <w:rFonts w:hint="eastAsia" w:ascii="黑体" w:hAnsi="宋体"/>
          <w:b w:val="0"/>
          <w:bCs/>
          <w:color w:val="auto"/>
          <w:sz w:val="36"/>
          <w:szCs w:val="36"/>
        </w:rPr>
        <w:t>.确定成交供应商</w:t>
      </w:r>
      <w:bookmarkEnd w:id="76"/>
    </w:p>
    <w:p w14:paraId="05B6CA21">
      <w:pPr>
        <w:spacing w:after="120" w:afterLines="50" w:line="360" w:lineRule="auto"/>
        <w:rPr>
          <w:rFonts w:ascii="宋体" w:hAnsi="宋体"/>
          <w:b/>
          <w:color w:val="auto"/>
          <w:sz w:val="30"/>
          <w:szCs w:val="30"/>
        </w:rPr>
      </w:pPr>
      <w:r>
        <w:rPr>
          <w:rFonts w:hint="eastAsia" w:ascii="宋体" w:hAnsi="宋体"/>
          <w:b/>
          <w:color w:val="auto"/>
          <w:sz w:val="30"/>
          <w:szCs w:val="30"/>
        </w:rPr>
        <w:t>8.1确定成交供应商原则</w:t>
      </w:r>
      <w:bookmarkEnd w:id="77"/>
    </w:p>
    <w:p w14:paraId="3E9CFD6D">
      <w:pPr>
        <w:spacing w:line="360" w:lineRule="auto"/>
        <w:ind w:firstLine="411" w:firstLineChars="196"/>
        <w:rPr>
          <w:rFonts w:ascii="宋体" w:hAnsi="宋体"/>
          <w:color w:val="auto"/>
          <w:szCs w:val="21"/>
        </w:rPr>
      </w:pPr>
      <w:r>
        <w:rPr>
          <w:rFonts w:hint="eastAsia" w:ascii="宋体" w:hAnsi="宋体"/>
          <w:color w:val="auto"/>
          <w:szCs w:val="21"/>
        </w:rPr>
        <w:t>采购人或其授权的磋商小组按照评审报告中提出的成交候选人中，按照顺序由高到低的原则确定成交供应商。</w:t>
      </w:r>
      <w:bookmarkStart w:id="78" w:name="_Toc217446062"/>
    </w:p>
    <w:p w14:paraId="75C106B2">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8.2 确定成交供应商程序</w:t>
      </w:r>
      <w:bookmarkEnd w:id="78"/>
    </w:p>
    <w:p w14:paraId="0E3A1A58">
      <w:pPr>
        <w:spacing w:line="360" w:lineRule="auto"/>
        <w:ind w:firstLine="420" w:firstLineChars="200"/>
        <w:rPr>
          <w:rFonts w:ascii="宋体" w:hAnsi="宋体"/>
          <w:color w:val="auto"/>
          <w:szCs w:val="21"/>
        </w:rPr>
      </w:pPr>
      <w:r>
        <w:rPr>
          <w:rFonts w:hint="eastAsia" w:ascii="宋体" w:hAnsi="宋体"/>
          <w:color w:val="auto"/>
          <w:szCs w:val="21"/>
        </w:rPr>
        <w:t>8.2.1磋商小组将评审情况写出书面报告，推荐3个成交候选人，并按照综合得分高低标明排列顺序。得分相同的，按照最后报价由低到高顺序排列；得分且最后报价相同的按照技术指标优劣顺序排列。</w:t>
      </w:r>
    </w:p>
    <w:p w14:paraId="14B571C7">
      <w:pPr>
        <w:spacing w:line="360" w:lineRule="auto"/>
        <w:ind w:firstLine="367" w:firstLineChars="175"/>
        <w:rPr>
          <w:rFonts w:ascii="宋体" w:hAnsi="宋体"/>
          <w:color w:val="auto"/>
          <w:szCs w:val="21"/>
        </w:rPr>
      </w:pPr>
      <w:r>
        <w:rPr>
          <w:rFonts w:hint="eastAsia" w:ascii="宋体" w:hAnsi="宋体"/>
          <w:color w:val="auto"/>
          <w:szCs w:val="21"/>
        </w:rPr>
        <w:t>8.2.2 采购代理机构在评审结束后2个工作日内将评审报告送采购人确认。</w:t>
      </w:r>
    </w:p>
    <w:p w14:paraId="5A32728F">
      <w:pPr>
        <w:spacing w:line="360" w:lineRule="auto"/>
        <w:ind w:firstLine="367" w:firstLineChars="175"/>
        <w:rPr>
          <w:rFonts w:ascii="宋体" w:hAnsi="宋体"/>
          <w:color w:val="auto"/>
          <w:szCs w:val="21"/>
        </w:rPr>
      </w:pPr>
      <w:r>
        <w:rPr>
          <w:rFonts w:hint="eastAsia" w:ascii="宋体" w:hAnsi="宋体"/>
          <w:color w:val="auto"/>
          <w:szCs w:val="21"/>
        </w:rPr>
        <w:t>8.2.3 采购人应当在收到评审报告后5个工作日内，按照评审报告中推荐的成交候选人中，按照顺序由高到低确定成交供应商。同时，将确定成交供应商的结果复函至采购代理机构。</w:t>
      </w:r>
    </w:p>
    <w:p w14:paraId="37FC1CA4">
      <w:pPr>
        <w:spacing w:line="360" w:lineRule="auto"/>
        <w:ind w:firstLine="367" w:firstLineChars="175"/>
        <w:rPr>
          <w:rFonts w:ascii="宋体" w:hAnsi="宋体"/>
          <w:color w:val="auto"/>
          <w:szCs w:val="21"/>
        </w:rPr>
      </w:pPr>
      <w:r>
        <w:rPr>
          <w:rFonts w:hint="eastAsia" w:ascii="宋体" w:hAnsi="宋体"/>
          <w:color w:val="auto"/>
          <w:szCs w:val="21"/>
          <w:shd w:val="clear" w:color="auto" w:fill="FFFFFF"/>
        </w:rPr>
        <w:t>采购人在收到评审报告5个工作日内未按评审报告推荐的成交候人中顺序确定成交供应商，又不能说明合法理由的，视同按照评审报告推荐的顺序确定排名第一的成交候选人为成交供应商。</w:t>
      </w:r>
    </w:p>
    <w:p w14:paraId="733A11A9">
      <w:pPr>
        <w:spacing w:line="360" w:lineRule="auto"/>
        <w:ind w:firstLine="367" w:firstLineChars="175"/>
        <w:rPr>
          <w:rFonts w:ascii="宋体" w:hAnsi="宋体"/>
          <w:color w:val="auto"/>
          <w:szCs w:val="21"/>
        </w:rPr>
      </w:pPr>
      <w:r>
        <w:rPr>
          <w:rFonts w:hint="eastAsia" w:ascii="宋体" w:hAnsi="宋体"/>
          <w:color w:val="auto"/>
          <w:szCs w:val="21"/>
        </w:rPr>
        <w:t>8.2.4 采购代理机构应当在收到采购人“确定成交供应商结果”复函之日起2个工作日内，根据采购人确定的成交供应商，在省级以上财政部门指定的媒体上发布成交公告，同时向成交供应商发出《成交通知书》。</w:t>
      </w:r>
    </w:p>
    <w:p w14:paraId="2FA335A5">
      <w:pPr>
        <w:widowControl/>
        <w:spacing w:line="360" w:lineRule="auto"/>
        <w:ind w:firstLine="420" w:firstLineChars="200"/>
        <w:jc w:val="left"/>
        <w:rPr>
          <w:rFonts w:ascii="宋体" w:hAnsi="宋体"/>
          <w:color w:val="auto"/>
          <w:szCs w:val="21"/>
        </w:rPr>
      </w:pPr>
      <w:r>
        <w:rPr>
          <w:rFonts w:hint="eastAsia" w:ascii="宋体" w:hAnsi="宋体"/>
          <w:color w:val="auto"/>
          <w:szCs w:val="21"/>
        </w:rPr>
        <w:t>8.2.5 采购代理机构，应当</w:t>
      </w:r>
      <w:r>
        <w:rPr>
          <w:rFonts w:hint="eastAsia" w:ascii="宋体" w:hAnsi="宋体" w:cs="宋体"/>
          <w:color w:val="auto"/>
          <w:kern w:val="0"/>
          <w:szCs w:val="21"/>
        </w:rPr>
        <w:t>对未通过资格审查或者符合性审查的供应商，告知其未通过的原因。</w:t>
      </w:r>
      <w:r>
        <w:rPr>
          <w:rFonts w:hint="eastAsia" w:ascii="宋体" w:hAnsi="宋体"/>
          <w:color w:val="auto"/>
          <w:szCs w:val="21"/>
        </w:rPr>
        <w:t xml:space="preserve"> </w:t>
      </w:r>
    </w:p>
    <w:p w14:paraId="446B3E4E">
      <w:pPr>
        <w:spacing w:before="120" w:beforeLines="50" w:after="120" w:afterLines="50" w:line="360" w:lineRule="auto"/>
        <w:rPr>
          <w:rFonts w:ascii="宋体" w:hAnsi="宋体"/>
          <w:b/>
          <w:color w:val="auto"/>
          <w:sz w:val="30"/>
          <w:szCs w:val="30"/>
        </w:rPr>
      </w:pPr>
      <w:r>
        <w:rPr>
          <w:rFonts w:hint="eastAsia" w:ascii="宋体" w:hAnsi="宋体"/>
          <w:b/>
          <w:bCs/>
          <w:color w:val="auto"/>
          <w:sz w:val="30"/>
          <w:szCs w:val="30"/>
        </w:rPr>
        <w:t>8.3 成交通知书</w:t>
      </w:r>
    </w:p>
    <w:p w14:paraId="54C5F2CF">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8.3</w:t>
      </w:r>
      <w:r>
        <w:rPr>
          <w:rFonts w:hint="eastAsia" w:ascii="宋体" w:hAnsi="宋体"/>
          <w:b/>
          <w:bCs/>
          <w:color w:val="auto"/>
          <w:szCs w:val="21"/>
        </w:rPr>
        <w:t>.</w:t>
      </w:r>
      <w:r>
        <w:rPr>
          <w:rFonts w:hint="eastAsia" w:ascii="宋体" w:hAnsi="宋体"/>
          <w:color w:val="auto"/>
          <w:szCs w:val="21"/>
        </w:rPr>
        <w:t>1 成交通知书为签订政府采购合同的依据之一，是合同的有效组成部分。</w:t>
      </w:r>
    </w:p>
    <w:p w14:paraId="3E3042D6">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8.3.2 成交通知书对采购人和成交供应商均具有法律效力。</w:t>
      </w:r>
      <w:r>
        <w:rPr>
          <w:rFonts w:hint="eastAsia" w:ascii="宋体" w:hAnsi="宋体"/>
          <w:color w:val="auto"/>
          <w:szCs w:val="21"/>
          <w:shd w:val="clear" w:color="auto" w:fill="FFFFFF"/>
        </w:rPr>
        <w:t>成交通知书发出后，采购人不得违法改变成交结果，成交供应商无正当理由不得放弃成交资格。否则，</w:t>
      </w:r>
      <w:r>
        <w:rPr>
          <w:rFonts w:hint="eastAsia" w:ascii="宋体" w:hAnsi="宋体"/>
          <w:color w:val="auto"/>
          <w:szCs w:val="21"/>
        </w:rPr>
        <w:t>应当承担相应的法律责任。</w:t>
      </w:r>
    </w:p>
    <w:p w14:paraId="4EC8B630">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8.3.3 成交供应商应当在接到采购代理机构通知之日起2个工作日内领取《成交通知书》。</w:t>
      </w:r>
    </w:p>
    <w:p w14:paraId="06E4D243">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8.3.4 在《成交通知书》发出后，发现成交供应商有政府采购法律法规规章制度规定的成交无效情形的，采购代理机构应当宣布发出的成交通知书无效，并收回发出的成交通知书（成交供应商也应当交回），依法重新确定成交供应商或者重新开展采购活动，同时向同级财政部门报告。</w:t>
      </w:r>
      <w:bookmarkEnd w:id="75"/>
      <w:bookmarkStart w:id="79" w:name="_Toc217446064"/>
      <w:bookmarkStart w:id="80" w:name="_Toc217446065"/>
      <w:bookmarkStart w:id="81" w:name="_Toc183682377"/>
      <w:bookmarkStart w:id="82" w:name="_Toc183582240"/>
    </w:p>
    <w:p w14:paraId="2A88FA1E">
      <w:pPr>
        <w:outlineLvl w:val="9"/>
        <w:rPr>
          <w:rFonts w:ascii="黑体" w:hAnsi="宋体"/>
          <w:b w:val="0"/>
          <w:bCs/>
          <w:color w:val="auto"/>
          <w:sz w:val="36"/>
          <w:szCs w:val="36"/>
        </w:rPr>
      </w:pPr>
      <w:bookmarkStart w:id="83" w:name="_Toc28420"/>
      <w:r>
        <w:rPr>
          <w:rFonts w:hint="eastAsia" w:ascii="黑体" w:hAnsi="宋体"/>
          <w:b w:val="0"/>
          <w:bCs/>
          <w:color w:val="auto"/>
          <w:sz w:val="36"/>
          <w:szCs w:val="36"/>
        </w:rPr>
        <w:t>9.合同</w:t>
      </w:r>
      <w:bookmarkEnd w:id="79"/>
      <w:r>
        <w:rPr>
          <w:rFonts w:hint="eastAsia" w:ascii="黑体" w:hAnsi="宋体"/>
          <w:b w:val="0"/>
          <w:bCs/>
          <w:color w:val="auto"/>
          <w:sz w:val="36"/>
          <w:szCs w:val="36"/>
        </w:rPr>
        <w:t>授予</w:t>
      </w:r>
      <w:bookmarkEnd w:id="83"/>
    </w:p>
    <w:p w14:paraId="5746FBE8">
      <w:pPr>
        <w:tabs>
          <w:tab w:val="left" w:pos="7665"/>
        </w:tabs>
        <w:spacing w:line="360" w:lineRule="auto"/>
        <w:rPr>
          <w:rFonts w:ascii="宋体" w:hAnsi="宋体"/>
          <w:b/>
          <w:color w:val="auto"/>
          <w:sz w:val="30"/>
          <w:szCs w:val="30"/>
        </w:rPr>
      </w:pPr>
      <w:r>
        <w:rPr>
          <w:rFonts w:hint="eastAsia" w:ascii="宋体" w:hAnsi="宋体"/>
          <w:b/>
          <w:color w:val="auto"/>
          <w:sz w:val="30"/>
          <w:szCs w:val="30"/>
        </w:rPr>
        <w:t>9.1 履约保证金</w:t>
      </w:r>
    </w:p>
    <w:p w14:paraId="1705F4CB">
      <w:pPr>
        <w:tabs>
          <w:tab w:val="left" w:pos="7665"/>
        </w:tabs>
        <w:spacing w:line="360" w:lineRule="auto"/>
        <w:ind w:firstLine="482"/>
        <w:rPr>
          <w:rFonts w:ascii="宋体" w:hAnsi="宋体"/>
          <w:color w:val="auto"/>
          <w:szCs w:val="21"/>
        </w:rPr>
      </w:pPr>
      <w:r>
        <w:rPr>
          <w:rFonts w:hint="eastAsia" w:ascii="宋体" w:hAnsi="宋体"/>
          <w:color w:val="auto"/>
          <w:szCs w:val="21"/>
        </w:rPr>
        <w:t>9.1.1本项目按照供应商须知前附表规定需要提交履约保证金的，成交供应商在收到采购代理机构的成交通知书后10日内，应当按照供应商须知前附表规定的形式、金额，向采购人提交履约保证金或履约担保。联合体成交的，履约保证金或履约担保由联合体各方或者联合体中牵头人的名义提交。</w:t>
      </w:r>
    </w:p>
    <w:p w14:paraId="140888B2">
      <w:pPr>
        <w:tabs>
          <w:tab w:val="left" w:pos="7665"/>
        </w:tabs>
        <w:spacing w:line="360" w:lineRule="auto"/>
        <w:ind w:firstLine="482"/>
        <w:rPr>
          <w:rFonts w:ascii="宋体" w:hAnsi="宋体"/>
          <w:b/>
          <w:color w:val="auto"/>
          <w:szCs w:val="21"/>
        </w:rPr>
      </w:pPr>
      <w:r>
        <w:rPr>
          <w:rFonts w:hint="eastAsia" w:ascii="宋体" w:hAnsi="宋体"/>
          <w:color w:val="auto"/>
          <w:szCs w:val="21"/>
        </w:rPr>
        <w:t>9.1.2 成交供应商</w:t>
      </w:r>
      <w:r>
        <w:rPr>
          <w:rFonts w:hint="eastAsia" w:ascii="宋体" w:hAnsi="宋体"/>
          <w:color w:val="auto"/>
          <w:spacing w:val="4"/>
          <w:szCs w:val="21"/>
        </w:rPr>
        <w:t>不能按照本章第9.1.1项规定</w:t>
      </w:r>
      <w:r>
        <w:rPr>
          <w:rFonts w:hint="eastAsia" w:ascii="宋体" w:hAnsi="宋体"/>
          <w:color w:val="auto"/>
          <w:szCs w:val="21"/>
        </w:rPr>
        <w:t>提交履约保证金或履约担保的</w:t>
      </w:r>
      <w:r>
        <w:rPr>
          <w:rFonts w:hint="eastAsia" w:ascii="宋体" w:hAnsi="宋体"/>
          <w:color w:val="auto"/>
          <w:spacing w:val="4"/>
          <w:szCs w:val="21"/>
        </w:rPr>
        <w:t>，视为放弃</w:t>
      </w:r>
      <w:r>
        <w:rPr>
          <w:rFonts w:hint="eastAsia" w:ascii="宋体" w:hAnsi="宋体"/>
          <w:color w:val="auto"/>
          <w:szCs w:val="21"/>
        </w:rPr>
        <w:t>成交资格</w:t>
      </w:r>
      <w:r>
        <w:rPr>
          <w:rFonts w:hint="eastAsia" w:ascii="宋体" w:hAnsi="宋体"/>
          <w:color w:val="auto"/>
          <w:spacing w:val="4"/>
          <w:szCs w:val="21"/>
        </w:rPr>
        <w:t>，</w:t>
      </w:r>
      <w:r>
        <w:rPr>
          <w:rFonts w:hint="eastAsia" w:ascii="宋体" w:hAnsi="宋体"/>
          <w:color w:val="auto"/>
          <w:spacing w:val="2"/>
          <w:szCs w:val="21"/>
        </w:rPr>
        <w:t>其磋商保证金不予退还，给采购人造成损失的，成交供应商应当予以赔偿。</w:t>
      </w:r>
    </w:p>
    <w:p w14:paraId="1911C254">
      <w:pPr>
        <w:tabs>
          <w:tab w:val="left" w:pos="7665"/>
        </w:tabs>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9.2 签订合同</w:t>
      </w:r>
    </w:p>
    <w:p w14:paraId="1B7B7367">
      <w:pPr>
        <w:spacing w:line="360" w:lineRule="auto"/>
        <w:ind w:firstLine="420" w:firstLineChars="200"/>
        <w:rPr>
          <w:rFonts w:ascii="宋体" w:hAnsi="宋体"/>
          <w:color w:val="auto"/>
          <w:szCs w:val="21"/>
        </w:rPr>
      </w:pPr>
      <w:r>
        <w:rPr>
          <w:rFonts w:hint="eastAsia" w:ascii="宋体" w:hAnsi="宋体"/>
          <w:color w:val="auto"/>
          <w:szCs w:val="21"/>
        </w:rPr>
        <w:t>9.2.1 采购人应当自《成交通知书》发出之日起</w:t>
      </w:r>
      <w:r>
        <w:rPr>
          <w:rFonts w:hint="eastAsia" w:ascii="宋体" w:hAnsi="宋体"/>
          <w:color w:val="auto"/>
          <w:szCs w:val="21"/>
          <w:lang w:val="en-US" w:eastAsia="zh-CN"/>
        </w:rPr>
        <w:t>25</w:t>
      </w:r>
      <w:r>
        <w:rPr>
          <w:rFonts w:hint="eastAsia" w:ascii="宋体" w:hAnsi="宋体"/>
          <w:color w:val="auto"/>
          <w:szCs w:val="21"/>
        </w:rPr>
        <w:t>日内，</w:t>
      </w:r>
      <w:r>
        <w:rPr>
          <w:rFonts w:hint="eastAsia"/>
          <w:color w:val="auto"/>
          <w:szCs w:val="21"/>
        </w:rPr>
        <w:t>按照磋商文件和成交供应商响应文件的的规定，与成交供应商签订书面合同。</w:t>
      </w:r>
      <w:r>
        <w:rPr>
          <w:rFonts w:hint="eastAsia" w:ascii="宋体" w:hAnsi="宋体"/>
          <w:color w:val="auto"/>
          <w:szCs w:val="21"/>
        </w:rPr>
        <w:t>成交供应商无正当理由拒签合同，或者在签订合同时向采购人提出附件条件，采购人有权取消其成交资格，其磋商保证金不予退还，给采购人造成损失的，</w:t>
      </w:r>
      <w:r>
        <w:rPr>
          <w:rFonts w:hint="eastAsia"/>
          <w:color w:val="auto"/>
          <w:spacing w:val="2"/>
          <w:szCs w:val="21"/>
        </w:rPr>
        <w:t>成交供应商应当予以赔偿。采购人可以</w:t>
      </w:r>
      <w:r>
        <w:rPr>
          <w:rFonts w:hint="eastAsia" w:ascii="宋体" w:hAnsi="宋体"/>
          <w:color w:val="auto"/>
          <w:szCs w:val="21"/>
        </w:rPr>
        <w:t>按照评审报告推荐的成交候选人名单排序确定下一候选人为成交供应商，并签订合同或者重新开展采购活动。拒绝签订政府采购合同的成交供应商不得参加对该项目重新开展的采购活动。</w:t>
      </w:r>
    </w:p>
    <w:p w14:paraId="50976D96">
      <w:pPr>
        <w:spacing w:line="360" w:lineRule="auto"/>
        <w:ind w:firstLine="420" w:firstLineChars="200"/>
        <w:rPr>
          <w:rFonts w:ascii="宋体" w:hAnsi="宋体"/>
          <w:color w:val="auto"/>
          <w:szCs w:val="21"/>
        </w:rPr>
      </w:pPr>
      <w:r>
        <w:rPr>
          <w:rFonts w:hint="eastAsia" w:ascii="宋体" w:hAnsi="宋体"/>
          <w:color w:val="auto"/>
          <w:szCs w:val="21"/>
        </w:rPr>
        <w:t xml:space="preserve"> 9.2.2 发出成交通知书后，采购人不得向成交供应商提出任何不合理要求，作为签订合的条件，不得与成交供应商私下订立背离合同实质性内容的任何协议，所签订的合同不得对磋商文件确定的事项和成交供应商响应文件做实质性修改。</w:t>
      </w:r>
    </w:p>
    <w:bookmarkEnd w:id="80"/>
    <w:bookmarkEnd w:id="81"/>
    <w:bookmarkEnd w:id="82"/>
    <w:p w14:paraId="0F2FFB18">
      <w:pPr>
        <w:spacing w:line="360" w:lineRule="auto"/>
        <w:ind w:firstLine="420" w:firstLineChars="200"/>
        <w:rPr>
          <w:rFonts w:ascii="宋体" w:hAnsi="宋体"/>
          <w:color w:val="auto"/>
          <w:szCs w:val="21"/>
        </w:rPr>
      </w:pPr>
      <w:bookmarkStart w:id="84" w:name="_Toc217446081"/>
      <w:r>
        <w:rPr>
          <w:rFonts w:hint="eastAsia" w:ascii="宋体" w:hAnsi="宋体"/>
          <w:color w:val="auto"/>
          <w:szCs w:val="21"/>
        </w:rPr>
        <w:t>9.2.3 联合体成交的，联合体各方应当与采购人签订采购合同，就成交项目向采购人承担连带责任。</w:t>
      </w:r>
    </w:p>
    <w:p w14:paraId="0C755F9B">
      <w:pPr>
        <w:tabs>
          <w:tab w:val="left" w:pos="426"/>
        </w:tabs>
        <w:autoSpaceDE w:val="0"/>
        <w:autoSpaceDN w:val="0"/>
        <w:adjustRightInd w:val="0"/>
        <w:snapToGrid w:val="0"/>
        <w:spacing w:before="120" w:beforeLines="50" w:after="120" w:afterLines="50" w:line="360" w:lineRule="auto"/>
        <w:rPr>
          <w:rFonts w:ascii="宋体" w:hAnsi="宋体" w:cs="宋体"/>
          <w:b/>
          <w:color w:val="auto"/>
          <w:sz w:val="30"/>
          <w:szCs w:val="30"/>
        </w:rPr>
      </w:pPr>
      <w:r>
        <w:rPr>
          <w:rFonts w:hint="eastAsia" w:ascii="宋体" w:hAnsi="宋体" w:cs="宋体"/>
          <w:b/>
          <w:color w:val="auto"/>
          <w:sz w:val="30"/>
          <w:szCs w:val="30"/>
        </w:rPr>
        <w:t>9.3 合同履行</w:t>
      </w:r>
    </w:p>
    <w:p w14:paraId="3F79EB06">
      <w:pPr>
        <w:tabs>
          <w:tab w:val="left" w:pos="426"/>
        </w:tabs>
        <w:autoSpaceDE w:val="0"/>
        <w:autoSpaceDN w:val="0"/>
        <w:adjustRightInd w:val="0"/>
        <w:snapToGrid w:val="0"/>
        <w:spacing w:line="360" w:lineRule="auto"/>
        <w:ind w:firstLine="420" w:firstLineChars="200"/>
        <w:rPr>
          <w:rFonts w:ascii="宋体" w:hAnsi="宋体" w:cs="宋体"/>
          <w:color w:val="auto"/>
          <w:szCs w:val="21"/>
        </w:rPr>
      </w:pPr>
      <w:r>
        <w:rPr>
          <w:rFonts w:hint="eastAsia" w:ascii="宋体" w:hAnsi="宋体" w:cs="宋体"/>
          <w:color w:val="auto"/>
          <w:szCs w:val="21"/>
        </w:rPr>
        <w:t>9.3.1 政府采购合同的履行、违约责任和解决争议的方法等适用《中华人民共和国民法典》。</w:t>
      </w:r>
    </w:p>
    <w:p w14:paraId="5A1E7884">
      <w:pPr>
        <w:tabs>
          <w:tab w:val="left" w:pos="426"/>
        </w:tabs>
        <w:autoSpaceDE w:val="0"/>
        <w:autoSpaceDN w:val="0"/>
        <w:adjustRightInd w:val="0"/>
        <w:snapToGrid w:val="0"/>
        <w:spacing w:line="360" w:lineRule="auto"/>
        <w:ind w:firstLine="420" w:firstLineChars="200"/>
        <w:rPr>
          <w:rFonts w:ascii="宋体" w:hAnsi="宋体" w:cs="黑体"/>
          <w:b/>
          <w:bCs/>
          <w:color w:val="auto"/>
          <w:szCs w:val="21"/>
        </w:rPr>
      </w:pPr>
      <w:r>
        <w:rPr>
          <w:rFonts w:hint="eastAsia" w:ascii="宋体" w:hAnsi="宋体" w:cs="宋体"/>
          <w:color w:val="auto"/>
          <w:szCs w:val="21"/>
        </w:rPr>
        <w:t xml:space="preserve">9.3.2 </w:t>
      </w:r>
      <w:r>
        <w:rPr>
          <w:rFonts w:hint="eastAsia" w:ascii="宋体" w:hAnsi="宋体" w:cs="宋体"/>
          <w:color w:val="auto"/>
          <w:szCs w:val="21"/>
          <w:lang w:eastAsia="zh-TW"/>
        </w:rPr>
        <w:t>政府采购合同订立后，合同各方不得擅自变更</w:t>
      </w:r>
      <w:r>
        <w:rPr>
          <w:rFonts w:hint="eastAsia" w:ascii="宋体" w:hAnsi="宋体" w:cs="宋体"/>
          <w:color w:val="auto"/>
          <w:szCs w:val="21"/>
        </w:rPr>
        <w:t>或者</w:t>
      </w:r>
      <w:r>
        <w:rPr>
          <w:rFonts w:hint="eastAsia" w:ascii="宋体" w:hAnsi="宋体" w:cs="宋体"/>
          <w:color w:val="auto"/>
          <w:szCs w:val="21"/>
          <w:lang w:eastAsia="zh-TW"/>
        </w:rPr>
        <w:t>中止或者终止合同。政府采购合同需要变更的，采购人应将有关合同变更内容，以书面形式报政府采购监督管理</w:t>
      </w:r>
      <w:r>
        <w:rPr>
          <w:rFonts w:hint="eastAsia" w:ascii="宋体" w:hAnsi="宋体" w:cs="宋体"/>
          <w:color w:val="auto"/>
          <w:szCs w:val="21"/>
        </w:rPr>
        <w:t>部门</w:t>
      </w:r>
      <w:r>
        <w:rPr>
          <w:rFonts w:hint="eastAsia" w:ascii="宋体" w:hAnsi="宋体" w:cs="宋体"/>
          <w:color w:val="auto"/>
          <w:szCs w:val="21"/>
          <w:lang w:eastAsia="zh-TW"/>
        </w:rPr>
        <w:t>备案；因特殊情况需要中止或终止合同的，采购人应将中止或终止合同的理由以及相应措施，以书面形式报政府采购监督管理</w:t>
      </w:r>
      <w:r>
        <w:rPr>
          <w:rFonts w:hint="eastAsia" w:ascii="宋体" w:hAnsi="宋体" w:cs="宋体"/>
          <w:color w:val="auto"/>
          <w:szCs w:val="21"/>
        </w:rPr>
        <w:t>部门</w:t>
      </w:r>
      <w:r>
        <w:rPr>
          <w:rFonts w:hint="eastAsia" w:ascii="宋体" w:hAnsi="宋体" w:cs="宋体"/>
          <w:color w:val="auto"/>
          <w:szCs w:val="21"/>
          <w:lang w:eastAsia="zh-TW"/>
        </w:rPr>
        <w:t>备案。</w:t>
      </w:r>
    </w:p>
    <w:p w14:paraId="41708066">
      <w:pPr>
        <w:tabs>
          <w:tab w:val="left" w:pos="426"/>
        </w:tabs>
        <w:autoSpaceDE w:val="0"/>
        <w:autoSpaceDN w:val="0"/>
        <w:adjustRightInd w:val="0"/>
        <w:snapToGrid w:val="0"/>
        <w:spacing w:line="360" w:lineRule="auto"/>
        <w:ind w:firstLine="420" w:firstLineChars="200"/>
        <w:rPr>
          <w:rFonts w:ascii="宋体" w:hAnsi="宋体" w:cs="宋体"/>
          <w:color w:val="auto"/>
          <w:szCs w:val="21"/>
          <w:lang w:eastAsia="zh-TW"/>
        </w:rPr>
      </w:pPr>
      <w:r>
        <w:rPr>
          <w:rFonts w:hint="eastAsia" w:ascii="宋体" w:hAnsi="宋体" w:cs="宋体"/>
          <w:color w:val="auto"/>
          <w:szCs w:val="21"/>
        </w:rPr>
        <w:t xml:space="preserve">9.3.3 </w:t>
      </w:r>
      <w:r>
        <w:rPr>
          <w:rFonts w:hint="eastAsia" w:ascii="宋体" w:hAnsi="宋体" w:cs="宋体"/>
          <w:color w:val="auto"/>
          <w:szCs w:val="21"/>
          <w:lang w:eastAsia="zh-TW"/>
        </w:rPr>
        <w:t>政府采购合同履行中，采购人需追加与合同标的相同的货物的，在不改变合同其他条款的前提下，可以与</w:t>
      </w:r>
      <w:r>
        <w:rPr>
          <w:rFonts w:hint="eastAsia" w:ascii="宋体" w:hAnsi="宋体" w:cs="宋体"/>
          <w:color w:val="auto"/>
          <w:szCs w:val="21"/>
        </w:rPr>
        <w:t>成交供应商</w:t>
      </w:r>
      <w:r>
        <w:rPr>
          <w:rFonts w:hint="eastAsia" w:ascii="宋体" w:hAnsi="宋体" w:cs="宋体"/>
          <w:color w:val="auto"/>
          <w:szCs w:val="21"/>
          <w:lang w:eastAsia="zh-TW"/>
        </w:rPr>
        <w:t>签订补充合同，但所补充合同的采购金额不得超过原</w:t>
      </w:r>
      <w:r>
        <w:rPr>
          <w:rFonts w:hint="eastAsia" w:ascii="宋体" w:hAnsi="宋体" w:cs="宋体"/>
          <w:color w:val="auto"/>
          <w:szCs w:val="21"/>
        </w:rPr>
        <w:t>合同</w:t>
      </w:r>
      <w:r>
        <w:rPr>
          <w:rFonts w:hint="eastAsia" w:ascii="宋体" w:hAnsi="宋体" w:cs="宋体"/>
          <w:color w:val="auto"/>
          <w:szCs w:val="21"/>
          <w:lang w:eastAsia="zh-TW"/>
        </w:rPr>
        <w:t>采购金额的百分之十。签订补充合同的</w:t>
      </w:r>
      <w:r>
        <w:rPr>
          <w:rFonts w:hint="eastAsia" w:ascii="宋体" w:hAnsi="宋体" w:cs="宋体"/>
          <w:color w:val="auto"/>
          <w:szCs w:val="21"/>
        </w:rPr>
        <w:t>应</w:t>
      </w:r>
      <w:r>
        <w:rPr>
          <w:rFonts w:hint="eastAsia" w:ascii="宋体" w:hAnsi="宋体" w:cs="宋体"/>
          <w:color w:val="auto"/>
          <w:szCs w:val="21"/>
          <w:lang w:eastAsia="zh-TW"/>
        </w:rPr>
        <w:t>按规定备案。</w:t>
      </w:r>
    </w:p>
    <w:p w14:paraId="782DEAE4">
      <w:pPr>
        <w:tabs>
          <w:tab w:val="left" w:pos="426"/>
        </w:tabs>
        <w:autoSpaceDE w:val="0"/>
        <w:autoSpaceDN w:val="0"/>
        <w:adjustRightInd w:val="0"/>
        <w:snapToGrid w:val="0"/>
        <w:spacing w:line="360" w:lineRule="auto"/>
        <w:ind w:firstLine="420" w:firstLineChars="200"/>
        <w:rPr>
          <w:color w:val="auto"/>
        </w:rPr>
      </w:pPr>
      <w:r>
        <w:rPr>
          <w:rFonts w:hint="eastAsia" w:ascii="宋体" w:hAnsi="宋体" w:cs="宋体"/>
          <w:color w:val="auto"/>
          <w:szCs w:val="21"/>
        </w:rPr>
        <w:t>9.3.4 供应商须知前附表规定允许合同分包的，成交供应商享受了中小企业政府采购扶持政策，在履行合同时，未按分包意向协议约定的比例分包给小微企业的，视为提供虚假材料谋取中标情形，采购人将依法追究其法律责任。</w:t>
      </w:r>
    </w:p>
    <w:p w14:paraId="603A989D">
      <w:pPr>
        <w:outlineLvl w:val="9"/>
        <w:rPr>
          <w:rFonts w:ascii="黑体" w:hAnsi="宋体"/>
          <w:b w:val="0"/>
          <w:bCs/>
          <w:color w:val="auto"/>
          <w:sz w:val="36"/>
          <w:szCs w:val="36"/>
        </w:rPr>
      </w:pPr>
      <w:bookmarkStart w:id="85" w:name="_Toc25071"/>
      <w:r>
        <w:rPr>
          <w:rFonts w:hint="eastAsia" w:ascii="黑体" w:hAnsi="宋体"/>
          <w:b w:val="0"/>
          <w:bCs/>
          <w:color w:val="auto"/>
          <w:sz w:val="36"/>
          <w:szCs w:val="36"/>
        </w:rPr>
        <w:t>10.终止磋商</w:t>
      </w:r>
      <w:bookmarkEnd w:id="85"/>
    </w:p>
    <w:p w14:paraId="6DA4F9F8">
      <w:pPr>
        <w:widowControl/>
        <w:spacing w:line="360" w:lineRule="auto"/>
        <w:ind w:firstLine="420" w:firstLineChars="200"/>
        <w:rPr>
          <w:rFonts w:ascii="宋体" w:hAnsi="宋体" w:cs="宋体"/>
          <w:snapToGrid w:val="0"/>
          <w:color w:val="auto"/>
          <w:kern w:val="0"/>
          <w:szCs w:val="21"/>
        </w:rPr>
      </w:pPr>
      <w:r>
        <w:rPr>
          <w:rFonts w:hint="eastAsia" w:ascii="宋体" w:hAnsi="宋体" w:cs="宋体"/>
          <w:snapToGrid w:val="0"/>
          <w:color w:val="auto"/>
          <w:kern w:val="0"/>
          <w:szCs w:val="21"/>
        </w:rPr>
        <w:t>10.1出现下列情形之一的，采购人或者采购代理机构应当终止本次竞争性磋商采购活动，发布终止公告并说明原因，重新开展采购活动：</w:t>
      </w:r>
    </w:p>
    <w:p w14:paraId="7D9823A7">
      <w:pPr>
        <w:widowControl/>
        <w:spacing w:line="360" w:lineRule="auto"/>
        <w:ind w:firstLine="420" w:firstLineChars="200"/>
        <w:rPr>
          <w:rFonts w:ascii="宋体" w:hAnsi="宋体" w:cs="宋体"/>
          <w:snapToGrid w:val="0"/>
          <w:color w:val="auto"/>
          <w:kern w:val="0"/>
          <w:szCs w:val="21"/>
        </w:rPr>
      </w:pPr>
      <w:r>
        <w:rPr>
          <w:rFonts w:hint="eastAsia" w:ascii="宋体" w:hAnsi="宋体" w:cs="宋体"/>
          <w:snapToGrid w:val="0"/>
          <w:color w:val="auto"/>
          <w:kern w:val="0"/>
          <w:szCs w:val="21"/>
        </w:rPr>
        <w:t>（1）因情况变化，不再符合规定的竞争性磋商采购方式适用情形的；</w:t>
      </w:r>
    </w:p>
    <w:p w14:paraId="3BC53475">
      <w:pPr>
        <w:widowControl/>
        <w:spacing w:line="360" w:lineRule="auto"/>
        <w:ind w:firstLine="420" w:firstLineChars="200"/>
        <w:rPr>
          <w:rFonts w:ascii="宋体" w:hAnsi="宋体" w:cs="宋体"/>
          <w:snapToGrid w:val="0"/>
          <w:color w:val="auto"/>
          <w:kern w:val="0"/>
          <w:szCs w:val="21"/>
        </w:rPr>
      </w:pPr>
      <w:r>
        <w:rPr>
          <w:rFonts w:hint="eastAsia" w:ascii="宋体" w:hAnsi="宋体" w:cs="宋体"/>
          <w:snapToGrid w:val="0"/>
          <w:color w:val="auto"/>
          <w:kern w:val="0"/>
          <w:szCs w:val="21"/>
        </w:rPr>
        <w:t>（2）出现影响采购公正的违法、违规行为的；</w:t>
      </w:r>
    </w:p>
    <w:p w14:paraId="7115A4AA">
      <w:pPr>
        <w:widowControl/>
        <w:spacing w:line="360" w:lineRule="auto"/>
        <w:ind w:firstLine="420" w:firstLineChars="200"/>
        <w:rPr>
          <w:rFonts w:ascii="宋体" w:hAnsi="宋体" w:cs="宋体"/>
          <w:snapToGrid w:val="0"/>
          <w:color w:val="auto"/>
          <w:kern w:val="0"/>
          <w:szCs w:val="21"/>
        </w:rPr>
      </w:pPr>
      <w:r>
        <w:rPr>
          <w:rFonts w:hint="eastAsia" w:ascii="宋体" w:hAnsi="宋体" w:cs="宋体"/>
          <w:snapToGrid w:val="0"/>
          <w:color w:val="auto"/>
          <w:kern w:val="0"/>
          <w:szCs w:val="21"/>
        </w:rPr>
        <w:t>（3）除《政府采购竞争性磋商采购方式管理暂行办法》办法第21条第3款规定的情形外，在采购过程中符合要求的供应商或者磋商报价未超过采购预算的供应商不足</w:t>
      </w:r>
      <w:r>
        <w:rPr>
          <w:rFonts w:ascii="宋体" w:hAnsi="宋体" w:cs="宋体"/>
          <w:snapToGrid w:val="0"/>
          <w:color w:val="auto"/>
          <w:kern w:val="0"/>
          <w:szCs w:val="21"/>
        </w:rPr>
        <w:t>3</w:t>
      </w:r>
      <w:r>
        <w:rPr>
          <w:rFonts w:hint="eastAsia" w:ascii="宋体" w:hAnsi="宋体" w:cs="宋体"/>
          <w:snapToGrid w:val="0"/>
          <w:color w:val="auto"/>
          <w:kern w:val="0"/>
          <w:szCs w:val="21"/>
        </w:rPr>
        <w:t>家的。</w:t>
      </w:r>
    </w:p>
    <w:p w14:paraId="6678DA58">
      <w:pPr>
        <w:widowControl/>
        <w:spacing w:line="360" w:lineRule="auto"/>
        <w:ind w:firstLine="420" w:firstLineChars="200"/>
        <w:rPr>
          <w:color w:val="auto"/>
        </w:rPr>
      </w:pPr>
      <w:r>
        <w:rPr>
          <w:rFonts w:hint="eastAsia" w:ascii="宋体" w:hAnsi="宋体" w:cs="宋体"/>
          <w:snapToGrid w:val="0"/>
          <w:color w:val="auto"/>
          <w:kern w:val="0"/>
          <w:szCs w:val="21"/>
        </w:rPr>
        <w:t>10.2在采购活动中因重大变故，采购任务取消的，采购人或者采购代理机构应当终止</w:t>
      </w:r>
      <w:r>
        <w:rPr>
          <w:rFonts w:hint="eastAsia" w:ascii="宋体" w:hAnsi="宋体" w:cs="宋体"/>
          <w:bCs/>
          <w:snapToGrid w:val="0"/>
          <w:color w:val="auto"/>
          <w:kern w:val="0"/>
          <w:szCs w:val="21"/>
        </w:rPr>
        <w:t>项目</w:t>
      </w:r>
      <w:r>
        <w:rPr>
          <w:rFonts w:hint="eastAsia" w:ascii="宋体" w:hAnsi="宋体" w:cs="宋体"/>
          <w:snapToGrid w:val="0"/>
          <w:color w:val="auto"/>
          <w:kern w:val="0"/>
          <w:szCs w:val="21"/>
        </w:rPr>
        <w:t>采购活动，通知所有参加采购活动的供应商，并将项目实施情况和采购任务取消原因报送本级财政部门。</w:t>
      </w:r>
    </w:p>
    <w:p w14:paraId="0D5A14C0">
      <w:pPr>
        <w:outlineLvl w:val="9"/>
        <w:rPr>
          <w:rFonts w:ascii="黑体" w:hAnsi="宋体"/>
          <w:b w:val="0"/>
          <w:bCs/>
          <w:color w:val="auto"/>
          <w:sz w:val="36"/>
          <w:szCs w:val="36"/>
        </w:rPr>
      </w:pPr>
      <w:bookmarkStart w:id="86" w:name="_Toc3421"/>
      <w:r>
        <w:rPr>
          <w:rFonts w:hint="eastAsia" w:ascii="黑体" w:hAnsi="宋体"/>
          <w:b w:val="0"/>
          <w:bCs/>
          <w:color w:val="auto"/>
          <w:sz w:val="36"/>
          <w:szCs w:val="36"/>
        </w:rPr>
        <w:t>11.采购代理服务费</w:t>
      </w:r>
      <w:bookmarkEnd w:id="86"/>
    </w:p>
    <w:p w14:paraId="729415D2">
      <w:pPr>
        <w:spacing w:line="360" w:lineRule="auto"/>
        <w:ind w:firstLine="420" w:firstLineChars="200"/>
        <w:rPr>
          <w:rFonts w:ascii="宋体" w:hAnsi="宋体"/>
          <w:color w:val="auto"/>
          <w:szCs w:val="21"/>
        </w:rPr>
      </w:pPr>
      <w:r>
        <w:rPr>
          <w:rFonts w:hint="eastAsia" w:ascii="宋体" w:hAnsi="宋体"/>
          <w:color w:val="auto"/>
          <w:szCs w:val="21"/>
        </w:rPr>
        <w:t xml:space="preserve">11.1 </w:t>
      </w:r>
      <w:r>
        <w:rPr>
          <w:rFonts w:hint="eastAsia" w:ascii="宋体" w:hAnsi="宋体"/>
          <w:color w:val="auto"/>
          <w:szCs w:val="21"/>
          <w:lang w:val="en-US" w:eastAsia="zh-CN"/>
        </w:rPr>
        <w:t>本项目</w:t>
      </w:r>
      <w:r>
        <w:rPr>
          <w:rFonts w:hint="eastAsia" w:ascii="宋体" w:hAnsi="宋体"/>
          <w:color w:val="auto"/>
          <w:szCs w:val="21"/>
        </w:rPr>
        <w:t>采购代理服务费</w:t>
      </w:r>
      <w:r>
        <w:rPr>
          <w:rFonts w:hint="eastAsia" w:ascii="宋体" w:hAnsi="宋体"/>
          <w:color w:val="auto"/>
          <w:szCs w:val="21"/>
          <w:lang w:val="en-US" w:eastAsia="zh-CN"/>
        </w:rPr>
        <w:t>由成交供应商支付</w:t>
      </w:r>
      <w:r>
        <w:rPr>
          <w:rFonts w:hint="eastAsia" w:ascii="宋体" w:hAnsi="宋体"/>
          <w:color w:val="auto"/>
          <w:szCs w:val="21"/>
        </w:rPr>
        <w:t>。</w:t>
      </w:r>
    </w:p>
    <w:p w14:paraId="72752E06">
      <w:pPr>
        <w:spacing w:line="360" w:lineRule="auto"/>
        <w:ind w:firstLine="420" w:firstLineChars="200"/>
        <w:rPr>
          <w:rFonts w:ascii="宋体" w:hAnsi="宋体"/>
          <w:color w:val="auto"/>
          <w:szCs w:val="21"/>
        </w:rPr>
      </w:pPr>
      <w:r>
        <w:rPr>
          <w:rFonts w:hint="eastAsia" w:ascii="宋体" w:hAnsi="宋体"/>
          <w:color w:val="auto"/>
          <w:szCs w:val="21"/>
        </w:rPr>
        <w:t>11.2 采购代理服务费依据《国家计委关于印发招标代理服务收费管理暂行办法的通知》（计价格【2002】1980号）和国家发改委办公厅颁发的《关于招标代理服务收费有关问题的通知》（发改办价格【2003】857号）文件规定标准</w:t>
      </w:r>
      <w:r>
        <w:rPr>
          <w:rFonts w:hint="eastAsia" w:ascii="宋体" w:hAnsi="宋体"/>
          <w:color w:val="auto"/>
          <w:szCs w:val="21"/>
          <w:lang w:val="en-US" w:eastAsia="zh-CN"/>
        </w:rPr>
        <w:t>下浮10%</w:t>
      </w:r>
      <w:r>
        <w:rPr>
          <w:rFonts w:hint="eastAsia" w:ascii="宋体" w:hAnsi="宋体"/>
          <w:color w:val="auto"/>
          <w:szCs w:val="21"/>
        </w:rPr>
        <w:t>收取。具体收费金额将在成交公告中公布。</w:t>
      </w:r>
    </w:p>
    <w:p w14:paraId="4A113A9E">
      <w:pPr>
        <w:spacing w:line="360" w:lineRule="auto"/>
        <w:ind w:firstLine="420" w:firstLineChars="200"/>
        <w:rPr>
          <w:rFonts w:ascii="宋体" w:hAnsi="宋体"/>
          <w:color w:val="auto"/>
          <w:szCs w:val="21"/>
        </w:rPr>
      </w:pPr>
      <w:r>
        <w:rPr>
          <w:rFonts w:hint="eastAsia" w:ascii="宋体" w:hAnsi="宋体"/>
          <w:color w:val="auto"/>
          <w:szCs w:val="21"/>
        </w:rPr>
        <w:t>11.3 采购代理服务费，可以采取现金、支票、银行汇票、电汇、网银等方式交纳。</w:t>
      </w:r>
    </w:p>
    <w:p w14:paraId="35B1432B">
      <w:pPr>
        <w:spacing w:line="360" w:lineRule="auto"/>
        <w:ind w:firstLine="420" w:firstLineChars="200"/>
        <w:rPr>
          <w:rFonts w:ascii="宋体" w:hAnsi="宋体"/>
          <w:color w:val="auto"/>
          <w:szCs w:val="21"/>
        </w:rPr>
      </w:pPr>
      <w:r>
        <w:rPr>
          <w:rFonts w:hint="eastAsia" w:ascii="宋体" w:hAnsi="宋体"/>
          <w:color w:val="auto"/>
          <w:szCs w:val="21"/>
        </w:rPr>
        <w:t>11.4代理服务费账户信息</w:t>
      </w:r>
    </w:p>
    <w:p w14:paraId="3761B195">
      <w:pPr>
        <w:spacing w:line="360" w:lineRule="auto"/>
        <w:ind w:firstLine="420" w:firstLineChars="200"/>
        <w:rPr>
          <w:rFonts w:ascii="宋体" w:hAnsi="宋体"/>
          <w:color w:val="auto"/>
          <w:szCs w:val="21"/>
        </w:rPr>
      </w:pPr>
      <w:r>
        <w:rPr>
          <w:rFonts w:hint="eastAsia" w:ascii="宋体" w:hAnsi="宋体"/>
          <w:color w:val="auto"/>
          <w:szCs w:val="21"/>
        </w:rPr>
        <w:t>开户名称：陕西优正项目管理有限公司</w:t>
      </w:r>
    </w:p>
    <w:p w14:paraId="71E4D898">
      <w:pPr>
        <w:spacing w:line="360" w:lineRule="auto"/>
        <w:ind w:firstLine="420" w:firstLineChars="200"/>
        <w:rPr>
          <w:rFonts w:ascii="宋体" w:hAnsi="宋体"/>
          <w:color w:val="auto"/>
          <w:szCs w:val="21"/>
        </w:rPr>
      </w:pPr>
      <w:r>
        <w:rPr>
          <w:rFonts w:hint="eastAsia" w:ascii="宋体" w:hAnsi="宋体"/>
          <w:color w:val="auto"/>
          <w:szCs w:val="21"/>
        </w:rPr>
        <w:t>开户银行：中国银行股份有限公司咸阳渭城区支行</w:t>
      </w:r>
    </w:p>
    <w:p w14:paraId="3B68AD11">
      <w:pPr>
        <w:spacing w:line="360" w:lineRule="auto"/>
        <w:ind w:firstLine="420" w:firstLineChars="200"/>
        <w:rPr>
          <w:rFonts w:ascii="宋体" w:hAnsi="宋体"/>
          <w:color w:val="auto"/>
          <w:szCs w:val="21"/>
        </w:rPr>
      </w:pPr>
      <w:r>
        <w:rPr>
          <w:rFonts w:hint="eastAsia" w:ascii="宋体" w:hAnsi="宋体"/>
          <w:color w:val="auto"/>
          <w:szCs w:val="21"/>
        </w:rPr>
        <w:t>账    号：102075807616</w:t>
      </w:r>
    </w:p>
    <w:p w14:paraId="6CC5687B">
      <w:pPr>
        <w:outlineLvl w:val="9"/>
        <w:rPr>
          <w:rFonts w:ascii="黑体" w:hAnsi="宋体"/>
          <w:b w:val="0"/>
          <w:bCs/>
          <w:color w:val="auto"/>
          <w:sz w:val="36"/>
          <w:szCs w:val="36"/>
        </w:rPr>
      </w:pPr>
      <w:bookmarkStart w:id="87" w:name="_Toc9328"/>
      <w:r>
        <w:rPr>
          <w:rFonts w:hint="eastAsia" w:ascii="黑体" w:hAnsi="宋体"/>
          <w:b w:val="0"/>
          <w:bCs/>
          <w:color w:val="auto"/>
          <w:sz w:val="36"/>
          <w:szCs w:val="36"/>
        </w:rPr>
        <w:t>12.质疑与投诉</w:t>
      </w:r>
      <w:bookmarkEnd w:id="87"/>
    </w:p>
    <w:p w14:paraId="28F10BB7">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12.1质疑</w:t>
      </w:r>
    </w:p>
    <w:p w14:paraId="16386CCB">
      <w:pPr>
        <w:spacing w:line="360" w:lineRule="auto"/>
        <w:ind w:firstLine="420" w:firstLineChars="200"/>
        <w:rPr>
          <w:rFonts w:ascii="宋体" w:hAnsi="宋体"/>
          <w:color w:val="auto"/>
          <w:szCs w:val="21"/>
        </w:rPr>
      </w:pPr>
      <w:r>
        <w:rPr>
          <w:rFonts w:hint="eastAsia" w:ascii="宋体" w:hAnsi="宋体"/>
          <w:color w:val="auto"/>
          <w:szCs w:val="21"/>
        </w:rPr>
        <w:t>12.1.1如供应商对本次采购活动有疑问，认为需要提出质疑和投诉的，应当按照《政府采购质疑投诉办法》（财政部94号令）的有关规定办理。</w:t>
      </w:r>
    </w:p>
    <w:p w14:paraId="73F832D7">
      <w:pPr>
        <w:spacing w:line="360" w:lineRule="auto"/>
        <w:ind w:firstLine="420" w:firstLineChars="200"/>
        <w:rPr>
          <w:rFonts w:ascii="宋体" w:hAnsi="宋体"/>
          <w:color w:val="auto"/>
          <w:szCs w:val="21"/>
        </w:rPr>
      </w:pPr>
      <w:r>
        <w:rPr>
          <w:rFonts w:hint="eastAsia" w:ascii="宋体" w:hAnsi="宋体"/>
          <w:color w:val="auto"/>
          <w:szCs w:val="21"/>
        </w:rPr>
        <w:t>12.1.2 供应商对采购文件、采购过程或成交结果使自身的合法权益受到损害，应当在法定期限内，按照质疑函范本格式要求以书面形式向采购代理机构或采购人提出质疑，并附必要的证明材料。</w:t>
      </w:r>
    </w:p>
    <w:p w14:paraId="04BFB604">
      <w:pPr>
        <w:widowControl/>
        <w:spacing w:line="360" w:lineRule="auto"/>
        <w:ind w:firstLine="420" w:firstLineChars="200"/>
        <w:rPr>
          <w:rFonts w:ascii="宋体" w:hAnsi="宋体"/>
          <w:color w:val="auto"/>
          <w:szCs w:val="21"/>
        </w:rPr>
      </w:pPr>
      <w:r>
        <w:rPr>
          <w:rFonts w:hint="eastAsia" w:ascii="宋体" w:hAnsi="宋体"/>
          <w:color w:val="auto"/>
          <w:szCs w:val="21"/>
        </w:rPr>
        <w:t>12.1.3 质疑函应当包括下列内容：</w:t>
      </w:r>
    </w:p>
    <w:p w14:paraId="71018F14">
      <w:pPr>
        <w:widowControl/>
        <w:spacing w:line="360" w:lineRule="auto"/>
        <w:ind w:right="227" w:firstLine="525" w:firstLineChars="250"/>
        <w:jc w:val="left"/>
        <w:rPr>
          <w:rFonts w:ascii="宋体" w:hAnsi="宋体" w:cs="Arial"/>
          <w:color w:val="auto"/>
          <w:kern w:val="0"/>
          <w:szCs w:val="21"/>
        </w:rPr>
      </w:pPr>
      <w:r>
        <w:rPr>
          <w:rFonts w:hint="eastAsia" w:ascii="宋体" w:hAnsi="宋体"/>
          <w:color w:val="auto"/>
          <w:szCs w:val="21"/>
        </w:rPr>
        <w:t>（1）</w:t>
      </w:r>
      <w:r>
        <w:rPr>
          <w:rFonts w:hint="eastAsia" w:ascii="宋体" w:hAnsi="宋体" w:cs="Arial"/>
          <w:color w:val="auto"/>
          <w:kern w:val="0"/>
          <w:szCs w:val="21"/>
        </w:rPr>
        <w:t>供应商的姓名或者名称、地址、邮编、联系人及联系电话；</w:t>
      </w:r>
    </w:p>
    <w:p w14:paraId="65B46A43">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（2）质疑项目的名称、编号；</w:t>
      </w:r>
    </w:p>
    <w:p w14:paraId="7A7A8EF1">
      <w:pPr>
        <w:widowControl/>
        <w:spacing w:line="360" w:lineRule="auto"/>
        <w:ind w:right="227" w:firstLine="525" w:firstLineChars="250"/>
        <w:jc w:val="left"/>
        <w:rPr>
          <w:rFonts w:ascii="宋体" w:hAnsi="宋体" w:cs="Arial"/>
          <w:color w:val="auto"/>
          <w:kern w:val="0"/>
          <w:szCs w:val="21"/>
        </w:rPr>
      </w:pPr>
      <w:r>
        <w:rPr>
          <w:rFonts w:hint="eastAsia" w:ascii="宋体" w:hAnsi="宋体" w:cs="Arial"/>
          <w:color w:val="auto"/>
          <w:kern w:val="0"/>
          <w:szCs w:val="21"/>
        </w:rPr>
        <w:t>（3）具体、明确的质疑事项和与质疑事项相关的请求；</w:t>
      </w:r>
    </w:p>
    <w:p w14:paraId="542C3DD5">
      <w:pPr>
        <w:widowControl/>
        <w:spacing w:line="360" w:lineRule="auto"/>
        <w:ind w:right="227" w:firstLine="525" w:firstLineChars="250"/>
        <w:jc w:val="left"/>
        <w:rPr>
          <w:rFonts w:ascii="宋体" w:hAnsi="宋体" w:cs="Arial"/>
          <w:color w:val="auto"/>
          <w:kern w:val="0"/>
          <w:szCs w:val="21"/>
        </w:rPr>
      </w:pPr>
      <w:r>
        <w:rPr>
          <w:rFonts w:hint="eastAsia" w:ascii="宋体" w:hAnsi="宋体" w:cs="Arial"/>
          <w:color w:val="auto"/>
          <w:kern w:val="0"/>
          <w:szCs w:val="21"/>
        </w:rPr>
        <w:t>（4）事实依据；</w:t>
      </w:r>
    </w:p>
    <w:p w14:paraId="0827D73F">
      <w:pPr>
        <w:widowControl/>
        <w:spacing w:line="360" w:lineRule="auto"/>
        <w:ind w:right="227" w:firstLine="525" w:firstLineChars="250"/>
        <w:jc w:val="left"/>
        <w:rPr>
          <w:rFonts w:ascii="宋体" w:hAnsi="宋体" w:cs="Arial"/>
          <w:color w:val="auto"/>
          <w:kern w:val="0"/>
          <w:szCs w:val="21"/>
        </w:rPr>
      </w:pPr>
      <w:r>
        <w:rPr>
          <w:rFonts w:hint="eastAsia" w:ascii="宋体" w:hAnsi="宋体" w:cs="Arial"/>
          <w:color w:val="auto"/>
          <w:kern w:val="0"/>
          <w:szCs w:val="21"/>
        </w:rPr>
        <w:t>（5）必要的法律依据；</w:t>
      </w:r>
    </w:p>
    <w:p w14:paraId="5E469A49">
      <w:pPr>
        <w:widowControl/>
        <w:spacing w:line="360" w:lineRule="auto"/>
        <w:ind w:right="227" w:firstLine="525" w:firstLineChars="250"/>
        <w:jc w:val="left"/>
        <w:rPr>
          <w:rFonts w:ascii="宋体" w:hAnsi="宋体" w:cs="Arial"/>
          <w:color w:val="auto"/>
          <w:kern w:val="0"/>
          <w:szCs w:val="21"/>
        </w:rPr>
      </w:pPr>
      <w:r>
        <w:rPr>
          <w:rFonts w:hint="eastAsia" w:ascii="宋体" w:hAnsi="宋体" w:cs="Arial"/>
          <w:color w:val="auto"/>
          <w:kern w:val="0"/>
          <w:szCs w:val="21"/>
        </w:rPr>
        <w:t>（6）提出质疑的日期。</w:t>
      </w:r>
    </w:p>
    <w:p w14:paraId="05F556C1">
      <w:pPr>
        <w:widowControl/>
        <w:spacing w:line="360" w:lineRule="auto"/>
        <w:ind w:right="227" w:firstLine="420" w:firstLineChars="200"/>
        <w:jc w:val="left"/>
        <w:rPr>
          <w:rFonts w:ascii="宋体" w:hAnsi="宋体" w:cs="Arial"/>
          <w:color w:val="auto"/>
          <w:kern w:val="0"/>
          <w:szCs w:val="21"/>
        </w:rPr>
      </w:pPr>
      <w:r>
        <w:rPr>
          <w:rFonts w:hint="eastAsia" w:ascii="宋体" w:hAnsi="宋体" w:cs="Arial"/>
          <w:color w:val="auto"/>
          <w:kern w:val="0"/>
          <w:szCs w:val="21"/>
        </w:rPr>
        <w:t>供应商为自然人的，应当由本人签字；供应商为法人或者其他组织的，应当由法定代表人、主要负责人，或者其委托代理人签字或者盖章，并加盖单位章。</w:t>
      </w:r>
    </w:p>
    <w:p w14:paraId="09288188">
      <w:pPr>
        <w:widowControl/>
        <w:spacing w:line="360" w:lineRule="auto"/>
        <w:ind w:firstLine="420" w:firstLineChars="200"/>
        <w:rPr>
          <w:rFonts w:ascii="宋体" w:hAnsi="宋体"/>
          <w:color w:val="auto"/>
          <w:szCs w:val="21"/>
        </w:rPr>
      </w:pPr>
      <w:r>
        <w:rPr>
          <w:rFonts w:hint="eastAsia" w:ascii="宋体" w:hAnsi="宋体"/>
          <w:color w:val="auto"/>
          <w:szCs w:val="21"/>
        </w:rPr>
        <w:t>12.1.4质疑人可以委托代理人办理质疑事项，代理人办理质疑事项时，除提交质疑函外，还应当提交质疑人的授权委托书及代理人的有效身份证明，授权委托书应当载明委托代理的具体权限期限和相关事项。</w:t>
      </w:r>
    </w:p>
    <w:p w14:paraId="162F646A">
      <w:pPr>
        <w:widowControl/>
        <w:spacing w:line="360" w:lineRule="auto"/>
        <w:ind w:firstLine="420" w:firstLineChars="200"/>
        <w:rPr>
          <w:rFonts w:ascii="宋体" w:hAnsi="宋体"/>
          <w:color w:val="auto"/>
          <w:szCs w:val="21"/>
        </w:rPr>
      </w:pPr>
      <w:r>
        <w:rPr>
          <w:rFonts w:hint="eastAsia" w:ascii="宋体" w:hAnsi="宋体"/>
          <w:color w:val="auto"/>
          <w:szCs w:val="21"/>
        </w:rPr>
        <w:t>12.1.5 质疑函范本格式在中国政府采购网站（</w:t>
      </w:r>
      <w:r>
        <w:rPr>
          <w:rFonts w:ascii="宋体" w:hAnsi="宋体"/>
          <w:color w:val="auto"/>
          <w:szCs w:val="21"/>
        </w:rPr>
        <w:t>http://www.ccgp.gov.cn/</w:t>
      </w:r>
      <w:r>
        <w:rPr>
          <w:rFonts w:hint="eastAsia" w:ascii="宋体" w:hAnsi="宋体"/>
          <w:color w:val="auto"/>
          <w:szCs w:val="21"/>
        </w:rPr>
        <w:t>）自行下载。</w:t>
      </w:r>
    </w:p>
    <w:p w14:paraId="2649A546">
      <w:pPr>
        <w:widowControl/>
        <w:spacing w:line="360" w:lineRule="auto"/>
        <w:ind w:right="225" w:firstLine="420" w:firstLineChars="200"/>
        <w:jc w:val="left"/>
        <w:rPr>
          <w:rFonts w:ascii="宋体" w:hAnsi="宋体"/>
          <w:color w:val="auto"/>
          <w:szCs w:val="21"/>
        </w:rPr>
      </w:pPr>
      <w:r>
        <w:rPr>
          <w:rFonts w:hint="eastAsia" w:ascii="宋体" w:hAnsi="宋体"/>
          <w:color w:val="auto"/>
          <w:szCs w:val="21"/>
        </w:rPr>
        <w:t xml:space="preserve">12.1.6 </w:t>
      </w:r>
      <w:r>
        <w:rPr>
          <w:rFonts w:hint="eastAsia" w:ascii="宋体" w:hAnsi="宋体" w:cs="Arial"/>
          <w:color w:val="auto"/>
          <w:kern w:val="0"/>
          <w:szCs w:val="21"/>
        </w:rPr>
        <w:t>接收质疑函的联系部门、联系电话和通讯地址同磋商公告。</w:t>
      </w:r>
    </w:p>
    <w:p w14:paraId="5710E30B">
      <w:pPr>
        <w:widowControl/>
        <w:spacing w:line="360" w:lineRule="auto"/>
        <w:ind w:firstLine="420" w:firstLineChars="200"/>
        <w:rPr>
          <w:rFonts w:ascii="宋体" w:hAnsi="宋体"/>
          <w:color w:val="auto"/>
          <w:szCs w:val="21"/>
        </w:rPr>
      </w:pPr>
      <w:r>
        <w:rPr>
          <w:rFonts w:hint="eastAsia" w:ascii="宋体" w:hAnsi="宋体"/>
          <w:color w:val="auto"/>
          <w:szCs w:val="21"/>
        </w:rPr>
        <w:t>12.1.7 有下列情形之一的，属于无效质疑，采购代理机构和采购人不予受理：</w:t>
      </w:r>
    </w:p>
    <w:p w14:paraId="78628BD4">
      <w:pPr>
        <w:widowControl/>
        <w:spacing w:line="360" w:lineRule="auto"/>
        <w:ind w:firstLine="420" w:firstLineChars="200"/>
        <w:rPr>
          <w:rFonts w:ascii="宋体" w:hAnsi="宋体"/>
          <w:color w:val="auto"/>
          <w:szCs w:val="21"/>
        </w:rPr>
      </w:pPr>
      <w:r>
        <w:rPr>
          <w:rFonts w:hint="eastAsia" w:ascii="宋体" w:hAnsi="宋体"/>
          <w:color w:val="auto"/>
          <w:szCs w:val="21"/>
        </w:rPr>
        <w:t>（1）质疑人不是参与本次政府采购项目的供应商；</w:t>
      </w:r>
    </w:p>
    <w:p w14:paraId="3197B750">
      <w:pPr>
        <w:widowControl/>
        <w:spacing w:line="360" w:lineRule="auto"/>
        <w:ind w:firstLine="420" w:firstLineChars="200"/>
        <w:rPr>
          <w:rFonts w:ascii="宋体" w:hAnsi="宋体"/>
          <w:color w:val="auto"/>
          <w:szCs w:val="21"/>
        </w:rPr>
      </w:pPr>
      <w:r>
        <w:rPr>
          <w:rFonts w:hint="eastAsia" w:ascii="宋体" w:hAnsi="宋体"/>
          <w:color w:val="auto"/>
          <w:szCs w:val="21"/>
        </w:rPr>
        <w:t>（2）质疑人与质疑事项不存在利害关系的；</w:t>
      </w:r>
    </w:p>
    <w:p w14:paraId="3FA6BB32">
      <w:pPr>
        <w:widowControl/>
        <w:spacing w:line="360" w:lineRule="auto"/>
        <w:ind w:firstLine="420" w:firstLineChars="200"/>
        <w:rPr>
          <w:rFonts w:ascii="宋体" w:hAnsi="宋体"/>
          <w:color w:val="auto"/>
          <w:szCs w:val="21"/>
        </w:rPr>
      </w:pPr>
      <w:r>
        <w:rPr>
          <w:rFonts w:hint="eastAsia" w:ascii="宋体" w:hAnsi="宋体"/>
          <w:color w:val="auto"/>
          <w:szCs w:val="21"/>
        </w:rPr>
        <w:t>（3）未在法定期限内提出质疑的；</w:t>
      </w:r>
    </w:p>
    <w:p w14:paraId="09CC59AD">
      <w:pPr>
        <w:widowControl/>
        <w:spacing w:line="360" w:lineRule="auto"/>
        <w:ind w:firstLine="420" w:firstLineChars="200"/>
        <w:rPr>
          <w:rFonts w:ascii="宋体" w:hAnsi="宋体"/>
          <w:color w:val="auto"/>
          <w:szCs w:val="21"/>
        </w:rPr>
      </w:pPr>
      <w:r>
        <w:rPr>
          <w:rFonts w:hint="eastAsia" w:ascii="宋体" w:hAnsi="宋体"/>
          <w:color w:val="auto"/>
          <w:szCs w:val="21"/>
        </w:rPr>
        <w:t>（4）质疑未以书面形式提出，以传真、电子邮件、移动通信等形式即时收悉提交的质疑材料；</w:t>
      </w:r>
    </w:p>
    <w:p w14:paraId="7B1314CC">
      <w:pPr>
        <w:widowControl/>
        <w:spacing w:line="360" w:lineRule="auto"/>
        <w:ind w:firstLine="420" w:firstLineChars="200"/>
        <w:rPr>
          <w:rFonts w:ascii="宋体" w:hAnsi="宋体"/>
          <w:color w:val="auto"/>
          <w:szCs w:val="21"/>
        </w:rPr>
      </w:pPr>
      <w:r>
        <w:rPr>
          <w:rFonts w:hint="eastAsia" w:ascii="宋体" w:hAnsi="宋体"/>
          <w:color w:val="auto"/>
          <w:szCs w:val="21"/>
        </w:rPr>
        <w:t>（5）质疑未按质疑函范本格式提出的；</w:t>
      </w:r>
    </w:p>
    <w:p w14:paraId="5343FC34">
      <w:pPr>
        <w:widowControl/>
        <w:spacing w:line="360" w:lineRule="auto"/>
        <w:ind w:firstLine="420" w:firstLineChars="200"/>
        <w:rPr>
          <w:rFonts w:ascii="宋体" w:hAnsi="宋体"/>
          <w:color w:val="auto"/>
          <w:szCs w:val="21"/>
        </w:rPr>
      </w:pPr>
      <w:r>
        <w:rPr>
          <w:rFonts w:hint="eastAsia" w:ascii="宋体" w:hAnsi="宋体"/>
          <w:color w:val="auto"/>
          <w:szCs w:val="21"/>
        </w:rPr>
        <w:t>（6）未提交营业执照或法人证书复印件，由授权代表签字的，未提交授权委托书；</w:t>
      </w:r>
    </w:p>
    <w:p w14:paraId="213A7A0A">
      <w:pPr>
        <w:widowControl/>
        <w:spacing w:line="360" w:lineRule="auto"/>
        <w:ind w:firstLine="420" w:firstLineChars="200"/>
        <w:rPr>
          <w:rFonts w:ascii="宋体" w:hAnsi="宋体"/>
          <w:color w:val="auto"/>
          <w:szCs w:val="21"/>
        </w:rPr>
      </w:pPr>
      <w:r>
        <w:rPr>
          <w:rFonts w:hint="eastAsia" w:ascii="宋体" w:hAnsi="宋体"/>
          <w:color w:val="auto"/>
          <w:szCs w:val="21"/>
        </w:rPr>
        <w:t>（7）质疑书没有合法有效的签字、盖章的；</w:t>
      </w:r>
    </w:p>
    <w:p w14:paraId="686C8268">
      <w:pPr>
        <w:widowControl/>
        <w:spacing w:line="360" w:lineRule="auto"/>
        <w:ind w:firstLine="420" w:firstLineChars="200"/>
        <w:rPr>
          <w:rFonts w:ascii="宋体" w:hAnsi="宋体"/>
          <w:color w:val="auto"/>
          <w:szCs w:val="21"/>
        </w:rPr>
      </w:pPr>
      <w:r>
        <w:rPr>
          <w:rFonts w:hint="eastAsia" w:ascii="宋体" w:hAnsi="宋体"/>
          <w:color w:val="auto"/>
          <w:szCs w:val="21"/>
        </w:rPr>
        <w:t>（8）以非法手段取得证据、材料的；</w:t>
      </w:r>
    </w:p>
    <w:p w14:paraId="08D2B669">
      <w:pPr>
        <w:widowControl/>
        <w:spacing w:line="360" w:lineRule="auto"/>
        <w:ind w:firstLine="420" w:firstLineChars="200"/>
        <w:rPr>
          <w:rFonts w:ascii="宋体" w:hAnsi="宋体"/>
          <w:color w:val="auto"/>
          <w:szCs w:val="21"/>
        </w:rPr>
      </w:pPr>
      <w:r>
        <w:rPr>
          <w:rFonts w:hint="eastAsia" w:ascii="宋体" w:hAnsi="宋体"/>
          <w:color w:val="auto"/>
          <w:szCs w:val="21"/>
        </w:rPr>
        <w:t>（9）质疑答复后，同一质疑人就同一事项再次提出质疑的；</w:t>
      </w:r>
    </w:p>
    <w:p w14:paraId="5AA4CD54">
      <w:pPr>
        <w:widowControl/>
        <w:spacing w:line="360" w:lineRule="auto"/>
        <w:ind w:firstLine="420" w:firstLineChars="200"/>
        <w:rPr>
          <w:rFonts w:ascii="宋体" w:hAnsi="宋体"/>
          <w:color w:val="auto"/>
          <w:szCs w:val="21"/>
        </w:rPr>
      </w:pPr>
      <w:r>
        <w:rPr>
          <w:rFonts w:hint="eastAsia" w:ascii="宋体" w:hAnsi="宋体"/>
          <w:color w:val="auto"/>
          <w:szCs w:val="21"/>
        </w:rPr>
        <w:t>（10）不符合法律、法规、规章和政府采购监管机构规定的其他条件的。</w:t>
      </w:r>
    </w:p>
    <w:p w14:paraId="436ED956">
      <w:pPr>
        <w:widowControl/>
        <w:spacing w:line="360" w:lineRule="auto"/>
        <w:ind w:firstLine="420" w:firstLineChars="200"/>
        <w:rPr>
          <w:rFonts w:ascii="宋体" w:hAnsi="宋体"/>
          <w:color w:val="auto"/>
          <w:szCs w:val="21"/>
        </w:rPr>
      </w:pPr>
      <w:r>
        <w:rPr>
          <w:rFonts w:hint="eastAsia" w:ascii="宋体" w:hAnsi="宋体"/>
          <w:color w:val="auto"/>
          <w:szCs w:val="21"/>
        </w:rPr>
        <w:t>12.1.8 采购代理机构或采购人将在收到书面质疑后7个工作日内做出答复，并以书面形式通知质疑人和其他有关供应商。</w:t>
      </w:r>
    </w:p>
    <w:p w14:paraId="17108A8B">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12.2 投诉</w:t>
      </w:r>
    </w:p>
    <w:p w14:paraId="4E8D717E">
      <w:pPr>
        <w:widowControl/>
        <w:tabs>
          <w:tab w:val="left" w:pos="8931"/>
        </w:tabs>
        <w:spacing w:line="360" w:lineRule="auto"/>
        <w:ind w:right="-113" w:firstLine="420" w:firstLineChars="200"/>
        <w:jc w:val="left"/>
        <w:rPr>
          <w:rFonts w:ascii="宋体" w:hAnsi="宋体" w:cs="Arial"/>
          <w:color w:val="auto"/>
          <w:kern w:val="0"/>
          <w:szCs w:val="21"/>
        </w:rPr>
      </w:pPr>
      <w:r>
        <w:rPr>
          <w:rFonts w:hint="eastAsia" w:ascii="宋体" w:hAnsi="宋体"/>
          <w:color w:val="auto"/>
          <w:szCs w:val="21"/>
        </w:rPr>
        <w:t>12.2.1 质疑人对采购代理机构或采购人的答复不满意，</w:t>
      </w:r>
      <w:r>
        <w:rPr>
          <w:rFonts w:hint="eastAsia" w:ascii="宋体" w:hAnsi="宋体" w:cs="Arial"/>
          <w:color w:val="auto"/>
          <w:kern w:val="0"/>
          <w:szCs w:val="21"/>
        </w:rPr>
        <w:t>或者采购人、采购代理机构未在规定时间内作出答复的，可以在答复期满后15个工作日内财政部门提起投诉。</w:t>
      </w:r>
    </w:p>
    <w:p w14:paraId="61E0F842">
      <w:pPr>
        <w:widowControl/>
        <w:spacing w:line="360" w:lineRule="auto"/>
        <w:ind w:right="28" w:firstLine="420" w:firstLineChars="200"/>
        <w:jc w:val="left"/>
        <w:rPr>
          <w:rFonts w:ascii="宋体" w:hAnsi="宋体" w:cs="Arial"/>
          <w:color w:val="auto"/>
          <w:kern w:val="0"/>
          <w:szCs w:val="21"/>
        </w:rPr>
      </w:pPr>
      <w:r>
        <w:rPr>
          <w:rFonts w:hint="eastAsia" w:ascii="宋体" w:hAnsi="宋体"/>
          <w:color w:val="auto"/>
          <w:szCs w:val="21"/>
        </w:rPr>
        <w:t xml:space="preserve">12.2.2 </w:t>
      </w:r>
      <w:r>
        <w:rPr>
          <w:rFonts w:hint="eastAsia" w:ascii="宋体" w:hAnsi="宋体" w:cs="Arial"/>
          <w:color w:val="auto"/>
          <w:kern w:val="0"/>
          <w:szCs w:val="21"/>
        </w:rPr>
        <w:t>供应商投诉时,应当提交投诉书和必要的证明材料，并按照被投诉采购人、采购代理机构（以下简称被投诉人）和与投诉事项有关的供应商数量提供投诉书的副本。投诉书应当包括下列内容：</w:t>
      </w:r>
    </w:p>
    <w:p w14:paraId="3F1EB311">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（1）投诉人和被投诉人的姓名或者名称、通讯地址、邮编、联系人及联系电话；</w:t>
      </w:r>
    </w:p>
    <w:p w14:paraId="37AC7D2F">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（2）质疑和质疑答复情况说明及相关证明材料；</w:t>
      </w:r>
    </w:p>
    <w:p w14:paraId="79465872">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（3）具体、明确的投诉事项和与投诉事项相关的投诉请求；</w:t>
      </w:r>
    </w:p>
    <w:p w14:paraId="216F0F6A">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（4）事实依据；</w:t>
      </w:r>
    </w:p>
    <w:p w14:paraId="762A6B89">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（5）法律依据；</w:t>
      </w:r>
    </w:p>
    <w:p w14:paraId="25AC6F5A">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（6）提起投诉的日期。</w:t>
      </w:r>
    </w:p>
    <w:p w14:paraId="45476D8E">
      <w:pPr>
        <w:widowControl/>
        <w:spacing w:line="360" w:lineRule="auto"/>
        <w:ind w:left="105" w:right="227" w:hanging="105" w:hangingChars="50"/>
        <w:jc w:val="left"/>
        <w:rPr>
          <w:rFonts w:ascii="宋体" w:hAnsi="宋体" w:cs="Arial"/>
          <w:color w:val="auto"/>
          <w:kern w:val="0"/>
          <w:szCs w:val="21"/>
        </w:rPr>
      </w:pPr>
      <w:r>
        <w:rPr>
          <w:rFonts w:hint="eastAsia" w:ascii="宋体" w:hAnsi="宋体" w:cs="Arial"/>
          <w:color w:val="auto"/>
          <w:kern w:val="0"/>
          <w:szCs w:val="21"/>
        </w:rPr>
        <w:t>　   投诉人为自然人的，应当由本人签字；投诉人为法人或者其他组织的，应当由法定代表人、主要负责人，或者其委托代理人签字或者盖章，并加盖单位章。</w:t>
      </w:r>
    </w:p>
    <w:p w14:paraId="6D76A167">
      <w:pPr>
        <w:spacing w:line="360" w:lineRule="auto"/>
        <w:ind w:firstLine="420" w:firstLineChars="200"/>
        <w:jc w:val="left"/>
        <w:rPr>
          <w:rFonts w:ascii="宋体" w:hAnsi="宋体"/>
          <w:color w:val="auto"/>
          <w:szCs w:val="21"/>
        </w:rPr>
      </w:pPr>
      <w:r>
        <w:rPr>
          <w:rFonts w:hint="eastAsia" w:ascii="宋体" w:hAnsi="宋体"/>
          <w:color w:val="auto"/>
          <w:szCs w:val="21"/>
        </w:rPr>
        <w:t>13.2.3 投诉书范本格式在中国政府采购网站（</w:t>
      </w:r>
      <w:r>
        <w:rPr>
          <w:rFonts w:ascii="宋体" w:hAnsi="宋体"/>
          <w:color w:val="auto"/>
          <w:szCs w:val="21"/>
        </w:rPr>
        <w:t>http</w:t>
      </w:r>
      <w:r>
        <w:rPr>
          <w:rFonts w:hint="eastAsia" w:ascii="宋体" w:hAnsi="宋体"/>
          <w:color w:val="auto"/>
          <w:szCs w:val="21"/>
        </w:rPr>
        <w:t>：</w:t>
      </w:r>
      <w:r>
        <w:rPr>
          <w:rFonts w:ascii="宋体" w:hAnsi="宋体"/>
          <w:color w:val="auto"/>
          <w:szCs w:val="21"/>
        </w:rPr>
        <w:t>//www.ccgp.gov.cn/</w:t>
      </w:r>
      <w:r>
        <w:rPr>
          <w:rFonts w:hint="eastAsia" w:ascii="宋体" w:hAnsi="宋体"/>
          <w:color w:val="auto"/>
          <w:szCs w:val="21"/>
        </w:rPr>
        <w:t>）自行下载。</w:t>
      </w:r>
    </w:p>
    <w:p w14:paraId="1F602797">
      <w:pPr>
        <w:widowControl/>
        <w:spacing w:line="360" w:lineRule="auto"/>
        <w:ind w:left="301" w:right="227" w:firstLine="105" w:firstLineChars="50"/>
        <w:jc w:val="left"/>
        <w:rPr>
          <w:rFonts w:ascii="宋体" w:hAnsi="宋体" w:cs="Arial"/>
          <w:color w:val="auto"/>
          <w:kern w:val="0"/>
          <w:szCs w:val="21"/>
        </w:rPr>
      </w:pPr>
      <w:r>
        <w:rPr>
          <w:rFonts w:hint="eastAsia" w:ascii="宋体" w:hAnsi="宋体"/>
          <w:color w:val="auto"/>
          <w:szCs w:val="21"/>
        </w:rPr>
        <w:t xml:space="preserve">13.2.4 </w:t>
      </w:r>
      <w:r>
        <w:rPr>
          <w:rFonts w:hint="eastAsia" w:ascii="宋体" w:hAnsi="宋体" w:cs="Arial"/>
          <w:color w:val="auto"/>
          <w:kern w:val="0"/>
          <w:szCs w:val="21"/>
        </w:rPr>
        <w:t>投诉人提起投诉应当符合下列条件：</w:t>
      </w:r>
    </w:p>
    <w:p w14:paraId="0B53AB02">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（1）提起投诉前已依法进行质疑；</w:t>
      </w:r>
    </w:p>
    <w:p w14:paraId="555956CA">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（2）投诉书内容符合财政部94号令的规定；</w:t>
      </w:r>
    </w:p>
    <w:p w14:paraId="515E3FDB">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（3）在投诉有效期限内提起投诉；</w:t>
      </w:r>
    </w:p>
    <w:p w14:paraId="5297C0C8">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（4）同一投诉事项未经财政部门投诉处理；</w:t>
      </w:r>
    </w:p>
    <w:p w14:paraId="768662BF">
      <w:pPr>
        <w:widowControl/>
        <w:spacing w:line="360" w:lineRule="auto"/>
        <w:ind w:left="301" w:right="227"/>
        <w:jc w:val="left"/>
        <w:rPr>
          <w:rFonts w:ascii="宋体" w:hAnsi="宋体" w:cs="Arial"/>
          <w:color w:val="auto"/>
          <w:kern w:val="0"/>
          <w:szCs w:val="21"/>
        </w:rPr>
      </w:pPr>
      <w:r>
        <w:rPr>
          <w:rFonts w:hint="eastAsia" w:ascii="宋体" w:hAnsi="宋体" w:cs="Arial"/>
          <w:color w:val="auto"/>
          <w:kern w:val="0"/>
          <w:szCs w:val="21"/>
        </w:rPr>
        <w:t>　　（5）财政部规定的其他条件。</w:t>
      </w:r>
    </w:p>
    <w:p w14:paraId="5A224272">
      <w:pPr>
        <w:widowControl/>
        <w:spacing w:line="360" w:lineRule="auto"/>
        <w:ind w:right="28"/>
        <w:jc w:val="left"/>
        <w:rPr>
          <w:rFonts w:ascii="宋体" w:hAnsi="宋体" w:cs="Arial"/>
          <w:color w:val="auto"/>
          <w:kern w:val="0"/>
          <w:szCs w:val="21"/>
        </w:rPr>
      </w:pPr>
      <w:r>
        <w:rPr>
          <w:rFonts w:hint="eastAsia" w:ascii="宋体" w:hAnsi="宋体" w:cs="Arial"/>
          <w:color w:val="auto"/>
          <w:kern w:val="0"/>
          <w:szCs w:val="21"/>
        </w:rPr>
        <w:t>　  13.2.5  投诉人投诉的事项不得超出已质疑事项的范围，但基于质疑答复内容提出的投诉事项除外。</w:t>
      </w:r>
    </w:p>
    <w:p w14:paraId="6173ED28">
      <w:pPr>
        <w:outlineLvl w:val="9"/>
        <w:rPr>
          <w:rFonts w:ascii="黑体" w:hAnsi="宋体"/>
          <w:b w:val="0"/>
          <w:color w:val="auto"/>
          <w:sz w:val="36"/>
          <w:szCs w:val="36"/>
        </w:rPr>
      </w:pPr>
      <w:bookmarkStart w:id="88" w:name="_Toc24910"/>
      <w:r>
        <w:rPr>
          <w:rFonts w:hint="eastAsia" w:ascii="黑体" w:hAnsi="宋体"/>
          <w:b w:val="0"/>
          <w:color w:val="auto"/>
          <w:sz w:val="36"/>
          <w:szCs w:val="36"/>
        </w:rPr>
        <w:t>13.其他</w:t>
      </w:r>
      <w:bookmarkEnd w:id="88"/>
    </w:p>
    <w:p w14:paraId="26F42FB2">
      <w:pPr>
        <w:spacing w:before="120" w:beforeLines="50" w:after="120" w:afterLines="50" w:line="360" w:lineRule="auto"/>
        <w:jc w:val="left"/>
        <w:rPr>
          <w:rFonts w:ascii="宋体" w:hAnsi="宋体"/>
          <w:b/>
          <w:color w:val="auto"/>
          <w:sz w:val="30"/>
          <w:szCs w:val="30"/>
        </w:rPr>
      </w:pPr>
      <w:r>
        <w:rPr>
          <w:rFonts w:hint="eastAsia" w:ascii="宋体" w:hAnsi="宋体"/>
          <w:b/>
          <w:color w:val="auto"/>
          <w:sz w:val="30"/>
          <w:szCs w:val="30"/>
        </w:rPr>
        <w:t>13.1成交供应商融资</w:t>
      </w:r>
    </w:p>
    <w:p w14:paraId="1003F907">
      <w:pPr>
        <w:spacing w:before="120" w:beforeLines="50" w:after="120" w:afterLines="50" w:line="360" w:lineRule="auto"/>
        <w:ind w:firstLine="420" w:firstLineChars="200"/>
        <w:jc w:val="left"/>
        <w:rPr>
          <w:rFonts w:ascii="宋体" w:hAnsi="宋体"/>
          <w:b/>
          <w:color w:val="auto"/>
          <w:sz w:val="30"/>
          <w:szCs w:val="30"/>
        </w:rPr>
      </w:pPr>
      <w:r>
        <w:rPr>
          <w:rFonts w:hint="eastAsia" w:ascii="宋体" w:hAnsi="宋体" w:cs="Helvetica"/>
          <w:color w:val="auto"/>
          <w:szCs w:val="21"/>
        </w:rPr>
        <w:t>本着</w:t>
      </w:r>
      <w:r>
        <w:rPr>
          <w:rFonts w:hint="eastAsia" w:ascii="宋体" w:hAnsi="宋体" w:cs="Helvetica"/>
          <w:color w:val="auto"/>
          <w:szCs w:val="21"/>
          <w:lang w:val="en"/>
        </w:rPr>
        <w:t xml:space="preserve"> “银企自愿，风险自担”的原则，</w:t>
      </w:r>
      <w:r>
        <w:rPr>
          <w:rFonts w:hint="eastAsia" w:ascii="宋体" w:hAnsi="宋体"/>
          <w:color w:val="auto"/>
          <w:szCs w:val="21"/>
        </w:rPr>
        <w:t>成交供应商为中小企业的可以自愿选择</w:t>
      </w:r>
      <w:r>
        <w:rPr>
          <w:rFonts w:ascii="宋体" w:hAnsi="宋体" w:cs="Helvetica"/>
          <w:color w:val="auto"/>
          <w:szCs w:val="21"/>
          <w:lang w:val="en"/>
        </w:rPr>
        <w:t>政府采购贷款</w:t>
      </w:r>
      <w:r>
        <w:rPr>
          <w:rFonts w:hint="eastAsia" w:ascii="宋体" w:hAnsi="宋体" w:cs="Helvetica"/>
          <w:color w:val="auto"/>
          <w:szCs w:val="21"/>
          <w:lang w:val="en"/>
        </w:rPr>
        <w:t>进行融资，通过“陕西省政府采购合同融资平台”（</w:t>
      </w:r>
      <w:r>
        <w:rPr>
          <w:rFonts w:ascii="宋体" w:hAnsi="宋体" w:cs="Helvetica"/>
          <w:color w:val="auto"/>
          <w:szCs w:val="21"/>
          <w:lang w:val="en"/>
        </w:rPr>
        <w:t>http://www.ccgp-shaanxi.gov.cn/</w:t>
      </w:r>
      <w:r>
        <w:rPr>
          <w:rFonts w:hint="eastAsia" w:ascii="宋体" w:hAnsi="宋体" w:cs="Helvetica"/>
          <w:color w:val="auto"/>
          <w:szCs w:val="21"/>
          <w:lang w:val="en"/>
        </w:rPr>
        <w:t>）实施。</w:t>
      </w:r>
    </w:p>
    <w:p w14:paraId="1ECEF643">
      <w:pPr>
        <w:spacing w:before="120" w:beforeLines="50" w:after="120" w:afterLines="50" w:line="360" w:lineRule="auto"/>
        <w:jc w:val="left"/>
        <w:rPr>
          <w:rFonts w:ascii="宋体" w:hAnsi="宋体"/>
          <w:b/>
          <w:color w:val="auto"/>
          <w:sz w:val="30"/>
          <w:szCs w:val="30"/>
        </w:rPr>
      </w:pPr>
      <w:r>
        <w:rPr>
          <w:rFonts w:hint="eastAsia" w:ascii="宋体" w:hAnsi="宋体"/>
          <w:b/>
          <w:color w:val="auto"/>
          <w:sz w:val="30"/>
          <w:szCs w:val="30"/>
        </w:rPr>
        <w:t>13.2陕西省中小企业政府采购信用融资办法及说明</w:t>
      </w:r>
    </w:p>
    <w:p w14:paraId="34288103">
      <w:pPr>
        <w:spacing w:line="360" w:lineRule="auto"/>
        <w:jc w:val="center"/>
        <w:rPr>
          <w:rFonts w:ascii="宋体" w:hAnsi="宋体" w:cs="宋体"/>
          <w:b/>
          <w:bCs/>
          <w:color w:val="auto"/>
          <w:sz w:val="24"/>
        </w:rPr>
      </w:pPr>
      <w:r>
        <w:rPr>
          <w:rFonts w:hint="eastAsia" w:ascii="宋体" w:hAnsi="宋体" w:cs="宋体"/>
          <w:b/>
          <w:bCs/>
          <w:color w:val="auto"/>
          <w:sz w:val="24"/>
        </w:rPr>
        <w:t>陕西省中小企业政府采购信用融资办法</w:t>
      </w:r>
    </w:p>
    <w:p w14:paraId="6A9B41B3">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第一条 为进一步贯彻落实国务院和我省关于支持中小企业发展的政策措施，发挥政府采购政策导向作用，充分利用信息化技术，通过搭建信息对称、相互对接的平台，有效缓解中小企业融资难、融资贵问题。根据《政府采购法》以及《政府采购促进中小企业发展暂行办法》等有关规定，结合本省实际，制定本办法。</w:t>
      </w:r>
    </w:p>
    <w:p w14:paraId="034F8AED">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第二条  本办法所称“中小企业”包括中型、小型及微型企业，其划型标准按照《关于印发中小企业划型标准规定的通知》（工信部联企业〔2011〕300号）规定执行。</w:t>
      </w:r>
    </w:p>
    <w:p w14:paraId="1D6384C3">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第三条  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53128AF7">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第四条 开展政府采购信用融资的银行，应当为在陕西省境内注册或设立分支机构，并经财政部门审核且在我省政府采购信息系统搭建服务链接窗口的金融机构。</w:t>
      </w:r>
    </w:p>
    <w:p w14:paraId="46831811">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第五条 政府采购信用融资应当坚持“财政引导，市场运行，银企自愿，互惠共赢”的原则。</w:t>
      </w:r>
    </w:p>
    <w:p w14:paraId="61C3B463">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第六条 省财政厅以全省统一的电子化政府采购系统为平台，对接银行信息化系统，推进政府采购中标成交信息、合同信息、融资信息、支付信息和信用信息等信息资源共享。</w:t>
      </w:r>
    </w:p>
    <w:p w14:paraId="34F29387">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第七条 各级财政部门应当以政府采购诚信考核和信息化建设为基础，积极为中小企业信用融资搭建平台，提供银企对接的机会和相关的服务支持，但不得为相关贷款项目提供任何形式的担保。</w:t>
      </w:r>
    </w:p>
    <w:p w14:paraId="3ADF1C90">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第八条 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45818EAB">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第九条 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2EAF8B75">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第十条 银行为参与政府采购融资的中小企业提供的产品，应以信用贷款为主，贷款利率应当优于一般中小企业的贷款利率水平，并将产品信息（包括贷款发放条件、利率优惠、贷款金额）等在陕西政府采购网予以展示。</w:t>
      </w:r>
    </w:p>
    <w:p w14:paraId="2A4F3912">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第十一条 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99ED3C3">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第十二条 银行应按规定对申请信用融资的供应商的政府采购合同信息进行审查，必要时可通过陕西政府采购网对该政府采购合同进行审核，以确保政府采购合同的真实性和有效性。</w:t>
      </w:r>
    </w:p>
    <w:p w14:paraId="58016065">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第十三条 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636F6819">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第十四条 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40042F4D">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第十五条 省本级政府采购资金支付时，各采购单位必须将采购资金支付到备案合同中指定的融资银行及收款账号，以保障贷款资金的安全回收。</w:t>
      </w:r>
    </w:p>
    <w:p w14:paraId="5EC2882E">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第十六条 各市县操作程序由各地结合本地实际自行拟定，但应当体现“便捷高效、监管有效、风险可控”的原则。</w:t>
      </w:r>
    </w:p>
    <w:p w14:paraId="19E6A8DE">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第十七条 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178E0813">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第十八条 本办法由陕西省财政厅负责解释。</w:t>
      </w:r>
    </w:p>
    <w:p w14:paraId="6462F3BC">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供应商融资申请操作手册</w:t>
      </w:r>
    </w:p>
    <w:p w14:paraId="3B0B410E">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政府采购合同融资是指在地方财政部门引导下，参与政府采购中标（成交）的供应商可凭政府采购合同向银行申请信用融资，银行按优于一般中小企业贷款利率发放贷款的融资模式。这种融资模式以国库集中支付作为履约保障的政府采购合同为基础，借力政府采购诚信保障，提供了银企对接的机会，缓解了企业融资困境。</w:t>
      </w:r>
    </w:p>
    <w:p w14:paraId="2594BD56">
      <w:pPr>
        <w:autoSpaceDE w:val="0"/>
        <w:autoSpaceDN w:val="0"/>
        <w:adjustRightInd w:val="0"/>
        <w:spacing w:line="460" w:lineRule="exact"/>
        <w:ind w:right="6" w:firstLine="420" w:firstLineChars="200"/>
        <w:rPr>
          <w:color w:val="auto"/>
        </w:rPr>
      </w:pPr>
      <w:r>
        <w:rPr>
          <w:rFonts w:hint="eastAsia" w:ascii="宋体" w:hAnsi="宋体" w:cs="宋体"/>
          <w:color w:val="auto"/>
        </w:rPr>
        <w:t>政府采购合同融资申请获批的必要条件是，供应商将意向申请银行指定的资金受监管账户签入采购合同，获得银行认可，以保障银行回收贷款路径安全。企业可在签署采购合同前完成在意向申请银行开户，并将开户账号签入采购合同作为唯一收款账户；如申请融资时已签署采购合同的，企业应将意向申请银行开户账号通过采购合同变更的方式，将开户账号签入采购合同作为唯一收款账户，无论哪种情况，最终的采购合同都需要获得银行的认可，才能获得银行的正式授信。</w:t>
      </w:r>
    </w:p>
    <w:p w14:paraId="41CA9EBB">
      <w:pPr>
        <w:autoSpaceDE w:val="0"/>
        <w:autoSpaceDN w:val="0"/>
        <w:adjustRightInd w:val="0"/>
        <w:spacing w:line="460" w:lineRule="exact"/>
        <w:ind w:right="6" w:firstLine="420" w:firstLineChars="200"/>
        <w:rPr>
          <w:color w:val="auto"/>
        </w:rPr>
      </w:pPr>
      <w:r>
        <w:rPr>
          <w:rFonts w:hint="eastAsia" w:ascii="宋体" w:hAnsi="宋体" w:cs="宋体"/>
          <w:color w:val="auto"/>
        </w:rPr>
        <w:t>办理平台（http://www.ccgp-shaanxi.gov.cn/zcdservice/zcd/shanxi/）</w:t>
      </w:r>
    </w:p>
    <w:p w14:paraId="45EAF366">
      <w:pPr>
        <w:autoSpaceDE w:val="0"/>
        <w:autoSpaceDN w:val="0"/>
        <w:adjustRightInd w:val="0"/>
        <w:spacing w:line="460" w:lineRule="exact"/>
        <w:ind w:right="6" w:firstLine="420" w:firstLineChars="200"/>
        <w:rPr>
          <w:rFonts w:ascii="宋体" w:hAnsi="宋体" w:cs="宋体"/>
          <w:color w:val="auto"/>
        </w:rPr>
      </w:pPr>
      <w:r>
        <w:rPr>
          <w:rFonts w:hint="eastAsia" w:ascii="宋体" w:hAnsi="宋体" w:cs="宋体"/>
          <w:color w:val="auto"/>
        </w:rPr>
        <w:t>中标人申请信用融资时，提供政府采购中标（成交）通知书、合同、融资等信息；具体按照陕西省财政厅关于印发《陕西省中小企业政府采购信用融资办法》（陕财办采〔2018〕23号）及陕西省财政厅《关于加快推进我省中小企业政府采购信用融资工作的通知》（陕财办采〔2020〕15 号）文件规定的程序申请办理，具体规定可登陆陕西省政府采购网(www.ccgp-shaanxi.gov.cn)重要通知专栏中查询了解。</w:t>
      </w:r>
    </w:p>
    <w:p w14:paraId="19B3F39B">
      <w:pPr>
        <w:widowControl/>
        <w:jc w:val="left"/>
        <w:rPr>
          <w:color w:val="auto"/>
        </w:rPr>
      </w:pPr>
    </w:p>
    <w:p w14:paraId="06089DFF">
      <w:pPr>
        <w:rPr>
          <w:color w:val="auto"/>
        </w:rPr>
      </w:pPr>
      <w:r>
        <w:rPr>
          <w:color w:val="auto"/>
        </w:rPr>
        <w:drawing>
          <wp:anchor distT="0" distB="0" distL="114935" distR="114935" simplePos="0" relativeHeight="251659264" behindDoc="1" locked="0" layoutInCell="1" allowOverlap="1">
            <wp:simplePos x="0" y="0"/>
            <wp:positionH relativeFrom="column">
              <wp:posOffset>730885</wp:posOffset>
            </wp:positionH>
            <wp:positionV relativeFrom="paragraph">
              <wp:posOffset>149860</wp:posOffset>
            </wp:positionV>
            <wp:extent cx="4554855" cy="2647315"/>
            <wp:effectExtent l="0" t="0" r="36195" b="57785"/>
            <wp:wrapThrough wrapText="bothSides">
              <wp:wrapPolygon>
                <wp:start x="0" y="0"/>
                <wp:lineTo x="0" y="21450"/>
                <wp:lineTo x="21501" y="21450"/>
                <wp:lineTo x="21501" y="0"/>
                <wp:lineTo x="0" y="0"/>
              </wp:wrapPolygon>
            </wp:wrapThrough>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pic:cNvPicPr>
                      <a:picLocks noChangeAspect="1"/>
                    </pic:cNvPicPr>
                  </pic:nvPicPr>
                  <pic:blipFill>
                    <a:blip r:embed="rId19"/>
                    <a:stretch>
                      <a:fillRect/>
                    </a:stretch>
                  </pic:blipFill>
                  <pic:spPr>
                    <a:xfrm>
                      <a:off x="0" y="0"/>
                      <a:ext cx="4554855" cy="2647315"/>
                    </a:xfrm>
                    <a:prstGeom prst="rect">
                      <a:avLst/>
                    </a:prstGeom>
                    <a:noFill/>
                    <a:ln>
                      <a:noFill/>
                    </a:ln>
                  </pic:spPr>
                </pic:pic>
              </a:graphicData>
            </a:graphic>
          </wp:anchor>
        </w:drawing>
      </w:r>
    </w:p>
    <w:p w14:paraId="4D28D85F">
      <w:pPr>
        <w:widowControl/>
        <w:jc w:val="left"/>
        <w:rPr>
          <w:color w:val="auto"/>
        </w:rPr>
      </w:pPr>
      <w:r>
        <w:rPr>
          <w:color w:val="auto"/>
        </w:rPr>
        <w:t>业务流程简图如下：</w:t>
      </w:r>
    </w:p>
    <w:p w14:paraId="73C79E05">
      <w:pPr>
        <w:widowControl/>
        <w:jc w:val="left"/>
        <w:rPr>
          <w:color w:val="auto"/>
        </w:rPr>
      </w:pPr>
      <w:r>
        <w:rPr>
          <w:color w:val="auto"/>
        </w:rPr>
        <w:br w:type="page"/>
      </w:r>
    </w:p>
    <w:p w14:paraId="53987464">
      <w:pPr>
        <w:pStyle w:val="11"/>
        <w:rPr>
          <w:color w:val="auto"/>
        </w:rPr>
      </w:pPr>
      <w:r>
        <w:rPr>
          <w:rFonts w:ascii="Segoe UI" w:hAnsi="Segoe UI" w:eastAsia="Segoe UI" w:cs="Segoe UI"/>
          <w:b/>
          <w:bCs/>
          <w:color w:val="auto"/>
          <w:sz w:val="24"/>
          <w:szCs w:val="24"/>
          <w:shd w:val="clear" w:color="auto" w:fill="FFFFFF"/>
        </w:rPr>
        <w:t>陕西省政府采购支持中小企业信用融资合作银行</w:t>
      </w:r>
      <w:r>
        <w:rPr>
          <w:rFonts w:hint="eastAsia" w:ascii="Segoe UI" w:hAnsi="Segoe UI" w:cs="Segoe UI"/>
          <w:b/>
          <w:bCs/>
          <w:color w:val="auto"/>
          <w:sz w:val="24"/>
          <w:szCs w:val="24"/>
          <w:shd w:val="clear" w:color="auto" w:fill="FFFFFF"/>
        </w:rPr>
        <w:t>目录（参考）</w:t>
      </w:r>
    </w:p>
    <w:p w14:paraId="07621BA8">
      <w:pPr>
        <w:jc w:val="left"/>
        <w:rPr>
          <w:color w:val="auto"/>
        </w:rPr>
      </w:pPr>
    </w:p>
    <w:tbl>
      <w:tblPr>
        <w:tblStyle w:val="22"/>
        <w:tblW w:w="9417" w:type="dxa"/>
        <w:jc w:val="center"/>
        <w:shd w:val="clear" w:color="auto" w:fill="FFFFFF"/>
        <w:tblLayout w:type="autofit"/>
        <w:tblCellMar>
          <w:top w:w="0" w:type="dxa"/>
          <w:left w:w="0" w:type="dxa"/>
          <w:bottom w:w="0" w:type="dxa"/>
          <w:right w:w="0" w:type="dxa"/>
        </w:tblCellMar>
      </w:tblPr>
      <w:tblGrid>
        <w:gridCol w:w="722"/>
        <w:gridCol w:w="1539"/>
        <w:gridCol w:w="3061"/>
        <w:gridCol w:w="1708"/>
        <w:gridCol w:w="2387"/>
      </w:tblGrid>
      <w:tr w14:paraId="593D72B3">
        <w:tblPrEx>
          <w:shd w:val="clear" w:color="auto" w:fill="FFFFFF"/>
          <w:tblCellMar>
            <w:top w:w="0" w:type="dxa"/>
            <w:left w:w="0" w:type="dxa"/>
            <w:bottom w:w="0" w:type="dxa"/>
            <w:right w:w="0" w:type="dxa"/>
          </w:tblCellMar>
        </w:tblPrEx>
        <w:trPr>
          <w:trHeight w:val="47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1AC3CC2">
            <w:pPr>
              <w:widowControl/>
              <w:jc w:val="center"/>
              <w:rPr>
                <w:rFonts w:ascii="宋体" w:hAnsi="宋体" w:cs="宋体"/>
                <w:color w:val="auto"/>
                <w:kern w:val="0"/>
                <w:szCs w:val="21"/>
              </w:rPr>
            </w:pPr>
            <w:r>
              <w:rPr>
                <w:rFonts w:hint="eastAsia" w:ascii="宋体" w:hAnsi="宋体" w:cs="宋体"/>
                <w:color w:val="auto"/>
                <w:kern w:val="0"/>
                <w:szCs w:val="21"/>
              </w:rPr>
              <w:t>序号</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84F6420">
            <w:pPr>
              <w:widowControl/>
              <w:jc w:val="center"/>
              <w:rPr>
                <w:rFonts w:ascii="宋体" w:hAnsi="宋体" w:cs="宋体"/>
                <w:color w:val="auto"/>
                <w:kern w:val="0"/>
                <w:szCs w:val="21"/>
              </w:rPr>
            </w:pPr>
            <w:r>
              <w:rPr>
                <w:rFonts w:hint="eastAsia" w:ascii="宋体" w:hAnsi="宋体" w:cs="宋体"/>
                <w:color w:val="auto"/>
                <w:kern w:val="0"/>
                <w:szCs w:val="21"/>
              </w:rPr>
              <w:t>银行名称</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4C9A23A">
            <w:pPr>
              <w:widowControl/>
              <w:jc w:val="center"/>
              <w:rPr>
                <w:rFonts w:ascii="宋体" w:hAnsi="宋体" w:cs="宋体"/>
                <w:color w:val="auto"/>
                <w:kern w:val="0"/>
                <w:szCs w:val="21"/>
              </w:rPr>
            </w:pPr>
            <w:r>
              <w:rPr>
                <w:rFonts w:hint="eastAsia" w:ascii="宋体" w:hAnsi="宋体" w:cs="宋体"/>
                <w:color w:val="auto"/>
                <w:kern w:val="0"/>
                <w:szCs w:val="21"/>
              </w:rPr>
              <w:t>授信额度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41DE3DC">
            <w:pPr>
              <w:widowControl/>
              <w:jc w:val="center"/>
              <w:rPr>
                <w:rFonts w:ascii="宋体" w:hAnsi="宋体" w:cs="宋体"/>
                <w:color w:val="auto"/>
                <w:kern w:val="0"/>
                <w:szCs w:val="21"/>
              </w:rPr>
            </w:pPr>
            <w:r>
              <w:rPr>
                <w:rFonts w:hint="eastAsia" w:ascii="宋体" w:hAnsi="宋体" w:cs="宋体"/>
                <w:color w:val="auto"/>
                <w:kern w:val="0"/>
                <w:szCs w:val="21"/>
              </w:rPr>
              <w:t>贷款期限</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3BC45D7">
            <w:pPr>
              <w:widowControl/>
              <w:jc w:val="center"/>
              <w:rPr>
                <w:rFonts w:ascii="宋体" w:hAnsi="宋体" w:cs="宋体"/>
                <w:color w:val="auto"/>
                <w:kern w:val="0"/>
                <w:szCs w:val="21"/>
              </w:rPr>
            </w:pPr>
            <w:r>
              <w:rPr>
                <w:rFonts w:hint="eastAsia" w:ascii="宋体" w:hAnsi="宋体" w:cs="宋体"/>
                <w:color w:val="auto"/>
                <w:kern w:val="0"/>
                <w:szCs w:val="21"/>
              </w:rPr>
              <w:t>贷款利率</w:t>
            </w:r>
          </w:p>
        </w:tc>
      </w:tr>
      <w:tr w14:paraId="486EC8AD">
        <w:tblPrEx>
          <w:shd w:val="clear" w:color="auto" w:fill="FFFFFF"/>
          <w:tblCellMar>
            <w:top w:w="0" w:type="dxa"/>
            <w:left w:w="0" w:type="dxa"/>
            <w:bottom w:w="0" w:type="dxa"/>
            <w:right w:w="0" w:type="dxa"/>
          </w:tblCellMar>
        </w:tblPrEx>
        <w:trPr>
          <w:trHeight w:val="171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98175C7">
            <w:pPr>
              <w:widowControl/>
              <w:jc w:val="center"/>
              <w:rPr>
                <w:rFonts w:ascii="宋体" w:hAnsi="宋体" w:cs="宋体"/>
                <w:color w:val="auto"/>
                <w:kern w:val="0"/>
                <w:szCs w:val="21"/>
              </w:rPr>
            </w:pPr>
            <w:r>
              <w:rPr>
                <w:rFonts w:hint="eastAsia" w:ascii="宋体" w:hAnsi="宋体" w:cs="宋体"/>
                <w:color w:val="auto"/>
                <w:kern w:val="0"/>
                <w:szCs w:val="21"/>
              </w:rPr>
              <w:t>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1B92A9">
            <w:pPr>
              <w:widowControl/>
              <w:jc w:val="left"/>
              <w:rPr>
                <w:rFonts w:ascii="宋体" w:hAnsi="宋体" w:cs="宋体"/>
                <w:color w:val="auto"/>
                <w:kern w:val="0"/>
                <w:szCs w:val="21"/>
              </w:rPr>
            </w:pPr>
            <w:r>
              <w:rPr>
                <w:rFonts w:hint="eastAsia" w:ascii="宋体" w:hAnsi="宋体" w:cs="宋体"/>
                <w:color w:val="auto"/>
                <w:kern w:val="0"/>
                <w:szCs w:val="21"/>
              </w:rPr>
              <w:t>上海浦东发展银行股份有限公司西安分行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8C84FD7">
            <w:pPr>
              <w:widowControl/>
              <w:jc w:val="left"/>
              <w:rPr>
                <w:rFonts w:ascii="宋体" w:hAnsi="宋体" w:cs="宋体"/>
                <w:color w:val="auto"/>
                <w:kern w:val="0"/>
                <w:szCs w:val="21"/>
              </w:rPr>
            </w:pPr>
            <w:r>
              <w:rPr>
                <w:rFonts w:hint="eastAsia" w:ascii="宋体" w:hAnsi="宋体" w:cs="宋体"/>
                <w:color w:val="auto"/>
                <w:kern w:val="0"/>
                <w:szCs w:val="21"/>
              </w:rPr>
              <w:t>融资申请人为公司的额度不低于300万元；</w:t>
            </w:r>
          </w:p>
          <w:p w14:paraId="21CD4A54">
            <w:pPr>
              <w:widowControl/>
              <w:jc w:val="left"/>
              <w:rPr>
                <w:rFonts w:ascii="宋体" w:hAnsi="宋体" w:cs="宋体"/>
                <w:color w:val="auto"/>
                <w:kern w:val="0"/>
                <w:szCs w:val="21"/>
              </w:rPr>
            </w:pPr>
            <w:r>
              <w:rPr>
                <w:rFonts w:hint="eastAsia" w:ascii="宋体" w:hAnsi="宋体" w:cs="宋体"/>
                <w:color w:val="auto"/>
                <w:kern w:val="0"/>
                <w:szCs w:val="21"/>
              </w:rPr>
              <w:t>融资申请人为个人的，额度不高于（含）300万元；</w:t>
            </w:r>
          </w:p>
          <w:p w14:paraId="3025C8D2">
            <w:pPr>
              <w:widowControl/>
              <w:jc w:val="left"/>
              <w:rPr>
                <w:rFonts w:ascii="宋体" w:hAnsi="宋体" w:cs="宋体"/>
                <w:color w:val="auto"/>
                <w:kern w:val="0"/>
                <w:szCs w:val="21"/>
              </w:rPr>
            </w:pPr>
            <w:r>
              <w:rPr>
                <w:rFonts w:hint="eastAsia" w:ascii="宋体" w:hAnsi="宋体" w:cs="宋体"/>
                <w:color w:val="auto"/>
                <w:kern w:val="0"/>
                <w:szCs w:val="21"/>
              </w:rPr>
              <w:t>单笔额度不高于订单金额的70%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A9C9995">
            <w:pPr>
              <w:widowControl/>
              <w:jc w:val="left"/>
              <w:rPr>
                <w:rFonts w:ascii="宋体" w:hAnsi="宋体" w:cs="宋体"/>
                <w:color w:val="auto"/>
                <w:kern w:val="0"/>
                <w:szCs w:val="21"/>
              </w:rPr>
            </w:pPr>
            <w:r>
              <w:rPr>
                <w:rFonts w:hint="eastAsia" w:ascii="宋体" w:hAnsi="宋体" w:cs="宋体"/>
                <w:color w:val="auto"/>
                <w:kern w:val="0"/>
                <w:szCs w:val="21"/>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FD90F8">
            <w:pPr>
              <w:widowControl/>
              <w:jc w:val="left"/>
              <w:rPr>
                <w:rFonts w:ascii="宋体" w:hAnsi="宋体" w:cs="宋体"/>
                <w:color w:val="auto"/>
                <w:kern w:val="0"/>
                <w:szCs w:val="21"/>
              </w:rPr>
            </w:pPr>
            <w:r>
              <w:rPr>
                <w:rFonts w:hint="eastAsia" w:ascii="宋体" w:hAnsi="宋体" w:cs="宋体"/>
                <w:color w:val="auto"/>
                <w:kern w:val="0"/>
                <w:szCs w:val="21"/>
              </w:rPr>
              <w:t>1、不超过中小企业同期市场利率水平2、利率浮动区间（1年期LPR-1年期LPR+194bps）</w:t>
            </w:r>
          </w:p>
        </w:tc>
      </w:tr>
      <w:tr w14:paraId="32274870">
        <w:tblPrEx>
          <w:shd w:val="clear" w:color="auto" w:fill="FFFFFF"/>
          <w:tblCellMar>
            <w:top w:w="0" w:type="dxa"/>
            <w:left w:w="0" w:type="dxa"/>
            <w:bottom w:w="0" w:type="dxa"/>
            <w:right w:w="0" w:type="dxa"/>
          </w:tblCellMar>
        </w:tblPrEx>
        <w:trPr>
          <w:trHeight w:val="118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EDA1748">
            <w:pPr>
              <w:widowControl/>
              <w:jc w:val="center"/>
              <w:rPr>
                <w:rFonts w:ascii="宋体" w:hAnsi="宋体" w:cs="宋体"/>
                <w:color w:val="auto"/>
                <w:kern w:val="0"/>
                <w:szCs w:val="21"/>
              </w:rPr>
            </w:pPr>
            <w:r>
              <w:rPr>
                <w:rFonts w:hint="eastAsia" w:ascii="宋体" w:hAnsi="宋体" w:cs="宋体"/>
                <w:color w:val="auto"/>
                <w:kern w:val="0"/>
                <w:szCs w:val="21"/>
              </w:rPr>
              <w:t>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B446E5">
            <w:pPr>
              <w:widowControl/>
              <w:jc w:val="left"/>
              <w:rPr>
                <w:rFonts w:ascii="宋体" w:hAnsi="宋体" w:cs="宋体"/>
                <w:color w:val="auto"/>
                <w:kern w:val="0"/>
                <w:szCs w:val="21"/>
              </w:rPr>
            </w:pPr>
            <w:r>
              <w:rPr>
                <w:rFonts w:hint="eastAsia" w:ascii="宋体" w:hAnsi="宋体" w:cs="宋体"/>
                <w:color w:val="auto"/>
                <w:kern w:val="0"/>
                <w:szCs w:val="21"/>
              </w:rPr>
              <w:t>中国建设银行陕西省分行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5216F4E">
            <w:pPr>
              <w:widowControl/>
              <w:jc w:val="left"/>
              <w:rPr>
                <w:rFonts w:ascii="宋体" w:hAnsi="宋体" w:cs="宋体"/>
                <w:color w:val="auto"/>
                <w:kern w:val="0"/>
                <w:szCs w:val="21"/>
              </w:rPr>
            </w:pPr>
            <w:r>
              <w:rPr>
                <w:rFonts w:hint="eastAsia" w:ascii="宋体" w:hAnsi="宋体" w:cs="宋体"/>
                <w:color w:val="auto"/>
                <w:kern w:val="0"/>
                <w:szCs w:val="21"/>
              </w:rPr>
              <w:t>根据单笔政府采购合同金额核定，最高融资金额为合同金额的90%</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3D1BC23">
            <w:pPr>
              <w:widowControl/>
              <w:jc w:val="left"/>
              <w:rPr>
                <w:rFonts w:ascii="宋体" w:hAnsi="宋体" w:cs="宋体"/>
                <w:color w:val="auto"/>
                <w:kern w:val="0"/>
                <w:szCs w:val="21"/>
              </w:rPr>
            </w:pPr>
            <w:r>
              <w:rPr>
                <w:rFonts w:hint="eastAsia" w:ascii="宋体" w:hAnsi="宋体" w:cs="宋体"/>
                <w:color w:val="auto"/>
                <w:kern w:val="0"/>
                <w:szCs w:val="21"/>
              </w:rPr>
              <w:t>最长不超月或（360）天或（12）个月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2A9D207">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p w14:paraId="7B2EEEE1">
            <w:pPr>
              <w:widowControl/>
              <w:jc w:val="left"/>
              <w:rPr>
                <w:rFonts w:ascii="宋体" w:hAnsi="宋体" w:cs="宋体"/>
                <w:color w:val="auto"/>
                <w:kern w:val="0"/>
                <w:szCs w:val="21"/>
              </w:rPr>
            </w:pPr>
            <w:r>
              <w:rPr>
                <w:rFonts w:hint="eastAsia" w:ascii="宋体" w:hAnsi="宋体" w:cs="宋体"/>
                <w:color w:val="auto"/>
                <w:kern w:val="0"/>
                <w:szCs w:val="21"/>
              </w:rPr>
              <w:t>2、利率浮动区间（4.5%-5%）</w:t>
            </w:r>
          </w:p>
        </w:tc>
      </w:tr>
      <w:tr w14:paraId="0E48AAE8">
        <w:tblPrEx>
          <w:shd w:val="clear" w:color="auto" w:fill="FFFFFF"/>
          <w:tblCellMar>
            <w:top w:w="0" w:type="dxa"/>
            <w:left w:w="0" w:type="dxa"/>
            <w:bottom w:w="0" w:type="dxa"/>
            <w:right w:w="0" w:type="dxa"/>
          </w:tblCellMar>
        </w:tblPrEx>
        <w:trPr>
          <w:trHeight w:val="11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6056305">
            <w:pPr>
              <w:widowControl/>
              <w:jc w:val="center"/>
              <w:rPr>
                <w:rFonts w:ascii="宋体" w:hAnsi="宋体" w:cs="宋体"/>
                <w:color w:val="auto"/>
                <w:kern w:val="0"/>
                <w:szCs w:val="21"/>
              </w:rPr>
            </w:pPr>
            <w:r>
              <w:rPr>
                <w:rFonts w:hint="eastAsia" w:ascii="宋体" w:hAnsi="宋体" w:cs="宋体"/>
                <w:color w:val="auto"/>
                <w:kern w:val="0"/>
                <w:szCs w:val="21"/>
              </w:rPr>
              <w:t>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AD83BB">
            <w:pPr>
              <w:widowControl/>
              <w:jc w:val="left"/>
              <w:rPr>
                <w:rFonts w:ascii="宋体" w:hAnsi="宋体" w:cs="宋体"/>
                <w:color w:val="auto"/>
                <w:kern w:val="0"/>
                <w:szCs w:val="21"/>
              </w:rPr>
            </w:pPr>
            <w:r>
              <w:rPr>
                <w:rFonts w:hint="eastAsia" w:ascii="宋体" w:hAnsi="宋体" w:cs="宋体"/>
                <w:color w:val="auto"/>
                <w:kern w:val="0"/>
                <w:szCs w:val="21"/>
              </w:rPr>
              <w:t>中国光大银行股份有限公司西安分行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BB365B5">
            <w:pPr>
              <w:widowControl/>
              <w:jc w:val="left"/>
              <w:rPr>
                <w:rFonts w:ascii="宋体" w:hAnsi="宋体" w:cs="宋体"/>
                <w:color w:val="auto"/>
                <w:kern w:val="0"/>
                <w:szCs w:val="21"/>
              </w:rPr>
            </w:pPr>
            <w:r>
              <w:rPr>
                <w:rFonts w:hint="eastAsia" w:ascii="宋体" w:hAnsi="宋体" w:cs="宋体"/>
                <w:color w:val="auto"/>
                <w:kern w:val="0"/>
                <w:szCs w:val="21"/>
              </w:rPr>
              <w:t>原则上单户贷款金额最高不超过1000万元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BA8871F">
            <w:pPr>
              <w:widowControl/>
              <w:jc w:val="left"/>
              <w:rPr>
                <w:rFonts w:ascii="宋体" w:hAnsi="宋体" w:cs="宋体"/>
                <w:color w:val="auto"/>
                <w:kern w:val="0"/>
                <w:szCs w:val="21"/>
              </w:rPr>
            </w:pPr>
            <w:r>
              <w:rPr>
                <w:rFonts w:hint="eastAsia" w:ascii="宋体" w:hAnsi="宋体" w:cs="宋体"/>
                <w:color w:val="auto"/>
                <w:kern w:val="0"/>
                <w:szCs w:val="21"/>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6000469">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5F8E470D">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6AB0184">
            <w:pPr>
              <w:widowControl/>
              <w:jc w:val="center"/>
              <w:rPr>
                <w:rFonts w:ascii="宋体" w:hAnsi="宋体" w:cs="宋体"/>
                <w:color w:val="auto"/>
                <w:kern w:val="0"/>
                <w:szCs w:val="21"/>
              </w:rPr>
            </w:pPr>
            <w:r>
              <w:rPr>
                <w:rFonts w:hint="eastAsia" w:ascii="宋体" w:hAnsi="宋体" w:cs="宋体"/>
                <w:color w:val="auto"/>
                <w:kern w:val="0"/>
                <w:szCs w:val="21"/>
              </w:rPr>
              <w:t>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08CE00A">
            <w:pPr>
              <w:widowControl/>
              <w:jc w:val="left"/>
              <w:rPr>
                <w:rFonts w:ascii="宋体" w:hAnsi="宋体" w:cs="宋体"/>
                <w:color w:val="auto"/>
                <w:kern w:val="0"/>
                <w:szCs w:val="21"/>
              </w:rPr>
            </w:pPr>
            <w:r>
              <w:rPr>
                <w:rFonts w:hint="eastAsia" w:ascii="宋体" w:hAnsi="宋体" w:cs="宋体"/>
                <w:color w:val="auto"/>
                <w:kern w:val="0"/>
                <w:szCs w:val="21"/>
              </w:rPr>
              <w:t>中信银行股份有限公司西安分行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F627B44">
            <w:pPr>
              <w:widowControl/>
              <w:jc w:val="left"/>
              <w:rPr>
                <w:rFonts w:ascii="宋体" w:hAnsi="宋体" w:cs="宋体"/>
                <w:color w:val="auto"/>
                <w:kern w:val="0"/>
                <w:szCs w:val="21"/>
              </w:rPr>
            </w:pPr>
            <w:r>
              <w:rPr>
                <w:rFonts w:hint="eastAsia" w:ascii="宋体" w:hAnsi="宋体" w:cs="宋体"/>
                <w:color w:val="auto"/>
                <w:kern w:val="0"/>
                <w:szCs w:val="21"/>
              </w:rPr>
              <w:t>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AF7703F">
            <w:pPr>
              <w:widowControl/>
              <w:jc w:val="left"/>
              <w:rPr>
                <w:rFonts w:ascii="宋体" w:hAnsi="宋体" w:cs="宋体"/>
                <w:color w:val="auto"/>
                <w:kern w:val="0"/>
                <w:szCs w:val="21"/>
              </w:rPr>
            </w:pPr>
            <w:r>
              <w:rPr>
                <w:rFonts w:hint="eastAsia" w:ascii="宋体" w:hAnsi="宋体" w:cs="宋体"/>
                <w:color w:val="auto"/>
                <w:kern w:val="0"/>
                <w:szCs w:val="21"/>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1C6A8A">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42032E60">
        <w:tblPrEx>
          <w:shd w:val="clear" w:color="auto" w:fill="FFFFFF"/>
          <w:tblCellMar>
            <w:top w:w="0" w:type="dxa"/>
            <w:left w:w="0" w:type="dxa"/>
            <w:bottom w:w="0" w:type="dxa"/>
            <w:right w:w="0" w:type="dxa"/>
          </w:tblCellMar>
        </w:tblPrEx>
        <w:trPr>
          <w:trHeight w:val="225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AC60B3A">
            <w:pPr>
              <w:widowControl/>
              <w:jc w:val="center"/>
              <w:rPr>
                <w:rFonts w:ascii="宋体" w:hAnsi="宋体" w:cs="宋体"/>
                <w:color w:val="auto"/>
                <w:kern w:val="0"/>
                <w:szCs w:val="21"/>
              </w:rPr>
            </w:pPr>
            <w:r>
              <w:rPr>
                <w:rFonts w:hint="eastAsia" w:ascii="宋体" w:hAnsi="宋体" w:cs="宋体"/>
                <w:color w:val="auto"/>
                <w:kern w:val="0"/>
                <w:szCs w:val="21"/>
              </w:rPr>
              <w:t>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904883F">
            <w:pPr>
              <w:widowControl/>
              <w:jc w:val="left"/>
              <w:rPr>
                <w:rFonts w:ascii="宋体" w:hAnsi="宋体" w:cs="宋体"/>
                <w:color w:val="auto"/>
                <w:kern w:val="0"/>
                <w:szCs w:val="21"/>
              </w:rPr>
            </w:pPr>
            <w:r>
              <w:rPr>
                <w:rFonts w:hint="eastAsia" w:ascii="宋体" w:hAnsi="宋体" w:cs="宋体"/>
                <w:color w:val="auto"/>
                <w:kern w:val="0"/>
                <w:szCs w:val="21"/>
              </w:rPr>
              <w:t>北京银行股份有限公司西安分行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6DE5DF2">
            <w:pPr>
              <w:widowControl/>
              <w:jc w:val="left"/>
              <w:rPr>
                <w:rFonts w:ascii="宋体" w:hAnsi="宋体" w:cs="宋体"/>
                <w:color w:val="auto"/>
                <w:kern w:val="0"/>
                <w:szCs w:val="21"/>
              </w:rPr>
            </w:pPr>
            <w:r>
              <w:rPr>
                <w:rFonts w:hint="eastAsia" w:ascii="宋体" w:hAnsi="宋体" w:cs="宋体"/>
                <w:color w:val="auto"/>
                <w:kern w:val="0"/>
                <w:szCs w:val="21"/>
              </w:rPr>
              <w:t>不超过1000万元，我行依据中标供应商通过政府公开招投标程序中中标并执行的采购合同，通常提供不超过采购资金缺口70%的额度，对于优质客户可放宽至80%（采购资金缺口=合同金额-已付/预付货款-质保金）</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DC307D2">
            <w:pPr>
              <w:widowControl/>
              <w:jc w:val="left"/>
              <w:rPr>
                <w:rFonts w:ascii="宋体" w:hAnsi="宋体" w:cs="宋体"/>
                <w:color w:val="auto"/>
                <w:kern w:val="0"/>
                <w:szCs w:val="21"/>
              </w:rPr>
            </w:pPr>
            <w:r>
              <w:rPr>
                <w:rFonts w:hint="eastAsia" w:ascii="宋体" w:hAnsi="宋体" w:cs="宋体"/>
                <w:color w:val="auto"/>
                <w:kern w:val="0"/>
                <w:szCs w:val="21"/>
              </w:rPr>
              <w:t>2年期综合授信（提前期1年，每笔业务期限不超过1年）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D0BB679">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6ADA6BDD">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BD85B9A">
            <w:pPr>
              <w:widowControl/>
              <w:jc w:val="center"/>
              <w:rPr>
                <w:rFonts w:ascii="宋体" w:hAnsi="宋体" w:cs="宋体"/>
                <w:color w:val="auto"/>
                <w:kern w:val="0"/>
                <w:szCs w:val="21"/>
              </w:rPr>
            </w:pPr>
            <w:r>
              <w:rPr>
                <w:rFonts w:hint="eastAsia" w:ascii="宋体" w:hAnsi="宋体" w:cs="宋体"/>
                <w:color w:val="auto"/>
                <w:kern w:val="0"/>
                <w:szCs w:val="21"/>
              </w:rPr>
              <w:t>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C356D9F">
            <w:pPr>
              <w:widowControl/>
              <w:jc w:val="left"/>
              <w:rPr>
                <w:rFonts w:ascii="宋体" w:hAnsi="宋体" w:cs="宋体"/>
                <w:color w:val="auto"/>
                <w:kern w:val="0"/>
                <w:szCs w:val="21"/>
              </w:rPr>
            </w:pPr>
            <w:r>
              <w:rPr>
                <w:rFonts w:hint="eastAsia" w:ascii="宋体" w:hAnsi="宋体" w:cs="宋体"/>
                <w:color w:val="auto"/>
                <w:kern w:val="0"/>
                <w:szCs w:val="21"/>
              </w:rPr>
              <w:t>平安银行股份有限公司西安分行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39E06A6">
            <w:pPr>
              <w:widowControl/>
              <w:jc w:val="left"/>
              <w:rPr>
                <w:rFonts w:ascii="宋体" w:hAnsi="宋体" w:cs="宋体"/>
                <w:color w:val="auto"/>
                <w:kern w:val="0"/>
                <w:szCs w:val="21"/>
              </w:rPr>
            </w:pPr>
            <w:r>
              <w:rPr>
                <w:rFonts w:hint="eastAsia" w:ascii="宋体" w:hAnsi="宋体" w:cs="宋体"/>
                <w:color w:val="auto"/>
                <w:kern w:val="0"/>
                <w:szCs w:val="21"/>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61D1B4C">
            <w:pPr>
              <w:widowControl/>
              <w:jc w:val="left"/>
              <w:rPr>
                <w:rFonts w:ascii="宋体" w:hAnsi="宋体" w:cs="宋体"/>
                <w:color w:val="auto"/>
                <w:kern w:val="0"/>
                <w:szCs w:val="21"/>
              </w:rPr>
            </w:pPr>
            <w:r>
              <w:rPr>
                <w:rFonts w:hint="eastAsia" w:ascii="宋体" w:hAnsi="宋体" w:cs="宋体"/>
                <w:color w:val="auto"/>
                <w:kern w:val="0"/>
                <w:szCs w:val="21"/>
              </w:rPr>
              <w:t>最长不超月或（360）天过（12）个月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DFB75FD">
            <w:pPr>
              <w:widowControl/>
              <w:jc w:val="left"/>
              <w:rPr>
                <w:rFonts w:ascii="宋体" w:hAnsi="宋体" w:cs="宋体"/>
                <w:color w:val="auto"/>
                <w:kern w:val="0"/>
                <w:szCs w:val="21"/>
              </w:rPr>
            </w:pPr>
            <w:r>
              <w:rPr>
                <w:rFonts w:hint="eastAsia" w:ascii="宋体" w:hAnsi="宋体" w:cs="宋体"/>
                <w:color w:val="auto"/>
                <w:kern w:val="0"/>
                <w:szCs w:val="21"/>
              </w:rPr>
              <w:t>利率浮动区间（6%-8%）</w:t>
            </w:r>
          </w:p>
        </w:tc>
      </w:tr>
      <w:tr w14:paraId="384C0340">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FB2A257">
            <w:pPr>
              <w:widowControl/>
              <w:jc w:val="center"/>
              <w:rPr>
                <w:rFonts w:ascii="宋体" w:hAnsi="宋体" w:cs="宋体"/>
                <w:color w:val="auto"/>
                <w:kern w:val="0"/>
                <w:szCs w:val="21"/>
              </w:rPr>
            </w:pPr>
            <w:r>
              <w:rPr>
                <w:rFonts w:hint="eastAsia" w:ascii="宋体" w:hAnsi="宋体" w:cs="宋体"/>
                <w:color w:val="auto"/>
                <w:kern w:val="0"/>
                <w:szCs w:val="21"/>
              </w:rPr>
              <w:t>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B27A554">
            <w:pPr>
              <w:widowControl/>
              <w:jc w:val="left"/>
              <w:rPr>
                <w:rFonts w:ascii="宋体" w:hAnsi="宋体" w:cs="宋体"/>
                <w:color w:val="auto"/>
                <w:kern w:val="0"/>
                <w:szCs w:val="21"/>
              </w:rPr>
            </w:pPr>
            <w:r>
              <w:rPr>
                <w:rFonts w:hint="eastAsia" w:ascii="宋体" w:hAnsi="宋体" w:cs="宋体"/>
                <w:color w:val="auto"/>
                <w:kern w:val="0"/>
                <w:szCs w:val="21"/>
              </w:rPr>
              <w:t>兴业银行股份有限公司西安分行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A2B068">
            <w:pPr>
              <w:widowControl/>
              <w:jc w:val="left"/>
              <w:rPr>
                <w:rFonts w:ascii="宋体" w:hAnsi="宋体" w:cs="宋体"/>
                <w:color w:val="auto"/>
                <w:kern w:val="0"/>
                <w:szCs w:val="21"/>
              </w:rPr>
            </w:pPr>
            <w:r>
              <w:rPr>
                <w:rFonts w:hint="eastAsia" w:ascii="宋体" w:hAnsi="宋体" w:cs="宋体"/>
                <w:color w:val="auto"/>
                <w:kern w:val="0"/>
                <w:szCs w:val="21"/>
              </w:rPr>
              <w:t>不超过1000万元（首次申贷客户不超过500万元）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F154097">
            <w:pPr>
              <w:widowControl/>
              <w:jc w:val="left"/>
              <w:rPr>
                <w:rFonts w:ascii="宋体" w:hAnsi="宋体" w:cs="宋体"/>
                <w:color w:val="auto"/>
                <w:kern w:val="0"/>
                <w:szCs w:val="21"/>
              </w:rPr>
            </w:pPr>
            <w:r>
              <w:rPr>
                <w:rFonts w:hint="eastAsia" w:ascii="宋体" w:hAnsi="宋体" w:cs="宋体"/>
                <w:color w:val="auto"/>
                <w:kern w:val="0"/>
                <w:szCs w:val="21"/>
              </w:rPr>
              <w:t>最长不超过（12）个月或（/）天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05AA2A1">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29BF61FB">
        <w:tblPrEx>
          <w:shd w:val="clear" w:color="auto" w:fill="FFFFFF"/>
          <w:tblCellMar>
            <w:top w:w="0" w:type="dxa"/>
            <w:left w:w="0" w:type="dxa"/>
            <w:bottom w:w="0" w:type="dxa"/>
            <w:right w:w="0" w:type="dxa"/>
          </w:tblCellMar>
        </w:tblPrEx>
        <w:trPr>
          <w:trHeight w:val="138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BC98185">
            <w:pPr>
              <w:widowControl/>
              <w:jc w:val="center"/>
              <w:rPr>
                <w:rFonts w:ascii="宋体" w:hAnsi="宋体" w:cs="宋体"/>
                <w:color w:val="auto"/>
                <w:kern w:val="0"/>
                <w:szCs w:val="21"/>
              </w:rPr>
            </w:pPr>
            <w:r>
              <w:rPr>
                <w:rFonts w:hint="eastAsia" w:ascii="宋体" w:hAnsi="宋体" w:cs="宋体"/>
                <w:color w:val="auto"/>
                <w:kern w:val="0"/>
                <w:szCs w:val="21"/>
              </w:rPr>
              <w:t>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C1D3174">
            <w:pPr>
              <w:widowControl/>
              <w:jc w:val="left"/>
              <w:rPr>
                <w:rFonts w:ascii="宋体" w:hAnsi="宋体" w:cs="宋体"/>
                <w:color w:val="auto"/>
                <w:kern w:val="0"/>
                <w:szCs w:val="21"/>
              </w:rPr>
            </w:pPr>
            <w:r>
              <w:rPr>
                <w:rFonts w:hint="eastAsia" w:ascii="宋体" w:hAnsi="宋体" w:cs="宋体"/>
                <w:color w:val="auto"/>
                <w:kern w:val="0"/>
                <w:szCs w:val="21"/>
              </w:rPr>
              <w:t>陕西秦农农村商业银行股份有限公司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2F58C0D">
            <w:pPr>
              <w:widowControl/>
              <w:jc w:val="left"/>
              <w:rPr>
                <w:rFonts w:ascii="宋体" w:hAnsi="宋体" w:cs="宋体"/>
                <w:color w:val="auto"/>
                <w:kern w:val="0"/>
                <w:szCs w:val="21"/>
              </w:rPr>
            </w:pPr>
            <w:r>
              <w:rPr>
                <w:rFonts w:hint="eastAsia" w:ascii="宋体" w:hAnsi="宋体" w:cs="宋体"/>
                <w:color w:val="auto"/>
                <w:kern w:val="0"/>
                <w:szCs w:val="21"/>
              </w:rPr>
              <w:t>最高授信额度1000万元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F6D8E21">
            <w:pPr>
              <w:widowControl/>
              <w:jc w:val="left"/>
              <w:rPr>
                <w:rFonts w:ascii="宋体" w:hAnsi="宋体" w:cs="宋体"/>
                <w:color w:val="auto"/>
                <w:kern w:val="0"/>
                <w:szCs w:val="21"/>
              </w:rPr>
            </w:pPr>
            <w:r>
              <w:rPr>
                <w:rFonts w:hint="eastAsia" w:ascii="宋体" w:hAnsi="宋体" w:cs="宋体"/>
                <w:color w:val="auto"/>
                <w:kern w:val="0"/>
                <w:szCs w:val="21"/>
              </w:rPr>
              <w:t>原则上不超过1年，最长不超过2年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0219C95">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6BF2B0FD">
        <w:tblPrEx>
          <w:shd w:val="clear" w:color="auto" w:fill="FFFFFF"/>
          <w:tblCellMar>
            <w:top w:w="0" w:type="dxa"/>
            <w:left w:w="0" w:type="dxa"/>
            <w:bottom w:w="0" w:type="dxa"/>
            <w:right w:w="0" w:type="dxa"/>
          </w:tblCellMar>
        </w:tblPrEx>
        <w:trPr>
          <w:trHeight w:val="1567"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F205617">
            <w:pPr>
              <w:widowControl/>
              <w:jc w:val="center"/>
              <w:rPr>
                <w:rFonts w:ascii="宋体" w:hAnsi="宋体" w:cs="宋体"/>
                <w:color w:val="auto"/>
                <w:kern w:val="0"/>
                <w:szCs w:val="21"/>
              </w:rPr>
            </w:pPr>
            <w:r>
              <w:rPr>
                <w:rFonts w:hint="eastAsia" w:ascii="宋体" w:hAnsi="宋体" w:cs="宋体"/>
                <w:color w:val="auto"/>
                <w:kern w:val="0"/>
                <w:szCs w:val="21"/>
              </w:rPr>
              <w:t>9</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09B9F30">
            <w:pPr>
              <w:widowControl/>
              <w:jc w:val="left"/>
              <w:rPr>
                <w:rFonts w:ascii="宋体" w:hAnsi="宋体" w:cs="宋体"/>
                <w:color w:val="auto"/>
                <w:kern w:val="0"/>
                <w:szCs w:val="21"/>
              </w:rPr>
            </w:pPr>
            <w:r>
              <w:rPr>
                <w:rFonts w:hint="eastAsia" w:ascii="宋体" w:hAnsi="宋体" w:cs="宋体"/>
                <w:color w:val="auto"/>
                <w:kern w:val="0"/>
                <w:szCs w:val="21"/>
              </w:rPr>
              <w:t>中国工商银行股份有限公司陕西省分行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DCE6847">
            <w:pPr>
              <w:widowControl/>
              <w:jc w:val="left"/>
              <w:rPr>
                <w:rFonts w:ascii="宋体" w:hAnsi="宋体" w:cs="宋体"/>
                <w:color w:val="auto"/>
                <w:kern w:val="0"/>
                <w:szCs w:val="21"/>
              </w:rPr>
            </w:pPr>
            <w:r>
              <w:rPr>
                <w:rFonts w:hint="eastAsia" w:ascii="宋体" w:hAnsi="宋体" w:cs="宋体"/>
                <w:color w:val="auto"/>
                <w:kern w:val="0"/>
                <w:szCs w:val="21"/>
              </w:rPr>
              <w:t>经营快贷-政采贷单户不超过500万元且不超过订单金额的90%，线上供应链根据订单和应收贷款合理确定贷款额度。</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6F860DF">
            <w:pPr>
              <w:widowControl/>
              <w:jc w:val="left"/>
              <w:rPr>
                <w:rFonts w:ascii="宋体" w:hAnsi="宋体" w:cs="宋体"/>
                <w:color w:val="auto"/>
                <w:kern w:val="0"/>
                <w:szCs w:val="21"/>
              </w:rPr>
            </w:pPr>
            <w:r>
              <w:rPr>
                <w:rFonts w:hint="eastAsia" w:ascii="宋体" w:hAnsi="宋体" w:cs="宋体"/>
                <w:color w:val="auto"/>
                <w:kern w:val="0"/>
                <w:szCs w:val="21"/>
              </w:rPr>
              <w:t>最长不超过（36）个月或3年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03E2E26">
            <w:pPr>
              <w:widowControl/>
              <w:jc w:val="left"/>
              <w:rPr>
                <w:rFonts w:ascii="宋体" w:hAnsi="宋体" w:cs="宋体"/>
                <w:color w:val="auto"/>
                <w:kern w:val="0"/>
                <w:szCs w:val="21"/>
              </w:rPr>
            </w:pPr>
            <w:r>
              <w:rPr>
                <w:rFonts w:hint="eastAsia" w:ascii="宋体" w:hAnsi="宋体" w:cs="宋体"/>
                <w:color w:val="auto"/>
                <w:kern w:val="0"/>
                <w:szCs w:val="21"/>
              </w:rPr>
              <w:t>1、按照全国银行间同业拆借中心发布的贷款市场报价利率（LPR）确定；2、利率浮动去电（最高不超过LPR+50bp）</w:t>
            </w:r>
          </w:p>
        </w:tc>
      </w:tr>
      <w:tr w14:paraId="492595E2">
        <w:tblPrEx>
          <w:shd w:val="clear" w:color="auto" w:fill="FFFFFF"/>
          <w:tblCellMar>
            <w:top w:w="0" w:type="dxa"/>
            <w:left w:w="0" w:type="dxa"/>
            <w:bottom w:w="0" w:type="dxa"/>
            <w:right w:w="0" w:type="dxa"/>
          </w:tblCellMar>
        </w:tblPrEx>
        <w:trPr>
          <w:trHeight w:val="915"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715F2E1">
            <w:pPr>
              <w:widowControl/>
              <w:jc w:val="center"/>
              <w:rPr>
                <w:rFonts w:ascii="宋体" w:hAnsi="宋体" w:cs="宋体"/>
                <w:color w:val="auto"/>
                <w:kern w:val="0"/>
                <w:szCs w:val="21"/>
              </w:rPr>
            </w:pPr>
            <w:r>
              <w:rPr>
                <w:rFonts w:hint="eastAsia" w:ascii="宋体" w:hAnsi="宋体" w:cs="宋体"/>
                <w:color w:val="auto"/>
                <w:kern w:val="0"/>
                <w:szCs w:val="21"/>
              </w:rPr>
              <w:t>10</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8EFE697">
            <w:pPr>
              <w:widowControl/>
              <w:jc w:val="left"/>
              <w:rPr>
                <w:rFonts w:ascii="宋体" w:hAnsi="宋体" w:cs="宋体"/>
                <w:color w:val="auto"/>
                <w:kern w:val="0"/>
                <w:szCs w:val="21"/>
              </w:rPr>
            </w:pPr>
            <w:r>
              <w:rPr>
                <w:rFonts w:hint="eastAsia" w:ascii="宋体" w:hAnsi="宋体" w:cs="宋体"/>
                <w:color w:val="auto"/>
                <w:kern w:val="0"/>
                <w:szCs w:val="21"/>
              </w:rPr>
              <w:t>招商银行股份有限公司西安分行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9494BB9">
            <w:pPr>
              <w:widowControl/>
              <w:jc w:val="left"/>
              <w:rPr>
                <w:rFonts w:ascii="宋体" w:hAnsi="宋体" w:cs="宋体"/>
                <w:color w:val="auto"/>
                <w:kern w:val="0"/>
                <w:szCs w:val="21"/>
              </w:rPr>
            </w:pPr>
            <w:r>
              <w:rPr>
                <w:rFonts w:hint="eastAsia" w:ascii="宋体" w:hAnsi="宋体" w:cs="宋体"/>
                <w:color w:val="auto"/>
                <w:kern w:val="0"/>
                <w:szCs w:val="21"/>
              </w:rPr>
              <w:t>最高3000万元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C6A3C78">
            <w:pPr>
              <w:widowControl/>
              <w:jc w:val="left"/>
              <w:rPr>
                <w:rFonts w:ascii="宋体" w:hAnsi="宋体" w:cs="宋体"/>
                <w:color w:val="auto"/>
                <w:kern w:val="0"/>
                <w:szCs w:val="21"/>
              </w:rPr>
            </w:pPr>
            <w:r>
              <w:rPr>
                <w:rFonts w:hint="eastAsia" w:ascii="宋体" w:hAnsi="宋体" w:cs="宋体"/>
                <w:color w:val="auto"/>
                <w:kern w:val="0"/>
                <w:szCs w:val="21"/>
              </w:rPr>
              <w:t>非工程类不超过1年，工程类不超过3年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96AFAA2">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0951B138">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AC2B068">
            <w:pPr>
              <w:widowControl/>
              <w:jc w:val="center"/>
              <w:rPr>
                <w:rFonts w:ascii="宋体" w:hAnsi="宋体" w:cs="宋体"/>
                <w:color w:val="auto"/>
                <w:kern w:val="0"/>
                <w:szCs w:val="21"/>
              </w:rPr>
            </w:pPr>
            <w:r>
              <w:rPr>
                <w:rFonts w:hint="eastAsia" w:ascii="宋体" w:hAnsi="宋体" w:cs="宋体"/>
                <w:color w:val="auto"/>
                <w:kern w:val="0"/>
                <w:szCs w:val="21"/>
              </w:rPr>
              <w:t>11</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D04AD9D">
            <w:pPr>
              <w:widowControl/>
              <w:jc w:val="left"/>
              <w:rPr>
                <w:rFonts w:ascii="宋体" w:hAnsi="宋体" w:cs="宋体"/>
                <w:color w:val="auto"/>
                <w:kern w:val="0"/>
                <w:szCs w:val="21"/>
              </w:rPr>
            </w:pPr>
            <w:r>
              <w:rPr>
                <w:rFonts w:hint="eastAsia" w:ascii="宋体" w:hAnsi="宋体" w:cs="宋体"/>
                <w:color w:val="auto"/>
                <w:kern w:val="0"/>
                <w:szCs w:val="21"/>
              </w:rPr>
              <w:t>浙商银行股份有限公司西安分行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639317E">
            <w:pPr>
              <w:widowControl/>
              <w:jc w:val="left"/>
              <w:rPr>
                <w:rFonts w:ascii="宋体" w:hAnsi="宋体" w:cs="宋体"/>
                <w:color w:val="auto"/>
                <w:kern w:val="0"/>
                <w:szCs w:val="21"/>
              </w:rPr>
            </w:pPr>
            <w:r>
              <w:rPr>
                <w:rFonts w:hint="eastAsia" w:ascii="宋体" w:hAnsi="宋体" w:cs="宋体"/>
                <w:color w:val="auto"/>
                <w:kern w:val="0"/>
                <w:szCs w:val="21"/>
              </w:rPr>
              <w:t>最高不超过1000万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6605684">
            <w:pPr>
              <w:widowControl/>
              <w:jc w:val="left"/>
              <w:rPr>
                <w:rFonts w:ascii="宋体" w:hAnsi="宋体" w:cs="宋体"/>
                <w:color w:val="auto"/>
                <w:kern w:val="0"/>
                <w:szCs w:val="21"/>
              </w:rPr>
            </w:pPr>
            <w:r>
              <w:rPr>
                <w:rFonts w:hint="eastAsia" w:ascii="宋体" w:hAnsi="宋体" w:cs="宋体"/>
                <w:color w:val="auto"/>
                <w:kern w:val="0"/>
                <w:szCs w:val="21"/>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75BD2DE">
            <w:pPr>
              <w:widowControl/>
              <w:jc w:val="left"/>
              <w:rPr>
                <w:rFonts w:ascii="宋体" w:hAnsi="宋体" w:cs="宋体"/>
                <w:color w:val="auto"/>
                <w:kern w:val="0"/>
                <w:szCs w:val="21"/>
              </w:rPr>
            </w:pPr>
            <w:r>
              <w:rPr>
                <w:rFonts w:hint="eastAsia" w:ascii="宋体" w:hAnsi="宋体" w:cs="宋体"/>
                <w:color w:val="auto"/>
                <w:kern w:val="0"/>
                <w:szCs w:val="21"/>
              </w:rPr>
              <w:t>利率浮动区间（依据总行利率指导价执行）</w:t>
            </w:r>
          </w:p>
        </w:tc>
      </w:tr>
      <w:tr w14:paraId="00B8522C">
        <w:tblPrEx>
          <w:shd w:val="clear" w:color="auto" w:fill="FFFFFF"/>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250B0C">
            <w:pPr>
              <w:widowControl/>
              <w:jc w:val="center"/>
              <w:rPr>
                <w:rFonts w:ascii="宋体" w:hAnsi="宋体" w:cs="宋体"/>
                <w:color w:val="auto"/>
                <w:kern w:val="0"/>
                <w:szCs w:val="21"/>
              </w:rPr>
            </w:pPr>
            <w:r>
              <w:rPr>
                <w:rFonts w:hint="eastAsia" w:ascii="宋体" w:hAnsi="宋体" w:cs="宋体"/>
                <w:color w:val="auto"/>
                <w:kern w:val="0"/>
                <w:szCs w:val="21"/>
              </w:rPr>
              <w:t>12</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B3AB18B">
            <w:pPr>
              <w:widowControl/>
              <w:jc w:val="left"/>
              <w:rPr>
                <w:rFonts w:ascii="宋体" w:hAnsi="宋体" w:cs="宋体"/>
                <w:color w:val="auto"/>
                <w:kern w:val="0"/>
                <w:szCs w:val="21"/>
              </w:rPr>
            </w:pPr>
            <w:r>
              <w:rPr>
                <w:rFonts w:hint="eastAsia" w:ascii="宋体" w:hAnsi="宋体" w:cs="宋体"/>
                <w:color w:val="auto"/>
                <w:kern w:val="0"/>
                <w:szCs w:val="21"/>
              </w:rPr>
              <w:t>中国银行陕西省分行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2F21E6D">
            <w:pPr>
              <w:widowControl/>
              <w:jc w:val="left"/>
              <w:rPr>
                <w:rFonts w:ascii="宋体" w:hAnsi="宋体" w:cs="宋体"/>
                <w:color w:val="auto"/>
                <w:kern w:val="0"/>
                <w:szCs w:val="21"/>
              </w:rPr>
            </w:pPr>
            <w:r>
              <w:rPr>
                <w:rFonts w:hint="eastAsia" w:ascii="宋体" w:hAnsi="宋体" w:cs="宋体"/>
                <w:color w:val="auto"/>
                <w:kern w:val="0"/>
                <w:szCs w:val="21"/>
              </w:rPr>
              <w:t>中标合同金额70%，最高1000万元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596A34F">
            <w:pPr>
              <w:widowControl/>
              <w:jc w:val="left"/>
              <w:rPr>
                <w:rFonts w:ascii="宋体" w:hAnsi="宋体" w:cs="宋体"/>
                <w:color w:val="auto"/>
                <w:kern w:val="0"/>
                <w:szCs w:val="21"/>
              </w:rPr>
            </w:pPr>
            <w:r>
              <w:rPr>
                <w:rFonts w:hint="eastAsia" w:ascii="宋体" w:hAnsi="宋体" w:cs="宋体"/>
                <w:color w:val="auto"/>
                <w:kern w:val="0"/>
                <w:szCs w:val="21"/>
              </w:rPr>
              <w:t>最长不超过（24）个月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9C11C4F">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6B0E38BF">
        <w:tblPrEx>
          <w:shd w:val="clear" w:color="auto" w:fill="FFFFFF"/>
          <w:tblCellMar>
            <w:top w:w="0" w:type="dxa"/>
            <w:left w:w="0" w:type="dxa"/>
            <w:bottom w:w="0" w:type="dxa"/>
            <w:right w:w="0" w:type="dxa"/>
          </w:tblCellMar>
        </w:tblPrEx>
        <w:trPr>
          <w:trHeight w:val="1079"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EDBB44D">
            <w:pPr>
              <w:widowControl/>
              <w:jc w:val="center"/>
              <w:rPr>
                <w:rFonts w:ascii="宋体" w:hAnsi="宋体" w:cs="宋体"/>
                <w:color w:val="auto"/>
                <w:kern w:val="0"/>
                <w:szCs w:val="21"/>
              </w:rPr>
            </w:pPr>
            <w:r>
              <w:rPr>
                <w:rFonts w:hint="eastAsia" w:ascii="宋体" w:hAnsi="宋体" w:cs="宋体"/>
                <w:color w:val="auto"/>
                <w:kern w:val="0"/>
                <w:szCs w:val="21"/>
              </w:rPr>
              <w:t>13</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2568C43">
            <w:pPr>
              <w:widowControl/>
              <w:jc w:val="left"/>
              <w:rPr>
                <w:rFonts w:ascii="宋体" w:hAnsi="宋体" w:cs="宋体"/>
                <w:color w:val="auto"/>
                <w:kern w:val="0"/>
                <w:szCs w:val="21"/>
              </w:rPr>
            </w:pPr>
            <w:r>
              <w:rPr>
                <w:rFonts w:hint="eastAsia" w:ascii="宋体" w:hAnsi="宋体" w:cs="宋体"/>
                <w:color w:val="auto"/>
                <w:kern w:val="0"/>
                <w:szCs w:val="21"/>
              </w:rPr>
              <w:t>中国邮政储蓄银行陕西省分行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9BB5D2C">
            <w:pPr>
              <w:widowControl/>
              <w:jc w:val="left"/>
              <w:rPr>
                <w:rFonts w:ascii="宋体" w:hAnsi="宋体" w:cs="宋体"/>
                <w:color w:val="auto"/>
                <w:kern w:val="0"/>
                <w:szCs w:val="21"/>
              </w:rPr>
            </w:pPr>
            <w:r>
              <w:rPr>
                <w:rFonts w:hint="eastAsia" w:ascii="宋体" w:hAnsi="宋体" w:cs="宋体"/>
                <w:color w:val="auto"/>
                <w:kern w:val="0"/>
                <w:szCs w:val="21"/>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16CDE16">
            <w:pPr>
              <w:widowControl/>
              <w:jc w:val="left"/>
              <w:rPr>
                <w:rFonts w:ascii="宋体" w:hAnsi="宋体" w:cs="宋体"/>
                <w:color w:val="auto"/>
                <w:kern w:val="0"/>
                <w:szCs w:val="21"/>
              </w:rPr>
            </w:pPr>
            <w:r>
              <w:rPr>
                <w:rFonts w:hint="eastAsia" w:ascii="宋体" w:hAnsi="宋体" w:cs="宋体"/>
                <w:color w:val="auto"/>
                <w:kern w:val="0"/>
                <w:szCs w:val="21"/>
              </w:rPr>
              <w:t>最长不超过（12）个月或（360）天</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16FC82F">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不超过中小企业同期市场利率水平，利率浮动区间为3.85%-5.95%</w:t>
            </w:r>
          </w:p>
        </w:tc>
      </w:tr>
      <w:tr w14:paraId="53C6569E">
        <w:tblPrEx>
          <w:shd w:val="clear" w:color="auto" w:fill="FFFFFF"/>
          <w:tblCellMar>
            <w:top w:w="0" w:type="dxa"/>
            <w:left w:w="0" w:type="dxa"/>
            <w:bottom w:w="0" w:type="dxa"/>
            <w:right w:w="0" w:type="dxa"/>
          </w:tblCellMar>
        </w:tblPrEx>
        <w:trPr>
          <w:trHeight w:val="776"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6922D9B">
            <w:pPr>
              <w:widowControl/>
              <w:jc w:val="center"/>
              <w:rPr>
                <w:rFonts w:ascii="宋体" w:hAnsi="宋体" w:cs="宋体"/>
                <w:color w:val="auto"/>
                <w:kern w:val="0"/>
                <w:szCs w:val="21"/>
              </w:rPr>
            </w:pPr>
            <w:r>
              <w:rPr>
                <w:rFonts w:hint="eastAsia" w:ascii="宋体" w:hAnsi="宋体" w:cs="宋体"/>
                <w:color w:val="auto"/>
                <w:kern w:val="0"/>
                <w:szCs w:val="21"/>
              </w:rPr>
              <w:t>14</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4F1F671">
            <w:pPr>
              <w:widowControl/>
              <w:jc w:val="left"/>
              <w:rPr>
                <w:rFonts w:ascii="宋体" w:hAnsi="宋体" w:cs="宋体"/>
                <w:color w:val="auto"/>
                <w:kern w:val="0"/>
                <w:szCs w:val="21"/>
              </w:rPr>
            </w:pPr>
            <w:r>
              <w:rPr>
                <w:rFonts w:hint="eastAsia" w:ascii="宋体" w:hAnsi="宋体" w:cs="宋体"/>
                <w:color w:val="auto"/>
                <w:kern w:val="0"/>
                <w:szCs w:val="21"/>
              </w:rPr>
              <w:t>西安银行股份有限公司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1F6CD17F">
            <w:pPr>
              <w:widowControl/>
              <w:jc w:val="left"/>
              <w:rPr>
                <w:rFonts w:ascii="宋体" w:hAnsi="宋体" w:cs="宋体"/>
                <w:color w:val="auto"/>
                <w:kern w:val="0"/>
                <w:szCs w:val="21"/>
              </w:rPr>
            </w:pPr>
            <w:r>
              <w:rPr>
                <w:rFonts w:hint="eastAsia" w:ascii="宋体" w:hAnsi="宋体" w:cs="宋体"/>
                <w:color w:val="auto"/>
                <w:kern w:val="0"/>
                <w:szCs w:val="21"/>
              </w:rPr>
              <w:t>300万元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E844EBB">
            <w:pPr>
              <w:widowControl/>
              <w:jc w:val="left"/>
              <w:rPr>
                <w:rFonts w:ascii="宋体" w:hAnsi="宋体" w:cs="宋体"/>
                <w:color w:val="auto"/>
                <w:kern w:val="0"/>
                <w:szCs w:val="21"/>
              </w:rPr>
            </w:pPr>
            <w:r>
              <w:rPr>
                <w:rFonts w:hint="eastAsia" w:ascii="宋体" w:hAnsi="宋体" w:cs="宋体"/>
                <w:color w:val="auto"/>
                <w:kern w:val="0"/>
                <w:szCs w:val="21"/>
              </w:rPr>
              <w:t>最长不超过（36）个月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03C7EF7C">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2677DF78">
        <w:tblPrEx>
          <w:shd w:val="clear" w:color="auto" w:fill="FFFFFF"/>
          <w:tblCellMar>
            <w:top w:w="0" w:type="dxa"/>
            <w:left w:w="0" w:type="dxa"/>
            <w:bottom w:w="0" w:type="dxa"/>
            <w:right w:w="0" w:type="dxa"/>
          </w:tblCellMar>
        </w:tblPrEx>
        <w:trPr>
          <w:trHeight w:val="1013"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AA1EC78">
            <w:pPr>
              <w:widowControl/>
              <w:jc w:val="center"/>
              <w:rPr>
                <w:rFonts w:ascii="宋体" w:hAnsi="宋体" w:cs="宋体"/>
                <w:color w:val="auto"/>
                <w:kern w:val="0"/>
                <w:szCs w:val="21"/>
              </w:rPr>
            </w:pPr>
            <w:r>
              <w:rPr>
                <w:rFonts w:hint="eastAsia" w:ascii="宋体" w:hAnsi="宋体" w:cs="宋体"/>
                <w:color w:val="auto"/>
                <w:kern w:val="0"/>
                <w:szCs w:val="21"/>
              </w:rPr>
              <w:t>15</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FC51754">
            <w:pPr>
              <w:widowControl/>
              <w:jc w:val="left"/>
              <w:rPr>
                <w:rFonts w:ascii="宋体" w:hAnsi="宋体" w:cs="宋体"/>
                <w:color w:val="auto"/>
                <w:kern w:val="0"/>
                <w:szCs w:val="21"/>
              </w:rPr>
            </w:pPr>
            <w:r>
              <w:rPr>
                <w:rFonts w:hint="eastAsia" w:ascii="宋体" w:hAnsi="宋体" w:cs="宋体"/>
                <w:color w:val="auto"/>
                <w:kern w:val="0"/>
                <w:szCs w:val="21"/>
              </w:rPr>
              <w:t>中国民生银行股份有限公司西安分行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2ED3867">
            <w:pPr>
              <w:widowControl/>
              <w:jc w:val="left"/>
              <w:rPr>
                <w:rFonts w:ascii="宋体" w:hAnsi="宋体" w:cs="宋体"/>
                <w:color w:val="auto"/>
                <w:kern w:val="0"/>
                <w:szCs w:val="21"/>
              </w:rPr>
            </w:pPr>
            <w:r>
              <w:rPr>
                <w:rFonts w:hint="eastAsia" w:ascii="宋体" w:hAnsi="宋体" w:cs="宋体"/>
                <w:color w:val="auto"/>
                <w:kern w:val="0"/>
                <w:szCs w:val="21"/>
              </w:rPr>
              <w:t>最高500万元</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42E6415">
            <w:pPr>
              <w:widowControl/>
              <w:jc w:val="left"/>
              <w:rPr>
                <w:rFonts w:ascii="宋体" w:hAnsi="宋体" w:cs="宋体"/>
                <w:color w:val="auto"/>
                <w:kern w:val="0"/>
                <w:szCs w:val="21"/>
              </w:rPr>
            </w:pPr>
            <w:r>
              <w:rPr>
                <w:rFonts w:hint="eastAsia" w:ascii="宋体" w:hAnsi="宋体" w:cs="宋体"/>
                <w:color w:val="auto"/>
                <w:kern w:val="0"/>
                <w:szCs w:val="21"/>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E2A67C1">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w:t>
            </w:r>
          </w:p>
        </w:tc>
      </w:tr>
      <w:tr w14:paraId="161F4F0F">
        <w:tblPrEx>
          <w:shd w:val="clear" w:color="auto" w:fill="FFFFFF"/>
          <w:tblCellMar>
            <w:top w:w="0" w:type="dxa"/>
            <w:left w:w="0" w:type="dxa"/>
            <w:bottom w:w="0" w:type="dxa"/>
            <w:right w:w="0" w:type="dxa"/>
          </w:tblCellMar>
        </w:tblPrEx>
        <w:trPr>
          <w:trHeight w:val="1141"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81A20AB">
            <w:pPr>
              <w:widowControl/>
              <w:jc w:val="center"/>
              <w:rPr>
                <w:rFonts w:ascii="宋体" w:hAnsi="宋体" w:cs="宋体"/>
                <w:color w:val="auto"/>
                <w:kern w:val="0"/>
                <w:szCs w:val="21"/>
              </w:rPr>
            </w:pPr>
            <w:r>
              <w:rPr>
                <w:rFonts w:hint="eastAsia" w:ascii="宋体" w:hAnsi="宋体" w:cs="宋体"/>
                <w:color w:val="auto"/>
                <w:kern w:val="0"/>
                <w:szCs w:val="21"/>
              </w:rPr>
              <w:t>16</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883503B">
            <w:pPr>
              <w:widowControl/>
              <w:jc w:val="left"/>
              <w:rPr>
                <w:rFonts w:ascii="宋体" w:hAnsi="宋体" w:cs="宋体"/>
                <w:color w:val="auto"/>
                <w:kern w:val="0"/>
                <w:szCs w:val="21"/>
              </w:rPr>
            </w:pPr>
            <w:r>
              <w:rPr>
                <w:rFonts w:hint="eastAsia" w:ascii="宋体" w:hAnsi="宋体" w:cs="宋体"/>
                <w:color w:val="auto"/>
                <w:kern w:val="0"/>
                <w:szCs w:val="21"/>
              </w:rPr>
              <w:t>中国农业银行股份有限公司陕西省分行</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223BE95">
            <w:pPr>
              <w:widowControl/>
              <w:jc w:val="left"/>
              <w:rPr>
                <w:rFonts w:ascii="宋体" w:hAnsi="宋体" w:cs="宋体"/>
                <w:color w:val="auto"/>
                <w:kern w:val="0"/>
                <w:szCs w:val="21"/>
              </w:rPr>
            </w:pPr>
            <w:r>
              <w:rPr>
                <w:rFonts w:hint="eastAsia" w:ascii="宋体" w:hAnsi="宋体" w:cs="宋体"/>
                <w:color w:val="auto"/>
                <w:kern w:val="0"/>
                <w:szCs w:val="21"/>
              </w:rPr>
              <w:t>3000万元以下</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6E0EDF0">
            <w:pPr>
              <w:widowControl/>
              <w:jc w:val="left"/>
              <w:rPr>
                <w:rFonts w:ascii="宋体" w:hAnsi="宋体" w:cs="宋体"/>
                <w:color w:val="auto"/>
                <w:kern w:val="0"/>
                <w:szCs w:val="21"/>
              </w:rPr>
            </w:pPr>
            <w:r>
              <w:rPr>
                <w:rFonts w:hint="eastAsia" w:ascii="宋体" w:hAnsi="宋体" w:cs="宋体"/>
                <w:color w:val="auto"/>
                <w:kern w:val="0"/>
                <w:szCs w:val="21"/>
              </w:rPr>
              <w:t>最长不超过（12）个月</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D0D8D62">
            <w:pPr>
              <w:widowControl/>
              <w:jc w:val="left"/>
              <w:rPr>
                <w:rFonts w:ascii="宋体" w:hAnsi="宋体" w:cs="宋体"/>
                <w:color w:val="auto"/>
                <w:kern w:val="0"/>
                <w:szCs w:val="21"/>
              </w:rPr>
            </w:pPr>
            <w:r>
              <w:rPr>
                <w:rFonts w:hint="eastAsia" w:ascii="宋体" w:hAnsi="宋体" w:cs="宋体"/>
                <w:color w:val="auto"/>
                <w:kern w:val="0"/>
                <w:szCs w:val="21"/>
              </w:rPr>
              <w:t>不超过中小企业同期市场利率水平，利率浮动期间（3.85%-4.35%）</w:t>
            </w:r>
          </w:p>
        </w:tc>
      </w:tr>
      <w:tr w14:paraId="4E7D1C5D">
        <w:tblPrEx>
          <w:shd w:val="clear" w:color="auto" w:fill="FFFFFF"/>
          <w:tblCellMar>
            <w:top w:w="0" w:type="dxa"/>
            <w:left w:w="0" w:type="dxa"/>
            <w:bottom w:w="0" w:type="dxa"/>
            <w:right w:w="0" w:type="dxa"/>
          </w:tblCellMar>
        </w:tblPrEx>
        <w:trPr>
          <w:trHeight w:val="720"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BFBA73D">
            <w:pPr>
              <w:widowControl/>
              <w:jc w:val="center"/>
              <w:rPr>
                <w:rFonts w:ascii="宋体" w:hAnsi="宋体" w:cs="宋体"/>
                <w:color w:val="auto"/>
                <w:kern w:val="0"/>
                <w:szCs w:val="21"/>
              </w:rPr>
            </w:pPr>
            <w:r>
              <w:rPr>
                <w:rFonts w:hint="eastAsia" w:ascii="宋体" w:hAnsi="宋体" w:cs="宋体"/>
                <w:color w:val="auto"/>
                <w:kern w:val="0"/>
                <w:szCs w:val="21"/>
              </w:rPr>
              <w:t>17</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BBF9B7">
            <w:pPr>
              <w:widowControl/>
              <w:jc w:val="left"/>
              <w:rPr>
                <w:rFonts w:ascii="宋体" w:hAnsi="宋体" w:cs="宋体"/>
                <w:color w:val="auto"/>
                <w:kern w:val="0"/>
                <w:szCs w:val="21"/>
              </w:rPr>
            </w:pPr>
            <w:r>
              <w:rPr>
                <w:rFonts w:hint="eastAsia" w:ascii="宋体" w:hAnsi="宋体" w:cs="宋体"/>
                <w:color w:val="auto"/>
                <w:kern w:val="0"/>
                <w:szCs w:val="21"/>
              </w:rPr>
              <w:t>浙江网商银行股份有限公司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490FDCB1">
            <w:pPr>
              <w:widowControl/>
              <w:jc w:val="left"/>
              <w:rPr>
                <w:rFonts w:ascii="宋体" w:hAnsi="宋体" w:cs="宋体"/>
                <w:color w:val="auto"/>
                <w:kern w:val="0"/>
                <w:szCs w:val="21"/>
              </w:rPr>
            </w:pPr>
            <w:r>
              <w:rPr>
                <w:rFonts w:hint="eastAsia" w:ascii="宋体" w:hAnsi="宋体" w:cs="宋体"/>
                <w:color w:val="auto"/>
                <w:kern w:val="0"/>
                <w:szCs w:val="21"/>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3968202">
            <w:pPr>
              <w:widowControl/>
              <w:jc w:val="left"/>
              <w:rPr>
                <w:rFonts w:ascii="宋体" w:hAnsi="宋体" w:cs="宋体"/>
                <w:color w:val="auto"/>
                <w:kern w:val="0"/>
                <w:szCs w:val="21"/>
              </w:rPr>
            </w:pPr>
            <w:r>
              <w:rPr>
                <w:rFonts w:hint="eastAsia" w:ascii="宋体" w:hAnsi="宋体" w:cs="宋体"/>
                <w:color w:val="auto"/>
                <w:kern w:val="0"/>
                <w:szCs w:val="21"/>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C65AC58">
            <w:pPr>
              <w:widowControl/>
              <w:jc w:val="left"/>
              <w:rPr>
                <w:rFonts w:ascii="宋体" w:hAnsi="宋体" w:cs="宋体"/>
                <w:color w:val="auto"/>
                <w:kern w:val="0"/>
                <w:szCs w:val="21"/>
              </w:rPr>
            </w:pPr>
            <w:r>
              <w:rPr>
                <w:rFonts w:hint="eastAsia" w:ascii="宋体" w:hAnsi="宋体" w:cs="宋体"/>
                <w:color w:val="auto"/>
                <w:kern w:val="0"/>
                <w:szCs w:val="21"/>
              </w:rPr>
              <w:t>5%-7%</w:t>
            </w:r>
          </w:p>
        </w:tc>
      </w:tr>
      <w:tr w14:paraId="4146D8BF">
        <w:tblPrEx>
          <w:shd w:val="clear" w:color="auto" w:fill="FFFFFF"/>
          <w:tblCellMar>
            <w:top w:w="0" w:type="dxa"/>
            <w:left w:w="0" w:type="dxa"/>
            <w:bottom w:w="0" w:type="dxa"/>
            <w:right w:w="0" w:type="dxa"/>
          </w:tblCellMar>
        </w:tblPrEx>
        <w:trPr>
          <w:trHeight w:val="792" w:hRule="atLeast"/>
          <w:jc w:val="center"/>
        </w:trPr>
        <w:tc>
          <w:tcPr>
            <w:tcW w:w="722"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2FCCFE38">
            <w:pPr>
              <w:widowControl/>
              <w:jc w:val="center"/>
              <w:rPr>
                <w:rFonts w:ascii="宋体" w:hAnsi="宋体" w:cs="宋体"/>
                <w:color w:val="auto"/>
                <w:kern w:val="0"/>
                <w:szCs w:val="21"/>
              </w:rPr>
            </w:pPr>
            <w:r>
              <w:rPr>
                <w:rFonts w:hint="eastAsia" w:ascii="宋体" w:hAnsi="宋体" w:cs="宋体"/>
                <w:color w:val="auto"/>
                <w:kern w:val="0"/>
                <w:szCs w:val="21"/>
              </w:rPr>
              <w:t>18</w:t>
            </w:r>
          </w:p>
        </w:tc>
        <w:tc>
          <w:tcPr>
            <w:tcW w:w="1539"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62574E7F">
            <w:pPr>
              <w:widowControl/>
              <w:jc w:val="left"/>
              <w:rPr>
                <w:rFonts w:ascii="宋体" w:hAnsi="宋体" w:cs="宋体"/>
                <w:color w:val="auto"/>
                <w:kern w:val="0"/>
                <w:szCs w:val="21"/>
              </w:rPr>
            </w:pPr>
            <w:r>
              <w:rPr>
                <w:rFonts w:hint="eastAsia" w:ascii="宋体" w:hAnsi="宋体" w:cs="宋体"/>
                <w:color w:val="auto"/>
                <w:kern w:val="0"/>
                <w:szCs w:val="21"/>
              </w:rPr>
              <w:t>平安银行股份有限公司</w:t>
            </w:r>
          </w:p>
        </w:tc>
        <w:tc>
          <w:tcPr>
            <w:tcW w:w="3061"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7A828EAA">
            <w:pPr>
              <w:widowControl/>
              <w:jc w:val="left"/>
              <w:rPr>
                <w:rFonts w:ascii="宋体" w:hAnsi="宋体" w:cs="宋体"/>
                <w:color w:val="auto"/>
                <w:kern w:val="0"/>
                <w:szCs w:val="21"/>
              </w:rPr>
            </w:pPr>
            <w:r>
              <w:rPr>
                <w:rFonts w:hint="eastAsia" w:ascii="宋体" w:hAnsi="宋体" w:cs="宋体"/>
                <w:color w:val="auto"/>
                <w:kern w:val="0"/>
                <w:szCs w:val="21"/>
              </w:rPr>
              <w:t>上限1000万</w:t>
            </w:r>
          </w:p>
        </w:tc>
        <w:tc>
          <w:tcPr>
            <w:tcW w:w="1708"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5E4E7FF5">
            <w:pPr>
              <w:widowControl/>
              <w:jc w:val="left"/>
              <w:rPr>
                <w:rFonts w:ascii="宋体" w:hAnsi="宋体" w:cs="宋体"/>
                <w:color w:val="auto"/>
                <w:kern w:val="0"/>
                <w:szCs w:val="21"/>
              </w:rPr>
            </w:pPr>
            <w:r>
              <w:rPr>
                <w:rFonts w:hint="eastAsia" w:ascii="宋体" w:hAnsi="宋体" w:cs="宋体"/>
                <w:color w:val="auto"/>
                <w:kern w:val="0"/>
                <w:szCs w:val="21"/>
              </w:rPr>
              <w:t>一年</w:t>
            </w:r>
          </w:p>
        </w:tc>
        <w:tc>
          <w:tcPr>
            <w:tcW w:w="2387" w:type="dxa"/>
            <w:tcBorders>
              <w:top w:val="single" w:color="auto" w:sz="4" w:space="0"/>
              <w:left w:val="single" w:color="auto" w:sz="4" w:space="0"/>
              <w:bottom w:val="single" w:color="auto" w:sz="4" w:space="0"/>
              <w:right w:val="single" w:color="auto" w:sz="4" w:space="0"/>
            </w:tcBorders>
            <w:shd w:val="clear" w:color="auto" w:fill="auto"/>
            <w:tcMar>
              <w:top w:w="24" w:type="dxa"/>
              <w:left w:w="48" w:type="dxa"/>
              <w:bottom w:w="24" w:type="dxa"/>
              <w:right w:w="48" w:type="dxa"/>
            </w:tcMar>
            <w:vAlign w:val="center"/>
          </w:tcPr>
          <w:p w14:paraId="3556F599">
            <w:pPr>
              <w:widowControl/>
              <w:jc w:val="left"/>
              <w:rPr>
                <w:rFonts w:ascii="宋体" w:hAnsi="宋体" w:cs="宋体"/>
                <w:color w:val="auto"/>
                <w:kern w:val="0"/>
                <w:szCs w:val="21"/>
              </w:rPr>
            </w:pPr>
            <w:r>
              <w:rPr>
                <w:rFonts w:hint="eastAsia" w:ascii="宋体" w:hAnsi="宋体" w:cs="宋体"/>
                <w:color w:val="auto"/>
                <w:kern w:val="0"/>
                <w:szCs w:val="21"/>
              </w:rPr>
              <w:t>5%-9%</w:t>
            </w:r>
          </w:p>
        </w:tc>
      </w:tr>
    </w:tbl>
    <w:p w14:paraId="02DC7A60">
      <w:pPr>
        <w:widowControl/>
        <w:jc w:val="left"/>
        <w:rPr>
          <w:rFonts w:ascii="Segoe UI" w:hAnsi="Segoe UI" w:eastAsia="Segoe UI" w:cs="Segoe UI"/>
          <w:color w:val="auto"/>
          <w:kern w:val="0"/>
          <w:sz w:val="20"/>
          <w:szCs w:val="20"/>
        </w:rPr>
      </w:pPr>
    </w:p>
    <w:p w14:paraId="3D75329F">
      <w:pPr>
        <w:rPr>
          <w:rFonts w:ascii="宋体" w:hAnsi="宋体"/>
          <w:b/>
          <w:color w:val="auto"/>
          <w:sz w:val="30"/>
          <w:szCs w:val="30"/>
        </w:rPr>
      </w:pPr>
      <w:r>
        <w:rPr>
          <w:rFonts w:hint="eastAsia"/>
          <w:color w:val="auto"/>
          <w:sz w:val="24"/>
          <w:szCs w:val="32"/>
        </w:rPr>
        <w:t>注：以上银行合作有效时间及授信额度、贷款期限、贷款利率仅供参考，</w:t>
      </w:r>
      <w:r>
        <w:rPr>
          <w:rFonts w:hint="eastAsia" w:ascii="宋体" w:hAnsi="宋体" w:cs="宋体"/>
          <w:bCs/>
          <w:color w:val="auto"/>
          <w:sz w:val="24"/>
        </w:rPr>
        <w:t>具体规定可登陆陕西省政府采购网(www.ccgp-shaanxi.gov.cn/)重要通知专栏中查询了解。</w:t>
      </w:r>
    </w:p>
    <w:p w14:paraId="31A02A04">
      <w:pPr>
        <w:spacing w:before="120" w:beforeLines="50" w:after="120" w:afterLines="50" w:line="360" w:lineRule="auto"/>
        <w:jc w:val="left"/>
        <w:rPr>
          <w:rFonts w:ascii="宋体" w:hAnsi="宋体"/>
          <w:b/>
          <w:color w:val="auto"/>
          <w:sz w:val="30"/>
          <w:szCs w:val="30"/>
        </w:rPr>
      </w:pPr>
      <w:r>
        <w:rPr>
          <w:rFonts w:hint="eastAsia" w:ascii="宋体" w:hAnsi="宋体"/>
          <w:b/>
          <w:color w:val="auto"/>
          <w:sz w:val="30"/>
          <w:szCs w:val="30"/>
        </w:rPr>
        <w:t>13.2 录音录像</w:t>
      </w:r>
    </w:p>
    <w:p w14:paraId="5EA4C832">
      <w:pPr>
        <w:spacing w:line="360" w:lineRule="auto"/>
        <w:ind w:firstLine="420" w:firstLineChars="200"/>
        <w:rPr>
          <w:rFonts w:ascii="宋体" w:hAnsi="宋体"/>
          <w:color w:val="auto"/>
          <w:szCs w:val="21"/>
        </w:rPr>
      </w:pPr>
      <w:r>
        <w:rPr>
          <w:rFonts w:hint="eastAsia" w:ascii="宋体" w:hAnsi="宋体"/>
          <w:color w:val="auto"/>
          <w:szCs w:val="21"/>
        </w:rPr>
        <w:t>采购代理机构对开启响应文件、磋商和评审过程进行全程录音录像、文字记录，并存档备查。</w:t>
      </w:r>
    </w:p>
    <w:p w14:paraId="2B138B55">
      <w:pPr>
        <w:spacing w:before="120" w:beforeLines="50" w:line="360" w:lineRule="auto"/>
        <w:jc w:val="left"/>
        <w:rPr>
          <w:rFonts w:ascii="宋体" w:hAnsi="宋体"/>
          <w:b/>
          <w:color w:val="auto"/>
          <w:sz w:val="30"/>
          <w:szCs w:val="30"/>
        </w:rPr>
      </w:pPr>
      <w:r>
        <w:rPr>
          <w:rFonts w:hint="eastAsia" w:ascii="宋体" w:hAnsi="宋体"/>
          <w:b/>
          <w:color w:val="auto"/>
          <w:sz w:val="30"/>
          <w:szCs w:val="30"/>
        </w:rPr>
        <w:t>13.3需要补充的其他内容</w:t>
      </w:r>
    </w:p>
    <w:p w14:paraId="5D27CE70">
      <w:pPr>
        <w:adjustRightInd w:val="0"/>
        <w:snapToGrid w:val="0"/>
        <w:spacing w:before="120" w:beforeLines="50" w:line="360" w:lineRule="auto"/>
        <w:ind w:firstLine="420" w:firstLineChars="200"/>
        <w:jc w:val="left"/>
        <w:rPr>
          <w:color w:val="auto"/>
          <w:sz w:val="24"/>
        </w:rPr>
      </w:pPr>
      <w:r>
        <w:rPr>
          <w:rFonts w:hint="eastAsia" w:ascii="宋体" w:hAnsi="宋体"/>
          <w:color w:val="auto"/>
        </w:rPr>
        <w:t>招标文件需要补充的其</w:t>
      </w:r>
      <w:r>
        <w:rPr>
          <w:rFonts w:hint="eastAsia" w:ascii="宋体" w:hAnsi="宋体"/>
          <w:color w:val="auto"/>
          <w:szCs w:val="21"/>
        </w:rPr>
        <w:t>他内容见</w:t>
      </w:r>
      <w:r>
        <w:rPr>
          <w:rFonts w:hint="eastAsia" w:ascii="宋体" w:hAnsi="宋体"/>
          <w:b/>
          <w:color w:val="auto"/>
          <w:szCs w:val="21"/>
        </w:rPr>
        <w:t>投标须知前附表</w:t>
      </w:r>
      <w:r>
        <w:rPr>
          <w:rFonts w:hint="eastAsia" w:ascii="宋体" w:hAnsi="宋体"/>
          <w:color w:val="auto"/>
          <w:szCs w:val="21"/>
        </w:rPr>
        <w:t>。</w:t>
      </w:r>
    </w:p>
    <w:p w14:paraId="1CF880C9">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宋体" w:hAnsi="宋体"/>
          <w:color w:val="auto"/>
          <w:sz w:val="24"/>
        </w:rPr>
      </w:pPr>
      <w:bookmarkStart w:id="89" w:name="_Toc31201"/>
      <w:bookmarkStart w:id="90" w:name="_Toc29636"/>
      <w:r>
        <w:rPr>
          <w:rFonts w:hint="eastAsia" w:ascii="宋体" w:hAnsi="宋体"/>
          <w:color w:val="auto"/>
          <w:sz w:val="44"/>
          <w:szCs w:val="44"/>
        </w:rPr>
        <w:t>第三章</w:t>
      </w:r>
      <w:bookmarkStart w:id="91" w:name="_Toc217446093"/>
      <w:r>
        <w:rPr>
          <w:rFonts w:hint="eastAsia" w:ascii="宋体" w:hAnsi="宋体"/>
          <w:color w:val="auto"/>
          <w:sz w:val="44"/>
          <w:szCs w:val="44"/>
        </w:rPr>
        <w:t xml:space="preserve"> 磋商办法</w:t>
      </w:r>
      <w:bookmarkEnd w:id="89"/>
      <w:bookmarkEnd w:id="90"/>
    </w:p>
    <w:p w14:paraId="47D81B77">
      <w:pPr>
        <w:spacing w:line="360" w:lineRule="auto"/>
        <w:ind w:firstLine="420" w:firstLineChars="200"/>
        <w:rPr>
          <w:rFonts w:ascii="宋体" w:hAnsi="宋体"/>
          <w:color w:val="auto"/>
          <w:szCs w:val="21"/>
        </w:rPr>
      </w:pPr>
      <w:r>
        <w:rPr>
          <w:rFonts w:hint="eastAsia" w:ascii="宋体" w:hAnsi="宋体"/>
          <w:color w:val="auto"/>
          <w:szCs w:val="21"/>
        </w:rPr>
        <w:t>根据《中华人民共和国政府采购法》及其实施条例和财政部《政府采购竞争性磋商采购方式管理暂行办法》（财库【2014】214号）等法律法规的规定，结合采购项目特点，制定本磋商办法。</w:t>
      </w:r>
    </w:p>
    <w:p w14:paraId="76F43218">
      <w:pPr>
        <w:outlineLvl w:val="9"/>
        <w:rPr>
          <w:rFonts w:ascii="黑体" w:hAnsi="宋体"/>
          <w:b w:val="0"/>
          <w:bCs/>
          <w:color w:val="auto"/>
          <w:sz w:val="36"/>
          <w:szCs w:val="36"/>
        </w:rPr>
      </w:pPr>
      <w:bookmarkStart w:id="92" w:name="_Toc595"/>
      <w:r>
        <w:rPr>
          <w:rFonts w:hint="eastAsia" w:ascii="黑体" w:hAnsi="宋体"/>
          <w:b w:val="0"/>
          <w:bCs/>
          <w:color w:val="auto"/>
          <w:sz w:val="36"/>
          <w:szCs w:val="36"/>
        </w:rPr>
        <w:t>1.磋商程序</w:t>
      </w:r>
      <w:bookmarkEnd w:id="92"/>
    </w:p>
    <w:p w14:paraId="3D156A5E">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1.1 磋商按下列程序进行：</w:t>
      </w:r>
    </w:p>
    <w:p w14:paraId="49E703BA">
      <w:pPr>
        <w:spacing w:line="360" w:lineRule="auto"/>
        <w:ind w:firstLine="420" w:firstLineChars="200"/>
        <w:rPr>
          <w:rFonts w:ascii="宋体" w:hAnsi="宋体"/>
          <w:color w:val="auto"/>
          <w:szCs w:val="21"/>
        </w:rPr>
      </w:pPr>
      <w:r>
        <w:rPr>
          <w:rFonts w:hint="eastAsia" w:ascii="宋体" w:hAnsi="宋体"/>
          <w:color w:val="auto"/>
          <w:szCs w:val="21"/>
        </w:rPr>
        <w:t>（1）响应文件初步评审；</w:t>
      </w:r>
    </w:p>
    <w:p w14:paraId="6BE7F67B">
      <w:pPr>
        <w:spacing w:line="360" w:lineRule="auto"/>
        <w:ind w:firstLine="420" w:firstLineChars="200"/>
        <w:rPr>
          <w:rFonts w:ascii="宋体" w:hAnsi="宋体"/>
          <w:color w:val="auto"/>
          <w:szCs w:val="21"/>
        </w:rPr>
      </w:pPr>
      <w:r>
        <w:rPr>
          <w:rFonts w:hint="eastAsia" w:ascii="宋体" w:hAnsi="宋体"/>
          <w:color w:val="auto"/>
          <w:szCs w:val="21"/>
        </w:rPr>
        <w:t>（2）响应文件的澄清；</w:t>
      </w:r>
    </w:p>
    <w:p w14:paraId="00704269">
      <w:pPr>
        <w:spacing w:line="360" w:lineRule="auto"/>
        <w:ind w:firstLine="420" w:firstLineChars="200"/>
        <w:rPr>
          <w:rFonts w:ascii="宋体" w:hAnsi="宋体"/>
          <w:color w:val="auto"/>
          <w:szCs w:val="21"/>
        </w:rPr>
      </w:pPr>
      <w:r>
        <w:rPr>
          <w:rFonts w:hint="eastAsia" w:ascii="宋体" w:hAnsi="宋体"/>
          <w:color w:val="auto"/>
          <w:szCs w:val="21"/>
        </w:rPr>
        <w:t>（3）磋商（包括技术磋商、商务磋商、提交最后报价）；</w:t>
      </w:r>
    </w:p>
    <w:p w14:paraId="2AE5417D">
      <w:pPr>
        <w:spacing w:line="360" w:lineRule="auto"/>
        <w:ind w:firstLine="420" w:firstLineChars="200"/>
        <w:rPr>
          <w:rFonts w:ascii="宋体" w:hAnsi="宋体"/>
          <w:color w:val="auto"/>
          <w:szCs w:val="21"/>
        </w:rPr>
      </w:pPr>
      <w:r>
        <w:rPr>
          <w:rFonts w:hint="eastAsia" w:ascii="宋体" w:hAnsi="宋体"/>
          <w:color w:val="auto"/>
          <w:szCs w:val="21"/>
        </w:rPr>
        <w:t>（4）响应文件详细评审；</w:t>
      </w:r>
    </w:p>
    <w:p w14:paraId="118CE50A">
      <w:pPr>
        <w:spacing w:line="360" w:lineRule="auto"/>
        <w:ind w:firstLine="420" w:firstLineChars="200"/>
        <w:rPr>
          <w:rFonts w:ascii="宋体" w:hAnsi="宋体"/>
          <w:color w:val="auto"/>
          <w:szCs w:val="21"/>
        </w:rPr>
      </w:pPr>
      <w:r>
        <w:rPr>
          <w:rFonts w:hint="eastAsia" w:ascii="宋体" w:hAnsi="宋体"/>
          <w:color w:val="auto"/>
          <w:szCs w:val="21"/>
        </w:rPr>
        <w:t>（5）复核与核对评审结果；</w:t>
      </w:r>
    </w:p>
    <w:p w14:paraId="7DDF5960">
      <w:pPr>
        <w:spacing w:line="360" w:lineRule="auto"/>
        <w:ind w:firstLine="420" w:firstLineChars="200"/>
        <w:rPr>
          <w:rFonts w:ascii="宋体" w:hAnsi="宋体"/>
          <w:color w:val="auto"/>
          <w:szCs w:val="21"/>
        </w:rPr>
      </w:pPr>
      <w:r>
        <w:rPr>
          <w:rFonts w:hint="eastAsia" w:ascii="宋体" w:hAnsi="宋体"/>
          <w:color w:val="auto"/>
          <w:szCs w:val="21"/>
        </w:rPr>
        <w:t>（6）确定成交候选人名单；</w:t>
      </w:r>
    </w:p>
    <w:p w14:paraId="04808EB5">
      <w:pPr>
        <w:spacing w:line="360" w:lineRule="auto"/>
        <w:ind w:firstLine="420" w:firstLineChars="200"/>
        <w:rPr>
          <w:rFonts w:ascii="宋体" w:hAnsi="宋体"/>
          <w:color w:val="auto"/>
          <w:szCs w:val="21"/>
        </w:rPr>
      </w:pPr>
      <w:r>
        <w:rPr>
          <w:rFonts w:hint="eastAsia" w:ascii="宋体" w:hAnsi="宋体"/>
          <w:color w:val="auto"/>
          <w:szCs w:val="21"/>
        </w:rPr>
        <w:t>（7）编写评审报告。</w:t>
      </w:r>
    </w:p>
    <w:p w14:paraId="2D26D6D0">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1.2 响应文件初步评审</w:t>
      </w:r>
    </w:p>
    <w:p w14:paraId="40D2E34F">
      <w:pPr>
        <w:tabs>
          <w:tab w:val="left" w:pos="0"/>
        </w:tabs>
        <w:adjustRightInd w:val="0"/>
        <w:snapToGrid w:val="0"/>
        <w:spacing w:line="360" w:lineRule="auto"/>
        <w:ind w:firstLine="413" w:firstLineChars="196"/>
        <w:rPr>
          <w:rFonts w:ascii="宋体" w:hAnsi="宋体"/>
          <w:b/>
          <w:color w:val="auto"/>
          <w:szCs w:val="21"/>
        </w:rPr>
      </w:pPr>
      <w:r>
        <w:rPr>
          <w:rFonts w:hint="eastAsia" w:ascii="宋体" w:hAnsi="宋体"/>
          <w:b/>
          <w:color w:val="auto"/>
          <w:szCs w:val="21"/>
        </w:rPr>
        <w:t>1.2.1 资格性审查</w:t>
      </w:r>
    </w:p>
    <w:p w14:paraId="772C1584">
      <w:pPr>
        <w:spacing w:before="120" w:beforeLines="50" w:after="120" w:afterLines="50"/>
        <w:ind w:firstLine="420" w:firstLineChars="200"/>
        <w:outlineLvl w:val="9"/>
        <w:rPr>
          <w:rFonts w:ascii="宋体" w:hAnsi="宋体"/>
          <w:b w:val="0"/>
          <w:color w:val="auto"/>
          <w:sz w:val="21"/>
          <w:szCs w:val="21"/>
        </w:rPr>
      </w:pPr>
      <w:r>
        <w:rPr>
          <w:rFonts w:hint="eastAsia" w:ascii="宋体" w:hAnsi="宋体"/>
          <w:b w:val="0"/>
          <w:color w:val="auto"/>
          <w:sz w:val="21"/>
          <w:szCs w:val="21"/>
        </w:rPr>
        <w:t>1.2.1.1资格审查人员</w:t>
      </w:r>
    </w:p>
    <w:p w14:paraId="05D39E1E">
      <w:pPr>
        <w:snapToGrid w:val="0"/>
        <w:spacing w:line="360" w:lineRule="auto"/>
        <w:ind w:firstLine="420"/>
        <w:rPr>
          <w:rFonts w:ascii="宋体" w:hAnsi="宋体"/>
          <w:color w:val="auto"/>
          <w:szCs w:val="21"/>
        </w:rPr>
      </w:pPr>
      <w:r>
        <w:rPr>
          <w:rFonts w:hint="eastAsia" w:ascii="宋体" w:hAnsi="宋体"/>
          <w:color w:val="auto"/>
          <w:szCs w:val="21"/>
        </w:rPr>
        <w:t>磋商会议结束后，</w:t>
      </w:r>
      <w:r>
        <w:rPr>
          <w:rFonts w:hint="eastAsia" w:ascii="宋体" w:hAnsi="宋体"/>
          <w:color w:val="auto"/>
          <w:szCs w:val="21"/>
          <w:lang w:val="en-US" w:eastAsia="zh-CN"/>
        </w:rPr>
        <w:t>采购人</w:t>
      </w:r>
      <w:r>
        <w:rPr>
          <w:rFonts w:hint="eastAsia" w:ascii="宋体" w:hAnsi="宋体"/>
          <w:color w:val="auto"/>
          <w:szCs w:val="21"/>
        </w:rPr>
        <w:t>按照《中华人民共和国政府采购法》，对响应文件正本中的供应商资格证明文件进行审查。资格审查结束后，资格审查人员对审查结果进行签字确认，若供应商资格审查未通过，注明未通过原因并告知供应商。</w:t>
      </w:r>
    </w:p>
    <w:p w14:paraId="5360E927">
      <w:pPr>
        <w:snapToGrid w:val="0"/>
        <w:spacing w:before="120" w:beforeLines="50" w:after="120" w:afterLines="50" w:line="360" w:lineRule="auto"/>
        <w:ind w:firstLine="420"/>
        <w:rPr>
          <w:rFonts w:ascii="宋体" w:hAnsi="宋体"/>
          <w:b/>
          <w:color w:val="auto"/>
          <w:szCs w:val="21"/>
        </w:rPr>
      </w:pPr>
      <w:r>
        <w:rPr>
          <w:rFonts w:hint="eastAsia" w:ascii="宋体" w:hAnsi="宋体"/>
          <w:b/>
          <w:color w:val="auto"/>
          <w:szCs w:val="21"/>
        </w:rPr>
        <w:t>1.2.2资格审查办法</w:t>
      </w:r>
    </w:p>
    <w:p w14:paraId="46E6357F">
      <w:pPr>
        <w:snapToGrid w:val="0"/>
        <w:spacing w:line="360" w:lineRule="auto"/>
        <w:ind w:firstLine="420"/>
        <w:rPr>
          <w:rFonts w:hint="eastAsia" w:ascii="宋体" w:hAnsi="宋体"/>
          <w:color w:val="auto"/>
          <w:szCs w:val="21"/>
        </w:rPr>
      </w:pPr>
      <w:r>
        <w:rPr>
          <w:rFonts w:hint="eastAsia" w:ascii="宋体" w:hAnsi="宋体"/>
          <w:color w:val="auto"/>
          <w:szCs w:val="21"/>
        </w:rPr>
        <w:t>1.2.2.1资格审查在开标之后评标之前进行。</w:t>
      </w:r>
    </w:p>
    <w:p w14:paraId="43C4792E">
      <w:pPr>
        <w:snapToGrid w:val="0"/>
        <w:spacing w:line="360" w:lineRule="auto"/>
        <w:ind w:firstLine="420"/>
        <w:rPr>
          <w:rFonts w:ascii="宋体" w:hAnsi="宋体"/>
          <w:b w:val="0"/>
          <w:color w:val="auto"/>
          <w:sz w:val="21"/>
          <w:szCs w:val="21"/>
        </w:rPr>
      </w:pPr>
      <w:r>
        <w:rPr>
          <w:rFonts w:hint="eastAsia" w:ascii="宋体" w:hAnsi="宋体"/>
          <w:b w:val="0"/>
          <w:color w:val="auto"/>
          <w:sz w:val="21"/>
          <w:szCs w:val="21"/>
        </w:rPr>
        <w:t>1.2.2.2资格审查人员将依据供应商响应文件，按照磋商文件第三章3.1条款所述资格要求对供应商进行资格审查，以确定其是否具备相应资格。如果供应商不具备资格、不满足磋商文件所规定的资格条件,将被视为未实质性响应磋商文件,按无效投标处理，资格审查不合格的供应商，不得进入下一评审环节。</w:t>
      </w:r>
      <w:r>
        <w:rPr>
          <w:rFonts w:hint="eastAsia" w:ascii="宋体" w:hAnsi="宋体"/>
          <w:b w:val="0"/>
          <w:color w:val="auto"/>
          <w:sz w:val="21"/>
          <w:szCs w:val="21"/>
          <w:lang w:val="en-US" w:eastAsia="zh-CN"/>
        </w:rPr>
        <w:t xml:space="preserve">          </w:t>
      </w:r>
      <w:r>
        <w:rPr>
          <w:rFonts w:hint="eastAsia" w:ascii="宋体" w:hAnsi="宋体"/>
          <w:b w:val="0"/>
          <w:color w:val="auto"/>
          <w:sz w:val="21"/>
          <w:szCs w:val="21"/>
        </w:rPr>
        <w:t>1.2.2.3 供应商须知前附表规定本项目专门面向中小企业采购的，供应商应符合政府采购政策规定的中小企业条件，并提供相应证明材料：《中小企业声明函》或者《残疾人福利性单位声明函》或者监狱企业的证明。不提供或提供有瑕疵的，不得进入下一评标环节。</w:t>
      </w:r>
    </w:p>
    <w:p w14:paraId="282C42E6">
      <w:pPr>
        <w:snapToGrid w:val="0"/>
        <w:spacing w:before="0" w:after="0" w:line="360" w:lineRule="auto"/>
        <w:ind w:firstLine="420" w:firstLineChars="200"/>
        <w:outlineLvl w:val="9"/>
        <w:rPr>
          <w:rFonts w:ascii="宋体" w:hAnsi="宋体"/>
          <w:b w:val="0"/>
          <w:color w:val="auto"/>
          <w:sz w:val="21"/>
          <w:szCs w:val="21"/>
        </w:rPr>
      </w:pPr>
      <w:r>
        <w:rPr>
          <w:rFonts w:hint="eastAsia" w:ascii="宋体" w:hAnsi="宋体"/>
          <w:b w:val="0"/>
          <w:color w:val="auto"/>
          <w:sz w:val="21"/>
          <w:szCs w:val="21"/>
        </w:rPr>
        <w:t>1.2.2.4供应商信用查询结果使用，凡存在下列情形之一的，审查不予通过：</w:t>
      </w:r>
    </w:p>
    <w:p w14:paraId="7D9DB1D1">
      <w:pPr>
        <w:snapToGrid w:val="0"/>
        <w:spacing w:before="0" w:after="0" w:line="360" w:lineRule="auto"/>
        <w:ind w:firstLine="420" w:firstLineChars="200"/>
        <w:outlineLvl w:val="9"/>
        <w:rPr>
          <w:rFonts w:ascii="宋体" w:hAnsi="宋体"/>
          <w:b w:val="0"/>
          <w:color w:val="auto"/>
          <w:sz w:val="21"/>
          <w:szCs w:val="21"/>
        </w:rPr>
      </w:pPr>
      <w:r>
        <w:rPr>
          <w:rFonts w:hint="eastAsia" w:ascii="宋体" w:hAnsi="宋体"/>
          <w:b w:val="0"/>
          <w:color w:val="auto"/>
          <w:sz w:val="21"/>
          <w:szCs w:val="21"/>
        </w:rPr>
        <w:t>（1）列入严重违法失信名单的；</w:t>
      </w:r>
    </w:p>
    <w:p w14:paraId="52CDD1BB">
      <w:pPr>
        <w:snapToGrid w:val="0"/>
        <w:spacing w:before="0" w:after="0" w:line="360" w:lineRule="auto"/>
        <w:ind w:firstLine="420" w:firstLineChars="200"/>
        <w:outlineLvl w:val="9"/>
        <w:rPr>
          <w:rFonts w:ascii="宋体" w:hAnsi="宋体"/>
          <w:b w:val="0"/>
          <w:color w:val="auto"/>
          <w:sz w:val="21"/>
          <w:szCs w:val="21"/>
        </w:rPr>
      </w:pPr>
      <w:r>
        <w:rPr>
          <w:rFonts w:hint="eastAsia" w:ascii="宋体" w:hAnsi="宋体"/>
          <w:b w:val="0"/>
          <w:color w:val="auto"/>
          <w:sz w:val="21"/>
          <w:szCs w:val="21"/>
        </w:rPr>
        <w:t>（2）列入政府采购严重违法失信行为记录名单的；</w:t>
      </w:r>
    </w:p>
    <w:p w14:paraId="7B55AB4C">
      <w:pPr>
        <w:snapToGrid w:val="0"/>
        <w:spacing w:before="0" w:after="0" w:line="360" w:lineRule="auto"/>
        <w:ind w:firstLine="420" w:firstLineChars="200"/>
        <w:outlineLvl w:val="9"/>
        <w:rPr>
          <w:rFonts w:ascii="宋体" w:hAnsi="宋体"/>
          <w:b w:val="0"/>
          <w:color w:val="auto"/>
          <w:sz w:val="21"/>
          <w:szCs w:val="21"/>
        </w:rPr>
      </w:pPr>
      <w:r>
        <w:rPr>
          <w:rFonts w:hint="eastAsia" w:ascii="宋体" w:hAnsi="宋体"/>
          <w:b w:val="0"/>
          <w:color w:val="auto"/>
          <w:sz w:val="21"/>
          <w:szCs w:val="21"/>
        </w:rPr>
        <w:t>（3）列入重大税收违法案件当事人名单的；</w:t>
      </w:r>
    </w:p>
    <w:p w14:paraId="0296BB04">
      <w:pPr>
        <w:snapToGrid w:val="0"/>
        <w:spacing w:before="0" w:after="0" w:line="360" w:lineRule="auto"/>
        <w:ind w:firstLine="420" w:firstLineChars="200"/>
        <w:outlineLvl w:val="9"/>
        <w:rPr>
          <w:rFonts w:ascii="宋体" w:hAnsi="宋体"/>
          <w:b w:val="0"/>
          <w:color w:val="auto"/>
          <w:sz w:val="21"/>
          <w:szCs w:val="21"/>
        </w:rPr>
      </w:pPr>
      <w:r>
        <w:rPr>
          <w:rFonts w:hint="eastAsia" w:ascii="宋体" w:hAnsi="宋体"/>
          <w:b w:val="0"/>
          <w:color w:val="auto"/>
          <w:sz w:val="21"/>
          <w:szCs w:val="21"/>
        </w:rPr>
        <w:t>（4）近3年内受到暂扣或者吊销许可证、暂扣或者吊销执照行政处罚的；</w:t>
      </w:r>
    </w:p>
    <w:p w14:paraId="6E276D2E">
      <w:pPr>
        <w:snapToGrid w:val="0"/>
        <w:spacing w:before="0" w:after="0" w:line="360" w:lineRule="auto"/>
        <w:ind w:firstLine="420" w:firstLineChars="200"/>
        <w:outlineLvl w:val="9"/>
        <w:rPr>
          <w:rFonts w:ascii="宋体" w:hAnsi="宋体"/>
          <w:b w:val="0"/>
          <w:color w:val="auto"/>
          <w:sz w:val="21"/>
          <w:szCs w:val="21"/>
        </w:rPr>
      </w:pPr>
      <w:r>
        <w:rPr>
          <w:rFonts w:hint="eastAsia" w:ascii="宋体" w:hAnsi="宋体"/>
          <w:b w:val="0"/>
          <w:color w:val="auto"/>
          <w:sz w:val="21"/>
          <w:szCs w:val="21"/>
        </w:rPr>
        <w:t>（5）近3年内受到责令停产停业行政处罚的；</w:t>
      </w:r>
    </w:p>
    <w:p w14:paraId="10EF1E23">
      <w:pPr>
        <w:snapToGrid w:val="0"/>
        <w:spacing w:before="0" w:after="0" w:line="360" w:lineRule="auto"/>
        <w:ind w:firstLine="420" w:firstLineChars="200"/>
        <w:outlineLvl w:val="9"/>
        <w:rPr>
          <w:rFonts w:ascii="宋体" w:hAnsi="宋体"/>
          <w:color w:val="auto"/>
          <w:szCs w:val="21"/>
        </w:rPr>
      </w:pPr>
      <w:r>
        <w:rPr>
          <w:rFonts w:hint="eastAsia" w:ascii="宋体" w:hAnsi="宋体"/>
          <w:b w:val="0"/>
          <w:color w:val="auto"/>
          <w:sz w:val="21"/>
          <w:szCs w:val="21"/>
        </w:rPr>
        <w:t>（6）法律法规规定的其他情形的。</w:t>
      </w:r>
    </w:p>
    <w:p w14:paraId="650D147D">
      <w:pPr>
        <w:tabs>
          <w:tab w:val="left" w:pos="0"/>
        </w:tabs>
        <w:adjustRightInd w:val="0"/>
        <w:snapToGrid w:val="0"/>
        <w:spacing w:line="360" w:lineRule="auto"/>
        <w:ind w:firstLine="723" w:firstLineChars="343"/>
        <w:rPr>
          <w:rFonts w:ascii="宋体" w:hAnsi="宋体" w:cs="宋体"/>
          <w:b/>
          <w:color w:val="auto"/>
          <w:kern w:val="0"/>
          <w:szCs w:val="21"/>
        </w:rPr>
      </w:pPr>
      <w:r>
        <w:rPr>
          <w:rFonts w:hint="eastAsia" w:ascii="宋体" w:hAnsi="宋体" w:cs="宋体"/>
          <w:b/>
          <w:color w:val="auto"/>
          <w:kern w:val="0"/>
          <w:szCs w:val="21"/>
        </w:rPr>
        <w:t>1.2.3基本资格条件的审查标准：</w:t>
      </w:r>
    </w:p>
    <w:p w14:paraId="57F18BE1">
      <w:pPr>
        <w:tabs>
          <w:tab w:val="left" w:pos="0"/>
        </w:tabs>
        <w:adjustRightInd w:val="0"/>
        <w:snapToGrid w:val="0"/>
        <w:spacing w:after="120" w:afterLines="50" w:line="360" w:lineRule="auto"/>
        <w:ind w:firstLine="735" w:firstLineChars="350"/>
        <w:rPr>
          <w:rFonts w:hint="eastAsia" w:ascii="宋体" w:hAnsi="宋体" w:cs="宋体"/>
          <w:color w:val="auto"/>
          <w:kern w:val="0"/>
          <w:szCs w:val="21"/>
        </w:rPr>
      </w:pPr>
      <w:r>
        <w:rPr>
          <w:rFonts w:hint="eastAsia" w:ascii="宋体" w:hAnsi="宋体" w:cs="宋体"/>
          <w:color w:val="auto"/>
          <w:kern w:val="0"/>
          <w:szCs w:val="21"/>
        </w:rPr>
        <w:t>采购人将按下表所列举的审查标准对供应商的基本资格条件进行</w:t>
      </w:r>
      <w:r>
        <w:rPr>
          <w:rFonts w:hint="eastAsia" w:ascii="宋体" w:cs="宋体"/>
          <w:bCs/>
          <w:color w:val="auto"/>
          <w:szCs w:val="21"/>
        </w:rPr>
        <w:t>审查，供应商若</w:t>
      </w:r>
      <w:r>
        <w:rPr>
          <w:rFonts w:hint="eastAsia" w:ascii="宋体" w:hAnsi="宋体" w:cs="宋体"/>
          <w:color w:val="auto"/>
          <w:kern w:val="0"/>
          <w:szCs w:val="21"/>
        </w:rPr>
        <w:t>有一项不合格，即判定其基本资格条件审查结果为不合格，将不具备磋商资格，按无效响应文件处理。</w:t>
      </w:r>
    </w:p>
    <w:tbl>
      <w:tblPr>
        <w:tblStyle w:val="22"/>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6095"/>
        <w:gridCol w:w="3231"/>
      </w:tblGrid>
      <w:tr w14:paraId="3C15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3" w:type="dxa"/>
            <w:vAlign w:val="center"/>
          </w:tcPr>
          <w:p w14:paraId="13F3AFE4">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b/>
                <w:color w:val="auto"/>
                <w:kern w:val="0"/>
                <w:sz w:val="24"/>
              </w:rPr>
            </w:pPr>
            <w:r>
              <w:rPr>
                <w:rFonts w:hint="eastAsia" w:ascii="宋体" w:hAnsi="宋体" w:cs="宋体"/>
                <w:b/>
                <w:color w:val="auto"/>
                <w:kern w:val="0"/>
                <w:sz w:val="24"/>
              </w:rPr>
              <w:t>序号</w:t>
            </w:r>
          </w:p>
        </w:tc>
        <w:tc>
          <w:tcPr>
            <w:tcW w:w="6095" w:type="dxa"/>
            <w:vAlign w:val="center"/>
          </w:tcPr>
          <w:p w14:paraId="63AEE09E">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b/>
                <w:color w:val="auto"/>
                <w:kern w:val="0"/>
                <w:sz w:val="24"/>
              </w:rPr>
            </w:pPr>
            <w:r>
              <w:rPr>
                <w:rFonts w:hint="eastAsia" w:ascii="宋体" w:hAnsi="宋体" w:cs="宋体"/>
                <w:b/>
                <w:color w:val="auto"/>
                <w:kern w:val="0"/>
                <w:sz w:val="24"/>
              </w:rPr>
              <w:t>审查因素</w:t>
            </w:r>
          </w:p>
        </w:tc>
        <w:tc>
          <w:tcPr>
            <w:tcW w:w="3231" w:type="dxa"/>
            <w:vAlign w:val="center"/>
          </w:tcPr>
          <w:p w14:paraId="2BC5A665">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b/>
                <w:color w:val="auto"/>
                <w:kern w:val="0"/>
                <w:sz w:val="24"/>
              </w:rPr>
            </w:pPr>
            <w:r>
              <w:rPr>
                <w:rFonts w:hint="eastAsia" w:ascii="宋体" w:hAnsi="宋体" w:cs="宋体"/>
                <w:b/>
                <w:color w:val="auto"/>
                <w:kern w:val="0"/>
                <w:sz w:val="24"/>
              </w:rPr>
              <w:t>审查标准</w:t>
            </w:r>
          </w:p>
        </w:tc>
      </w:tr>
      <w:tr w14:paraId="41BE6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vAlign w:val="center"/>
          </w:tcPr>
          <w:p w14:paraId="2A0C67E9">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1</w:t>
            </w:r>
          </w:p>
        </w:tc>
        <w:tc>
          <w:tcPr>
            <w:tcW w:w="6095" w:type="dxa"/>
            <w:vAlign w:val="center"/>
          </w:tcPr>
          <w:p w14:paraId="6D92093A">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jc w:val="both"/>
              <w:textAlignment w:val="baseline"/>
              <w:rPr>
                <w:rFonts w:ascii="宋体" w:hAnsi="宋体" w:cs="宋体"/>
                <w:color w:val="auto"/>
                <w:kern w:val="0"/>
                <w:szCs w:val="21"/>
              </w:rPr>
            </w:pPr>
            <w:r>
              <w:rPr>
                <w:rFonts w:hint="eastAsia" w:cs="宋体"/>
                <w:color w:val="auto"/>
                <w:sz w:val="21"/>
                <w:szCs w:val="21"/>
                <w:shd w:val="clear" w:color="auto" w:fill="FFFFFF"/>
              </w:rPr>
              <w:t>具有独立承担民事责任能力的法人、其他组织或自然人，并出具合法有效的营业执照或事业单位法人证书等国家规定的相关证明，自然人参与的提供其身份证明</w:t>
            </w:r>
          </w:p>
        </w:tc>
        <w:tc>
          <w:tcPr>
            <w:tcW w:w="3231" w:type="dxa"/>
            <w:vAlign w:val="center"/>
          </w:tcPr>
          <w:p w14:paraId="1030A9D1">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符合磋商文件要求,合法有效</w:t>
            </w:r>
          </w:p>
        </w:tc>
      </w:tr>
      <w:tr w14:paraId="35734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63" w:type="dxa"/>
            <w:vAlign w:val="center"/>
          </w:tcPr>
          <w:p w14:paraId="413BC32D">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2</w:t>
            </w:r>
          </w:p>
        </w:tc>
        <w:tc>
          <w:tcPr>
            <w:tcW w:w="6095" w:type="dxa"/>
            <w:vAlign w:val="center"/>
          </w:tcPr>
          <w:p w14:paraId="4ABA7EC3">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jc w:val="both"/>
              <w:textAlignment w:val="baseline"/>
              <w:rPr>
                <w:rFonts w:ascii="宋体" w:hAnsi="宋体" w:cs="宋体"/>
                <w:color w:val="auto"/>
                <w:kern w:val="0"/>
                <w:szCs w:val="21"/>
              </w:rPr>
            </w:pPr>
            <w:r>
              <w:rPr>
                <w:rFonts w:hint="eastAsia" w:cs="宋体"/>
                <w:color w:val="auto"/>
                <w:sz w:val="21"/>
                <w:szCs w:val="21"/>
                <w:shd w:val="clear" w:color="auto" w:fill="FFFFFF"/>
              </w:rPr>
              <w:t>具备地质灾害评估和治理工程勘察设计甲级及以上资质</w:t>
            </w:r>
          </w:p>
        </w:tc>
        <w:tc>
          <w:tcPr>
            <w:tcW w:w="3231" w:type="dxa"/>
            <w:vAlign w:val="center"/>
          </w:tcPr>
          <w:p w14:paraId="07335897">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符合磋商文件要求,合法有效</w:t>
            </w:r>
          </w:p>
        </w:tc>
      </w:tr>
      <w:tr w14:paraId="5E05B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763" w:type="dxa"/>
            <w:vAlign w:val="center"/>
          </w:tcPr>
          <w:p w14:paraId="234F6B7B">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3</w:t>
            </w:r>
          </w:p>
        </w:tc>
        <w:tc>
          <w:tcPr>
            <w:tcW w:w="6095" w:type="dxa"/>
            <w:vAlign w:val="center"/>
          </w:tcPr>
          <w:p w14:paraId="69EABAC5">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cs="宋体"/>
                <w:b w:val="0"/>
                <w:bCs w:val="0"/>
                <w:color w:val="auto"/>
                <w:sz w:val="21"/>
                <w:szCs w:val="21"/>
                <w:shd w:val="clear" w:color="auto" w:fill="FFFFFF"/>
              </w:rPr>
            </w:pPr>
            <w:r>
              <w:rPr>
                <w:rFonts w:hint="eastAsia" w:cs="宋体"/>
                <w:color w:val="auto"/>
                <w:sz w:val="21"/>
                <w:szCs w:val="21"/>
                <w:shd w:val="clear" w:color="auto" w:fill="FFFFFF"/>
              </w:rPr>
              <w:t>拟派项目负责人须具备相关专业中级及以上职称</w:t>
            </w:r>
          </w:p>
        </w:tc>
        <w:tc>
          <w:tcPr>
            <w:tcW w:w="3231" w:type="dxa"/>
            <w:vAlign w:val="center"/>
          </w:tcPr>
          <w:p w14:paraId="60720B89">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符合磋商文件要求,合法有效</w:t>
            </w:r>
          </w:p>
        </w:tc>
      </w:tr>
      <w:tr w14:paraId="05E8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63" w:type="dxa"/>
            <w:vAlign w:val="center"/>
          </w:tcPr>
          <w:p w14:paraId="4CB3EB7F">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4</w:t>
            </w:r>
          </w:p>
        </w:tc>
        <w:tc>
          <w:tcPr>
            <w:tcW w:w="6095" w:type="dxa"/>
            <w:vAlign w:val="center"/>
          </w:tcPr>
          <w:p w14:paraId="6A909ED2">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jc w:val="both"/>
              <w:textAlignment w:val="baseline"/>
              <w:rPr>
                <w:rFonts w:hint="eastAsia" w:cs="宋体"/>
                <w:b w:val="0"/>
                <w:bCs w:val="0"/>
                <w:color w:val="auto"/>
                <w:sz w:val="21"/>
                <w:szCs w:val="21"/>
                <w:shd w:val="clear" w:color="auto" w:fill="FFFFFF"/>
              </w:rPr>
            </w:pPr>
            <w:r>
              <w:rPr>
                <w:rFonts w:hint="eastAsia" w:cs="宋体"/>
                <w:color w:val="auto"/>
                <w:sz w:val="21"/>
                <w:szCs w:val="21"/>
                <w:shd w:val="clear" w:color="auto" w:fill="FFFFFF"/>
              </w:rPr>
              <w:t>法定代表人授权代表参加磋商的，提供法定代表人授权委托书及被授权人身份证原件；法定代表人参加磋商时,提供法定代表人身份证明及本人身份证原件</w:t>
            </w:r>
          </w:p>
        </w:tc>
        <w:tc>
          <w:tcPr>
            <w:tcW w:w="3231" w:type="dxa"/>
            <w:vAlign w:val="center"/>
          </w:tcPr>
          <w:p w14:paraId="44B05833">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符合磋商文件要求,合法有效</w:t>
            </w:r>
          </w:p>
        </w:tc>
      </w:tr>
      <w:tr w14:paraId="527BC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763" w:type="dxa"/>
            <w:vAlign w:val="center"/>
          </w:tcPr>
          <w:p w14:paraId="46022A3A">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5</w:t>
            </w:r>
          </w:p>
        </w:tc>
        <w:tc>
          <w:tcPr>
            <w:tcW w:w="6095" w:type="dxa"/>
            <w:vAlign w:val="center"/>
          </w:tcPr>
          <w:p w14:paraId="426351AB">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0"/>
              <w:jc w:val="both"/>
              <w:textAlignment w:val="baseline"/>
              <w:rPr>
                <w:rFonts w:hint="eastAsia" w:ascii="宋体" w:hAnsi="宋体" w:eastAsia="宋体" w:cs="宋体"/>
                <w:color w:val="auto"/>
                <w:kern w:val="0"/>
                <w:sz w:val="18"/>
                <w:szCs w:val="21"/>
                <w:lang w:val="en-US" w:eastAsia="zh-CN" w:bidi="ar-SA"/>
              </w:rPr>
            </w:pPr>
            <w:r>
              <w:rPr>
                <w:rFonts w:hint="eastAsia" w:cs="宋体"/>
                <w:color w:val="auto"/>
                <w:sz w:val="21"/>
                <w:szCs w:val="21"/>
                <w:shd w:val="clear" w:color="auto" w:fill="FFFFFF"/>
              </w:rPr>
              <w:t>社会保障资金缴纳证明：供应商提供本单位响应截止时间前六个月内已缴纳的至少一个月的社会保障资金缴存单据或社保机构开具的社会保险参保缴费情况证明，单据或证明上应有社保机构或代收机构的公章。依法不需要缴纳社会保障资金的供应商应提供相关文件证明</w:t>
            </w:r>
          </w:p>
        </w:tc>
        <w:tc>
          <w:tcPr>
            <w:tcW w:w="3231" w:type="dxa"/>
            <w:vAlign w:val="center"/>
          </w:tcPr>
          <w:p w14:paraId="617D3DD0">
            <w:pPr>
              <w:bidi w:val="0"/>
              <w:rPr>
                <w:rFonts w:hint="eastAsia" w:ascii="宋体" w:hAnsi="宋体" w:eastAsia="宋体" w:cs="宋体"/>
                <w:color w:val="auto"/>
                <w:kern w:val="0"/>
                <w:szCs w:val="21"/>
                <w:lang w:val="en-US" w:eastAsia="zh-CN" w:bidi="ar-SA"/>
              </w:rPr>
            </w:pPr>
            <w:r>
              <w:rPr>
                <w:rFonts w:hint="eastAsia" w:ascii="宋体" w:hAnsi="宋体" w:cs="宋体"/>
                <w:color w:val="auto"/>
                <w:kern w:val="0"/>
                <w:szCs w:val="21"/>
              </w:rPr>
              <w:t>符合磋商文件要求,合法有效</w:t>
            </w:r>
            <w:r>
              <w:rPr>
                <w:rFonts w:hint="eastAsia"/>
              </w:rPr>
              <w:t>。</w:t>
            </w:r>
          </w:p>
        </w:tc>
      </w:tr>
      <w:tr w14:paraId="56B1B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1" w:hRule="atLeast"/>
          <w:jc w:val="center"/>
        </w:trPr>
        <w:tc>
          <w:tcPr>
            <w:tcW w:w="763" w:type="dxa"/>
            <w:vAlign w:val="center"/>
          </w:tcPr>
          <w:p w14:paraId="4D583D72">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6</w:t>
            </w:r>
          </w:p>
        </w:tc>
        <w:tc>
          <w:tcPr>
            <w:tcW w:w="6095" w:type="dxa"/>
            <w:vAlign w:val="center"/>
          </w:tcPr>
          <w:p w14:paraId="4BD34E1E">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0"/>
              <w:jc w:val="both"/>
              <w:textAlignment w:val="baseline"/>
              <w:rPr>
                <w:rFonts w:hint="eastAsia" w:ascii="宋体" w:hAnsi="宋体" w:eastAsia="宋体" w:cs="宋体"/>
                <w:color w:val="auto"/>
                <w:kern w:val="0"/>
                <w:sz w:val="18"/>
                <w:szCs w:val="21"/>
                <w:lang w:val="en-US" w:eastAsia="zh-CN" w:bidi="ar-SA"/>
              </w:rPr>
            </w:pPr>
            <w:r>
              <w:rPr>
                <w:rFonts w:hint="eastAsia" w:cs="宋体"/>
                <w:color w:val="auto"/>
                <w:sz w:val="21"/>
                <w:szCs w:val="21"/>
                <w:shd w:val="clear" w:color="auto" w:fill="FFFFFF"/>
              </w:rPr>
              <w:t>税收缴纳证明：供应商提供本单位响应截止时间前六个月内已缴纳的至少一个月的纳税证明或完税证明（增值税，印花税，企业所得税等一种或多种税种），依法免税的单位应提供相关证明材料</w:t>
            </w:r>
          </w:p>
        </w:tc>
        <w:tc>
          <w:tcPr>
            <w:tcW w:w="3231" w:type="dxa"/>
            <w:vAlign w:val="center"/>
          </w:tcPr>
          <w:p w14:paraId="094F9689">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符合磋商文件要求,</w:t>
            </w:r>
          </w:p>
          <w:p w14:paraId="7B505A14">
            <w:pPr>
              <w:keepNext w:val="0"/>
              <w:keepLines w:val="0"/>
              <w:pageBreakBefore w:val="0"/>
              <w:kinsoku/>
              <w:wordWrap/>
              <w:overflowPunct/>
              <w:topLinePunct w:val="0"/>
              <w:autoSpaceDE/>
              <w:autoSpaceDN/>
              <w:bidi w:val="0"/>
              <w:adjustRightInd w:val="0"/>
              <w:snapToGrid w:val="0"/>
              <w:spacing w:line="360" w:lineRule="auto"/>
              <w:ind w:left="519" w:leftChars="-3" w:hanging="525" w:hangingChars="250"/>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合法有效</w:t>
            </w:r>
          </w:p>
        </w:tc>
      </w:tr>
      <w:tr w14:paraId="363D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63" w:type="dxa"/>
            <w:vAlign w:val="center"/>
          </w:tcPr>
          <w:p w14:paraId="6D9C0E4B">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7</w:t>
            </w:r>
          </w:p>
        </w:tc>
        <w:tc>
          <w:tcPr>
            <w:tcW w:w="6095" w:type="dxa"/>
            <w:vAlign w:val="center"/>
          </w:tcPr>
          <w:p w14:paraId="03CDE6AB">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0"/>
              <w:jc w:val="both"/>
              <w:textAlignment w:val="baseline"/>
              <w:rPr>
                <w:rFonts w:hint="eastAsia" w:ascii="宋体" w:hAnsi="宋体" w:eastAsia="宋体" w:cs="宋体"/>
                <w:color w:val="auto"/>
                <w:kern w:val="0"/>
                <w:sz w:val="18"/>
                <w:szCs w:val="21"/>
                <w:lang w:val="en-US" w:eastAsia="zh-CN" w:bidi="ar-SA"/>
              </w:rPr>
            </w:pPr>
            <w:r>
              <w:rPr>
                <w:rFonts w:hint="eastAsia" w:cs="宋体"/>
                <w:color w:val="auto"/>
                <w:sz w:val="21"/>
                <w:szCs w:val="21"/>
                <w:shd w:val="clear" w:color="auto" w:fill="FFFFFF"/>
              </w:rPr>
              <w:t>财务状况证明：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p>
        </w:tc>
        <w:tc>
          <w:tcPr>
            <w:tcW w:w="3231" w:type="dxa"/>
            <w:vAlign w:val="center"/>
          </w:tcPr>
          <w:p w14:paraId="0FF18068">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cs="宋体"/>
                <w:color w:val="auto"/>
                <w:kern w:val="0"/>
                <w:szCs w:val="21"/>
              </w:rPr>
            </w:pPr>
            <w:r>
              <w:rPr>
                <w:rFonts w:hint="eastAsia" w:ascii="宋体" w:hAnsi="宋体" w:cs="宋体"/>
                <w:color w:val="auto"/>
                <w:kern w:val="0"/>
                <w:szCs w:val="21"/>
              </w:rPr>
              <w:t>符合磋商文件要求,</w:t>
            </w:r>
          </w:p>
          <w:p w14:paraId="2B979CF5">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Cs w:val="21"/>
              </w:rPr>
              <w:t>合法有效</w:t>
            </w:r>
          </w:p>
        </w:tc>
      </w:tr>
      <w:tr w14:paraId="35289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63" w:type="dxa"/>
            <w:vAlign w:val="center"/>
          </w:tcPr>
          <w:p w14:paraId="7B33CA79">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eastAsia="宋体" w:cs="宋体"/>
                <w:color w:val="auto"/>
                <w:kern w:val="0"/>
                <w:sz w:val="21"/>
                <w:szCs w:val="21"/>
                <w:lang w:val="en-US" w:eastAsia="zh-CN" w:bidi="ar-SA"/>
              </w:rPr>
            </w:pPr>
            <w:r>
              <w:rPr>
                <w:rFonts w:hint="eastAsia" w:ascii="宋体" w:hAnsi="宋体" w:cs="宋体"/>
                <w:color w:val="auto"/>
                <w:kern w:val="0"/>
                <w:szCs w:val="21"/>
              </w:rPr>
              <w:t>8</w:t>
            </w:r>
          </w:p>
        </w:tc>
        <w:tc>
          <w:tcPr>
            <w:tcW w:w="6095" w:type="dxa"/>
            <w:vAlign w:val="center"/>
          </w:tcPr>
          <w:p w14:paraId="563C0C6D">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0"/>
              <w:jc w:val="both"/>
              <w:textAlignment w:val="baseline"/>
              <w:rPr>
                <w:rFonts w:hint="default" w:ascii="宋体" w:hAnsi="宋体" w:eastAsia="宋体" w:cs="宋体"/>
                <w:color w:val="auto"/>
                <w:kern w:val="0"/>
                <w:sz w:val="18"/>
                <w:szCs w:val="21"/>
                <w:lang w:val="en-US" w:eastAsia="zh-CN" w:bidi="ar-SA"/>
              </w:rPr>
            </w:pPr>
            <w:r>
              <w:rPr>
                <w:rFonts w:hint="eastAsia" w:cs="宋体"/>
                <w:color w:val="auto"/>
                <w:sz w:val="21"/>
                <w:szCs w:val="21"/>
                <w:shd w:val="clear" w:color="auto" w:fill="FFFFFF"/>
              </w:rPr>
              <w:t>供应商应出具参加政府采购活动前3年内在经营活动中没有重大违法记录的书面声明</w:t>
            </w:r>
          </w:p>
        </w:tc>
        <w:tc>
          <w:tcPr>
            <w:tcW w:w="3231" w:type="dxa"/>
            <w:vAlign w:val="center"/>
          </w:tcPr>
          <w:p w14:paraId="7E1C64F0">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eastAsia="宋体" w:cs="宋体"/>
                <w:color w:val="auto"/>
                <w:kern w:val="0"/>
                <w:sz w:val="21"/>
                <w:szCs w:val="21"/>
                <w:lang w:val="en-US" w:eastAsia="zh-CN" w:bidi="ar-SA"/>
              </w:rPr>
            </w:pPr>
            <w:r>
              <w:rPr>
                <w:rFonts w:hint="eastAsia" w:ascii="宋体" w:hAnsi="宋体" w:cs="宋体"/>
                <w:color w:val="auto"/>
                <w:kern w:val="0"/>
                <w:szCs w:val="21"/>
              </w:rPr>
              <w:t>符合磋商文件要求</w:t>
            </w:r>
          </w:p>
        </w:tc>
      </w:tr>
      <w:tr w14:paraId="16BD1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763" w:type="dxa"/>
            <w:vAlign w:val="center"/>
          </w:tcPr>
          <w:p w14:paraId="22945F9B">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eastAsia="宋体" w:cs="宋体"/>
                <w:color w:val="auto"/>
                <w:kern w:val="0"/>
                <w:sz w:val="21"/>
                <w:szCs w:val="21"/>
                <w:lang w:val="en-US" w:eastAsia="zh-CN" w:bidi="ar-SA"/>
              </w:rPr>
            </w:pPr>
            <w:r>
              <w:rPr>
                <w:rFonts w:hint="eastAsia" w:ascii="宋体" w:hAnsi="宋体" w:cs="宋体"/>
                <w:color w:val="auto"/>
                <w:kern w:val="0"/>
                <w:szCs w:val="21"/>
              </w:rPr>
              <w:t>9</w:t>
            </w:r>
          </w:p>
        </w:tc>
        <w:tc>
          <w:tcPr>
            <w:tcW w:w="6095" w:type="dxa"/>
            <w:vAlign w:val="center"/>
          </w:tcPr>
          <w:p w14:paraId="58956708">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0"/>
              <w:jc w:val="both"/>
              <w:textAlignment w:val="baseline"/>
              <w:rPr>
                <w:rFonts w:ascii="宋体" w:hAnsi="宋体" w:eastAsia="宋体" w:cs="宋体"/>
                <w:color w:val="auto"/>
                <w:kern w:val="0"/>
                <w:sz w:val="18"/>
                <w:szCs w:val="21"/>
                <w:lang w:val="en-US" w:eastAsia="zh-CN" w:bidi="ar-SA"/>
              </w:rPr>
            </w:pPr>
            <w:r>
              <w:rPr>
                <w:rFonts w:hint="eastAsia" w:cs="宋体"/>
                <w:color w:val="auto"/>
                <w:sz w:val="21"/>
                <w:szCs w:val="21"/>
                <w:shd w:val="clear" w:color="auto" w:fill="FFFFFF"/>
              </w:rPr>
              <w:t>供应商应出具履行合同所必需的设备和专业技术能力的承诺声明</w:t>
            </w:r>
          </w:p>
        </w:tc>
        <w:tc>
          <w:tcPr>
            <w:tcW w:w="3231" w:type="dxa"/>
            <w:vAlign w:val="center"/>
          </w:tcPr>
          <w:p w14:paraId="01E73523">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eastAsia="宋体" w:cs="宋体"/>
                <w:color w:val="auto"/>
                <w:kern w:val="0"/>
                <w:sz w:val="21"/>
                <w:szCs w:val="21"/>
                <w:lang w:val="en-US" w:eastAsia="zh-CN" w:bidi="ar-SA"/>
              </w:rPr>
            </w:pPr>
            <w:r>
              <w:rPr>
                <w:rFonts w:hint="eastAsia" w:ascii="宋体" w:hAnsi="宋体" w:cs="宋体"/>
                <w:color w:val="auto"/>
                <w:kern w:val="0"/>
                <w:szCs w:val="21"/>
              </w:rPr>
              <w:t>符合磋商文件要求</w:t>
            </w:r>
          </w:p>
        </w:tc>
      </w:tr>
      <w:tr w14:paraId="0E335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763" w:type="dxa"/>
            <w:vAlign w:val="center"/>
          </w:tcPr>
          <w:p w14:paraId="744DBAE5">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eastAsia="宋体" w:cs="宋体"/>
                <w:color w:val="auto"/>
                <w:kern w:val="0"/>
                <w:sz w:val="21"/>
                <w:szCs w:val="21"/>
                <w:lang w:val="en-US" w:eastAsia="zh-CN" w:bidi="ar-SA"/>
              </w:rPr>
            </w:pPr>
            <w:r>
              <w:rPr>
                <w:rFonts w:hint="eastAsia" w:ascii="宋体" w:hAnsi="宋体" w:cs="宋体"/>
                <w:color w:val="auto"/>
                <w:kern w:val="0"/>
                <w:szCs w:val="21"/>
              </w:rPr>
              <w:t>10</w:t>
            </w:r>
          </w:p>
        </w:tc>
        <w:tc>
          <w:tcPr>
            <w:tcW w:w="6095" w:type="dxa"/>
            <w:vAlign w:val="center"/>
          </w:tcPr>
          <w:p w14:paraId="2729BC4B">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0"/>
              <w:jc w:val="both"/>
              <w:textAlignment w:val="baseline"/>
              <w:rPr>
                <w:rFonts w:ascii="宋体" w:hAnsi="宋体" w:eastAsia="宋体" w:cs="宋体"/>
                <w:color w:val="auto"/>
                <w:kern w:val="0"/>
                <w:sz w:val="18"/>
                <w:szCs w:val="21"/>
                <w:lang w:val="zh-CN" w:eastAsia="zh-CN" w:bidi="ar-SA"/>
              </w:rPr>
            </w:pPr>
            <w:r>
              <w:rPr>
                <w:rFonts w:hint="eastAsia" w:cs="宋体"/>
                <w:color w:val="auto"/>
                <w:sz w:val="21"/>
                <w:szCs w:val="21"/>
                <w:shd w:val="clear" w:color="auto" w:fill="FFFFFF"/>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tc>
        <w:tc>
          <w:tcPr>
            <w:tcW w:w="3231" w:type="dxa"/>
            <w:vAlign w:val="center"/>
          </w:tcPr>
          <w:p w14:paraId="75550DDA">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ascii="宋体" w:hAnsi="宋体" w:eastAsia="宋体" w:cs="宋体"/>
                <w:color w:val="auto"/>
                <w:kern w:val="0"/>
                <w:sz w:val="21"/>
                <w:szCs w:val="21"/>
                <w:lang w:val="en-US" w:eastAsia="zh-CN" w:bidi="ar-SA"/>
              </w:rPr>
            </w:pPr>
            <w:r>
              <w:rPr>
                <w:rFonts w:hint="eastAsia" w:ascii="宋体" w:hAnsi="宋体" w:cs="宋体"/>
                <w:color w:val="auto"/>
                <w:kern w:val="0"/>
                <w:szCs w:val="21"/>
              </w:rPr>
              <w:t>符合磋商文件要求</w:t>
            </w:r>
          </w:p>
        </w:tc>
      </w:tr>
      <w:tr w14:paraId="32DF2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63" w:type="dxa"/>
            <w:vAlign w:val="center"/>
          </w:tcPr>
          <w:p w14:paraId="699C9969">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default" w:ascii="宋体" w:hAnsi="宋体" w:cs="宋体"/>
                <w:color w:val="auto"/>
                <w:kern w:val="0"/>
                <w:sz w:val="21"/>
                <w:szCs w:val="21"/>
                <w:lang w:val="en-US" w:eastAsia="zh-CN" w:bidi="ar-SA"/>
              </w:rPr>
            </w:pPr>
            <w:r>
              <w:rPr>
                <w:rFonts w:hint="eastAsia" w:ascii="宋体" w:hAnsi="宋体" w:cs="宋体"/>
                <w:color w:val="auto"/>
                <w:kern w:val="0"/>
                <w:sz w:val="21"/>
                <w:szCs w:val="21"/>
                <w:lang w:val="en-US" w:eastAsia="zh-CN" w:bidi="ar-SA"/>
              </w:rPr>
              <w:t>11</w:t>
            </w:r>
          </w:p>
        </w:tc>
        <w:tc>
          <w:tcPr>
            <w:tcW w:w="6095" w:type="dxa"/>
            <w:vAlign w:val="center"/>
          </w:tcPr>
          <w:p w14:paraId="3B58696A">
            <w:pPr>
              <w:pStyle w:val="19"/>
              <w:keepNext w:val="0"/>
              <w:keepLines w:val="0"/>
              <w:pageBreakBefore w:val="0"/>
              <w:kinsoku/>
              <w:wordWrap/>
              <w:overflowPunct/>
              <w:topLinePunct w:val="0"/>
              <w:autoSpaceDE/>
              <w:autoSpaceDN/>
              <w:bidi w:val="0"/>
              <w:adjustRightInd/>
              <w:snapToGrid w:val="0"/>
              <w:spacing w:before="0" w:beforeAutospacing="0" w:after="0" w:afterAutospacing="0" w:line="360" w:lineRule="auto"/>
              <w:jc w:val="center"/>
              <w:textAlignment w:val="baseline"/>
              <w:rPr>
                <w:rFonts w:hint="default"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不接受联合体磋商</w:t>
            </w:r>
          </w:p>
        </w:tc>
        <w:tc>
          <w:tcPr>
            <w:tcW w:w="3231" w:type="dxa"/>
            <w:vAlign w:val="center"/>
          </w:tcPr>
          <w:p w14:paraId="49AFBC88">
            <w:pPr>
              <w:keepNext w:val="0"/>
              <w:keepLines w:val="0"/>
              <w:pageBreakBefore w:val="0"/>
              <w:tabs>
                <w:tab w:val="left" w:pos="0"/>
              </w:tabs>
              <w:kinsoku/>
              <w:wordWrap/>
              <w:overflowPunct/>
              <w:topLinePunct w:val="0"/>
              <w:autoSpaceDE/>
              <w:autoSpaceDN/>
              <w:bidi w:val="0"/>
              <w:adjustRightInd w:val="0"/>
              <w:snapToGrid w:val="0"/>
              <w:spacing w:line="360" w:lineRule="auto"/>
              <w:jc w:val="center"/>
              <w:rPr>
                <w:rFonts w:hint="eastAsia" w:ascii="宋体" w:hAnsi="宋体" w:cs="宋体"/>
                <w:color w:val="auto"/>
                <w:kern w:val="0"/>
                <w:szCs w:val="21"/>
              </w:rPr>
            </w:pPr>
            <w:r>
              <w:rPr>
                <w:rFonts w:hint="eastAsia" w:ascii="宋体" w:hAnsi="宋体" w:cs="宋体"/>
                <w:color w:val="auto"/>
                <w:kern w:val="0"/>
                <w:szCs w:val="21"/>
              </w:rPr>
              <w:t>符合磋商文件要求</w:t>
            </w:r>
          </w:p>
        </w:tc>
      </w:tr>
    </w:tbl>
    <w:p w14:paraId="10F434E1">
      <w:pPr>
        <w:pStyle w:val="2"/>
        <w:rPr>
          <w:rFonts w:hint="eastAsia" w:ascii="宋体" w:hAnsi="宋体" w:cs="宋体"/>
          <w:b/>
          <w:bCs/>
          <w:color w:val="auto"/>
          <w:kern w:val="0"/>
          <w:szCs w:val="21"/>
          <w:lang w:val="en-US" w:eastAsia="zh-CN"/>
        </w:rPr>
      </w:pPr>
    </w:p>
    <w:p w14:paraId="0F97CAB7">
      <w:pPr>
        <w:tabs>
          <w:tab w:val="left" w:pos="0"/>
        </w:tabs>
        <w:adjustRightInd w:val="0"/>
        <w:snapToGrid w:val="0"/>
        <w:spacing w:before="240" w:beforeLines="100" w:line="360" w:lineRule="auto"/>
        <w:ind w:firstLine="422" w:firstLineChars="200"/>
        <w:rPr>
          <w:rFonts w:ascii="宋体" w:hAnsi="宋体" w:cs="宋体"/>
          <w:b/>
          <w:color w:val="auto"/>
          <w:kern w:val="0"/>
          <w:szCs w:val="21"/>
        </w:rPr>
      </w:pPr>
      <w:r>
        <w:rPr>
          <w:rFonts w:hint="eastAsia" w:ascii="宋体" w:hAnsi="宋体" w:cs="宋体"/>
          <w:b/>
          <w:color w:val="auto"/>
          <w:kern w:val="0"/>
          <w:szCs w:val="21"/>
        </w:rPr>
        <w:t>1.2.3.1供应商落实政府采购政策资格条件审查</w:t>
      </w:r>
    </w:p>
    <w:p w14:paraId="4C11FEF7">
      <w:pPr>
        <w:tabs>
          <w:tab w:val="left" w:pos="0"/>
        </w:tabs>
        <w:adjustRightInd w:val="0"/>
        <w:snapToGrid w:val="0"/>
        <w:spacing w:before="240" w:beforeLines="100" w:line="360" w:lineRule="auto"/>
        <w:ind w:firstLine="420" w:firstLineChars="200"/>
        <w:rPr>
          <w:rFonts w:ascii="宋体" w:hAnsi="宋体" w:cs="宋体"/>
          <w:bCs/>
          <w:color w:val="auto"/>
          <w:kern w:val="0"/>
          <w:szCs w:val="21"/>
        </w:rPr>
      </w:pPr>
      <w:r>
        <w:rPr>
          <w:rFonts w:hint="eastAsia" w:ascii="宋体" w:hAnsi="宋体" w:cs="宋体"/>
          <w:bCs/>
          <w:color w:val="auto"/>
          <w:kern w:val="0"/>
          <w:szCs w:val="21"/>
        </w:rPr>
        <w:t>本项目属于专门面向中小企业的采购项目。</w:t>
      </w:r>
    </w:p>
    <w:p w14:paraId="2FEE6818">
      <w:pPr>
        <w:tabs>
          <w:tab w:val="left" w:pos="0"/>
        </w:tabs>
        <w:adjustRightInd w:val="0"/>
        <w:snapToGrid w:val="0"/>
        <w:spacing w:line="360" w:lineRule="auto"/>
        <w:ind w:firstLine="405"/>
        <w:rPr>
          <w:rFonts w:ascii="宋体" w:hAnsi="宋体" w:cs="宋体"/>
          <w:color w:val="auto"/>
          <w:kern w:val="0"/>
          <w:szCs w:val="21"/>
        </w:rPr>
      </w:pPr>
      <w:r>
        <w:rPr>
          <w:rFonts w:hint="eastAsia" w:ascii="宋体" w:hAnsi="宋体" w:cs="宋体"/>
          <w:color w:val="auto"/>
          <w:szCs w:val="21"/>
          <w:shd w:val="clear" w:color="auto" w:fill="FFFFFF"/>
        </w:rPr>
        <w:t>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监狱企业或残疾人福利性单位视同小型、微型企业）。</w:t>
      </w:r>
    </w:p>
    <w:p w14:paraId="35190177">
      <w:pPr>
        <w:tabs>
          <w:tab w:val="left" w:pos="0"/>
        </w:tabs>
        <w:adjustRightInd w:val="0"/>
        <w:snapToGrid w:val="0"/>
        <w:spacing w:line="360" w:lineRule="auto"/>
        <w:ind w:firstLine="405"/>
        <w:rPr>
          <w:rFonts w:ascii="宋体" w:hAnsi="宋体" w:cs="宋体"/>
          <w:b/>
          <w:color w:val="auto"/>
          <w:kern w:val="0"/>
          <w:szCs w:val="21"/>
        </w:rPr>
      </w:pPr>
      <w:r>
        <w:rPr>
          <w:rFonts w:hint="eastAsia" w:ascii="宋体" w:hAnsi="宋体" w:cs="宋体"/>
          <w:b/>
          <w:color w:val="auto"/>
          <w:kern w:val="0"/>
          <w:szCs w:val="21"/>
        </w:rPr>
        <w:t>1.2.3.2审查标准如下：</w:t>
      </w:r>
    </w:p>
    <w:p w14:paraId="0B00EA4F">
      <w:pPr>
        <w:tabs>
          <w:tab w:val="left" w:pos="0"/>
        </w:tabs>
        <w:adjustRightInd w:val="0"/>
        <w:snapToGrid w:val="0"/>
        <w:spacing w:line="360" w:lineRule="auto"/>
        <w:ind w:firstLine="405"/>
        <w:rPr>
          <w:rFonts w:ascii="宋体" w:hAnsi="宋体" w:cs="宋体"/>
          <w:color w:val="auto"/>
          <w:kern w:val="0"/>
          <w:szCs w:val="21"/>
        </w:rPr>
      </w:pPr>
      <w:r>
        <w:rPr>
          <w:rFonts w:hint="eastAsia" w:ascii="宋体" w:hAnsi="宋体" w:cs="宋体"/>
          <w:color w:val="auto"/>
          <w:kern w:val="0"/>
          <w:szCs w:val="21"/>
        </w:rPr>
        <w:t xml:space="preserve">  （1）供应商存在第二章第1.3</w:t>
      </w:r>
      <w:r>
        <w:rPr>
          <w:rFonts w:hint="eastAsia" w:ascii="宋体" w:hAnsi="宋体"/>
          <w:color w:val="auto"/>
          <w:szCs w:val="21"/>
        </w:rPr>
        <w:t>条列举</w:t>
      </w:r>
      <w:r>
        <w:rPr>
          <w:rFonts w:hint="eastAsia" w:ascii="宋体" w:hAnsi="宋体" w:cs="宋体"/>
          <w:color w:val="auto"/>
          <w:kern w:val="0"/>
          <w:szCs w:val="21"/>
        </w:rPr>
        <w:t>情形之一的，审查不予通过，即判定其资格条件审查结果为不合格，将不具备磋商资格，按无效响应文件处理。</w:t>
      </w:r>
    </w:p>
    <w:p w14:paraId="75BBAD61">
      <w:pPr>
        <w:tabs>
          <w:tab w:val="left" w:pos="0"/>
        </w:tabs>
        <w:adjustRightInd w:val="0"/>
        <w:snapToGrid w:val="0"/>
        <w:spacing w:line="360" w:lineRule="auto"/>
        <w:ind w:firstLine="405"/>
        <w:rPr>
          <w:rFonts w:ascii="宋体" w:hAnsi="宋体" w:cs="宋体"/>
          <w:color w:val="auto"/>
          <w:kern w:val="0"/>
          <w:szCs w:val="21"/>
        </w:rPr>
      </w:pPr>
      <w:r>
        <w:rPr>
          <w:rFonts w:hint="eastAsia" w:ascii="宋体" w:hAnsi="宋体" w:cs="宋体"/>
          <w:color w:val="auto"/>
          <w:kern w:val="0"/>
          <w:szCs w:val="21"/>
        </w:rPr>
        <w:t xml:space="preserve">  （2）供应商须知前附表规定接受联合体磋商的，联合体任何一方存在第三章第</w:t>
      </w:r>
      <w:r>
        <w:rPr>
          <w:rFonts w:hint="eastAsia" w:ascii="宋体" w:hAnsi="宋体"/>
          <w:color w:val="auto"/>
          <w:szCs w:val="21"/>
        </w:rPr>
        <w:t>3.1条列举</w:t>
      </w:r>
      <w:r>
        <w:rPr>
          <w:rFonts w:hint="eastAsia" w:ascii="宋体" w:hAnsi="宋体" w:cs="宋体"/>
          <w:color w:val="auto"/>
          <w:kern w:val="0"/>
          <w:szCs w:val="21"/>
        </w:rPr>
        <w:t>情形之一的，视同联合体存在相同情形，审查不予通过，即判定其限定资格条件审查结果为不合格，将不具备磋商资格，按无效响应文件处理。</w:t>
      </w:r>
    </w:p>
    <w:p w14:paraId="6D8C265B">
      <w:pPr>
        <w:tabs>
          <w:tab w:val="left" w:pos="0"/>
        </w:tabs>
        <w:adjustRightInd w:val="0"/>
        <w:snapToGrid w:val="0"/>
        <w:spacing w:line="360" w:lineRule="auto"/>
        <w:ind w:firstLine="622" w:firstLineChars="295"/>
        <w:rPr>
          <w:rFonts w:ascii="宋体" w:hAnsi="宋体"/>
          <w:b/>
          <w:color w:val="auto"/>
          <w:szCs w:val="21"/>
        </w:rPr>
      </w:pPr>
      <w:r>
        <w:rPr>
          <w:rFonts w:hint="eastAsia" w:ascii="宋体" w:hAnsi="宋体" w:cs="宋体"/>
          <w:b/>
          <w:color w:val="auto"/>
          <w:kern w:val="0"/>
          <w:szCs w:val="21"/>
        </w:rPr>
        <w:t xml:space="preserve">1.2.3.3 </w:t>
      </w:r>
      <w:r>
        <w:rPr>
          <w:rFonts w:hint="eastAsia" w:ascii="宋体" w:hAnsi="宋体"/>
          <w:b/>
          <w:color w:val="auto"/>
          <w:szCs w:val="21"/>
        </w:rPr>
        <w:t>未通过资格审查的供应商，不得进入后续磋商环节。</w:t>
      </w:r>
    </w:p>
    <w:p w14:paraId="1ADA78AD">
      <w:pPr>
        <w:spacing w:line="360" w:lineRule="auto"/>
        <w:ind w:firstLine="413" w:firstLineChars="196"/>
        <w:rPr>
          <w:rFonts w:ascii="宋体" w:hAnsi="宋体"/>
          <w:b/>
          <w:color w:val="auto"/>
          <w:szCs w:val="21"/>
        </w:rPr>
      </w:pPr>
      <w:r>
        <w:rPr>
          <w:rFonts w:hint="eastAsia" w:ascii="宋体" w:hAnsi="宋体"/>
          <w:b/>
          <w:color w:val="auto"/>
          <w:szCs w:val="21"/>
        </w:rPr>
        <w:t>1.2.4 符合性审查</w:t>
      </w:r>
    </w:p>
    <w:p w14:paraId="03C41081">
      <w:pPr>
        <w:spacing w:line="360" w:lineRule="auto"/>
        <w:ind w:firstLine="630" w:firstLineChars="300"/>
        <w:rPr>
          <w:rFonts w:ascii="宋体" w:hAnsi="宋体"/>
          <w:color w:val="auto"/>
          <w:szCs w:val="21"/>
        </w:rPr>
      </w:pPr>
      <w:r>
        <w:rPr>
          <w:rFonts w:hint="eastAsia" w:ascii="宋体" w:hAnsi="宋体"/>
          <w:color w:val="auto"/>
          <w:szCs w:val="21"/>
        </w:rPr>
        <w:t>1.2.4.1 磋商小组依法对符合资格条件的供应商的响应文件进行符合性审查。磋商小组从响应文件的有效性、完整性和对磋商文件的响应程度进行审查，以确定其是否对磋商文件实质性内容作出响应</w:t>
      </w:r>
      <w:r>
        <w:rPr>
          <w:rFonts w:hint="eastAsia" w:ascii="宋体" w:hAnsi="宋体" w:cs="宋体"/>
          <w:color w:val="auto"/>
          <w:kern w:val="0"/>
          <w:szCs w:val="21"/>
        </w:rPr>
        <w:t>（采购人可根据具体项目的情况对实质性要求作特别的具体规定）</w:t>
      </w:r>
      <w:r>
        <w:rPr>
          <w:rFonts w:hint="eastAsia" w:ascii="宋体" w:hAnsi="宋体"/>
          <w:color w:val="auto"/>
          <w:szCs w:val="21"/>
        </w:rPr>
        <w:t>。</w:t>
      </w:r>
    </w:p>
    <w:p w14:paraId="68A1712B">
      <w:pPr>
        <w:tabs>
          <w:tab w:val="left" w:pos="0"/>
        </w:tabs>
        <w:adjustRightInd w:val="0"/>
        <w:snapToGrid w:val="0"/>
        <w:spacing w:after="120" w:afterLines="50" w:line="360" w:lineRule="auto"/>
        <w:ind w:firstLine="735" w:firstLineChars="350"/>
        <w:rPr>
          <w:rFonts w:ascii="宋体" w:hAnsi="宋体" w:cs="宋体"/>
          <w:color w:val="auto"/>
          <w:kern w:val="0"/>
          <w:szCs w:val="21"/>
        </w:rPr>
      </w:pPr>
      <w:r>
        <w:rPr>
          <w:rFonts w:hint="eastAsia" w:ascii="宋体" w:hAnsi="宋体"/>
          <w:color w:val="auto"/>
          <w:szCs w:val="21"/>
        </w:rPr>
        <w:t>1.2.4.2 磋商小组将按下列评审标准对供应商的响应文件进行符合性审查，</w:t>
      </w:r>
      <w:r>
        <w:rPr>
          <w:rFonts w:hint="eastAsia" w:ascii="宋体" w:cs="宋体"/>
          <w:bCs/>
          <w:color w:val="auto"/>
          <w:szCs w:val="21"/>
        </w:rPr>
        <w:t>供应商若</w:t>
      </w:r>
      <w:r>
        <w:rPr>
          <w:rFonts w:hint="eastAsia" w:ascii="宋体" w:hAnsi="宋体" w:cs="宋体"/>
          <w:color w:val="auto"/>
          <w:kern w:val="0"/>
          <w:szCs w:val="21"/>
        </w:rPr>
        <w:t>有一项不合格，即判定其符合性审查结果为不合格，将不具备磋商资格，按无效响应文件处理。</w:t>
      </w:r>
    </w:p>
    <w:p w14:paraId="58888A5B">
      <w:pPr>
        <w:rPr>
          <w:rFonts w:ascii="宋体" w:hAnsi="宋体" w:cs="宋体"/>
          <w:color w:val="auto"/>
          <w:kern w:val="0"/>
          <w:szCs w:val="21"/>
        </w:rPr>
      </w:pPr>
    </w:p>
    <w:tbl>
      <w:tblPr>
        <w:tblStyle w:val="22"/>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85"/>
        <w:gridCol w:w="2685"/>
        <w:gridCol w:w="4888"/>
      </w:tblGrid>
      <w:tr w14:paraId="78ED8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80" w:type="dxa"/>
            <w:vAlign w:val="center"/>
          </w:tcPr>
          <w:p w14:paraId="1E961F01">
            <w:pPr>
              <w:tabs>
                <w:tab w:val="left" w:pos="0"/>
              </w:tabs>
              <w:adjustRightInd w:val="0"/>
              <w:snapToGrid w:val="0"/>
              <w:jc w:val="center"/>
              <w:rPr>
                <w:rFonts w:ascii="宋体" w:hAnsi="宋体"/>
                <w:b/>
                <w:color w:val="auto"/>
                <w:sz w:val="24"/>
              </w:rPr>
            </w:pPr>
            <w:r>
              <w:rPr>
                <w:rFonts w:hint="eastAsia" w:ascii="宋体" w:hAnsi="宋体"/>
                <w:b/>
                <w:color w:val="auto"/>
                <w:sz w:val="24"/>
              </w:rPr>
              <w:t>序号</w:t>
            </w:r>
          </w:p>
        </w:tc>
        <w:tc>
          <w:tcPr>
            <w:tcW w:w="3570" w:type="dxa"/>
            <w:gridSpan w:val="2"/>
            <w:vAlign w:val="center"/>
          </w:tcPr>
          <w:p w14:paraId="210D2BE3">
            <w:pPr>
              <w:tabs>
                <w:tab w:val="left" w:pos="0"/>
              </w:tabs>
              <w:adjustRightInd w:val="0"/>
              <w:snapToGrid w:val="0"/>
              <w:jc w:val="center"/>
              <w:rPr>
                <w:rFonts w:ascii="宋体" w:hAnsi="宋体"/>
                <w:b/>
                <w:color w:val="auto"/>
                <w:sz w:val="24"/>
              </w:rPr>
            </w:pPr>
            <w:r>
              <w:rPr>
                <w:rFonts w:hint="eastAsia" w:ascii="宋体" w:hAnsi="宋体"/>
                <w:b/>
                <w:color w:val="auto"/>
                <w:sz w:val="24"/>
              </w:rPr>
              <w:t>评审因素</w:t>
            </w:r>
          </w:p>
        </w:tc>
        <w:tc>
          <w:tcPr>
            <w:tcW w:w="4888" w:type="dxa"/>
            <w:vAlign w:val="center"/>
          </w:tcPr>
          <w:p w14:paraId="43B4C693">
            <w:pPr>
              <w:tabs>
                <w:tab w:val="left" w:pos="0"/>
              </w:tabs>
              <w:adjustRightInd w:val="0"/>
              <w:snapToGrid w:val="0"/>
              <w:jc w:val="center"/>
              <w:rPr>
                <w:rFonts w:ascii="宋体" w:hAnsi="宋体"/>
                <w:b/>
                <w:color w:val="auto"/>
                <w:sz w:val="24"/>
              </w:rPr>
            </w:pPr>
            <w:r>
              <w:rPr>
                <w:rFonts w:hint="eastAsia" w:ascii="宋体" w:hAnsi="宋体"/>
                <w:b/>
                <w:color w:val="auto"/>
                <w:sz w:val="24"/>
                <w:lang w:val="en-US" w:eastAsia="zh-CN"/>
              </w:rPr>
              <w:t>审查</w:t>
            </w:r>
            <w:r>
              <w:rPr>
                <w:rFonts w:hint="eastAsia" w:ascii="宋体" w:hAnsi="宋体"/>
                <w:b/>
                <w:color w:val="auto"/>
                <w:sz w:val="24"/>
              </w:rPr>
              <w:t>标准</w:t>
            </w:r>
          </w:p>
        </w:tc>
      </w:tr>
      <w:tr w14:paraId="4BCD5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80" w:type="dxa"/>
            <w:vMerge w:val="restart"/>
            <w:vAlign w:val="center"/>
          </w:tcPr>
          <w:p w14:paraId="0768AE7E">
            <w:pPr>
              <w:tabs>
                <w:tab w:val="left" w:pos="0"/>
              </w:tabs>
              <w:adjustRightInd w:val="0"/>
              <w:snapToGrid w:val="0"/>
              <w:spacing w:line="360" w:lineRule="auto"/>
              <w:jc w:val="center"/>
              <w:rPr>
                <w:rFonts w:ascii="宋体" w:hAnsi="宋体"/>
                <w:color w:val="auto"/>
                <w:szCs w:val="21"/>
              </w:rPr>
            </w:pPr>
            <w:r>
              <w:rPr>
                <w:rFonts w:hint="eastAsia" w:ascii="宋体" w:hAnsi="宋体"/>
                <w:color w:val="auto"/>
                <w:szCs w:val="21"/>
              </w:rPr>
              <w:t>1</w:t>
            </w:r>
          </w:p>
        </w:tc>
        <w:tc>
          <w:tcPr>
            <w:tcW w:w="885" w:type="dxa"/>
            <w:vMerge w:val="restart"/>
            <w:vAlign w:val="center"/>
          </w:tcPr>
          <w:p w14:paraId="0A783BFC">
            <w:pPr>
              <w:tabs>
                <w:tab w:val="left" w:pos="0"/>
              </w:tabs>
              <w:adjustRightInd w:val="0"/>
              <w:snapToGrid w:val="0"/>
              <w:jc w:val="center"/>
              <w:rPr>
                <w:rFonts w:ascii="宋体" w:hAnsi="宋体"/>
                <w:color w:val="auto"/>
                <w:szCs w:val="21"/>
              </w:rPr>
            </w:pPr>
            <w:r>
              <w:rPr>
                <w:rFonts w:hint="eastAsia" w:ascii="宋体" w:hAnsi="宋体"/>
                <w:color w:val="auto"/>
                <w:szCs w:val="21"/>
              </w:rPr>
              <w:t>有效性审查</w:t>
            </w:r>
          </w:p>
        </w:tc>
        <w:tc>
          <w:tcPr>
            <w:tcW w:w="2685" w:type="dxa"/>
            <w:vAlign w:val="center"/>
          </w:tcPr>
          <w:p w14:paraId="415C543E">
            <w:pPr>
              <w:tabs>
                <w:tab w:val="left" w:pos="0"/>
              </w:tabs>
              <w:adjustRightInd w:val="0"/>
              <w:snapToGrid w:val="0"/>
              <w:rPr>
                <w:rFonts w:ascii="宋体" w:hAnsi="宋体"/>
                <w:color w:val="auto"/>
                <w:szCs w:val="21"/>
              </w:rPr>
            </w:pPr>
            <w:r>
              <w:rPr>
                <w:rFonts w:hint="eastAsia" w:ascii="宋体" w:hAnsi="宋体"/>
                <w:color w:val="auto"/>
                <w:szCs w:val="21"/>
              </w:rPr>
              <w:t>（1）响应文件的签署盖章</w:t>
            </w:r>
          </w:p>
        </w:tc>
        <w:tc>
          <w:tcPr>
            <w:tcW w:w="4888" w:type="dxa"/>
            <w:vAlign w:val="center"/>
          </w:tcPr>
          <w:p w14:paraId="40E05AD9">
            <w:pPr>
              <w:tabs>
                <w:tab w:val="left" w:pos="0"/>
              </w:tabs>
              <w:adjustRightInd w:val="0"/>
              <w:snapToGrid w:val="0"/>
              <w:rPr>
                <w:rFonts w:ascii="宋体" w:hAnsi="宋体"/>
                <w:color w:val="auto"/>
                <w:szCs w:val="21"/>
              </w:rPr>
            </w:pPr>
            <w:r>
              <w:rPr>
                <w:rFonts w:hint="eastAsia" w:ascii="宋体" w:hAnsi="宋体"/>
                <w:color w:val="auto"/>
                <w:szCs w:val="21"/>
              </w:rPr>
              <w:t>响应文件上法定代表人或其委托代理人的签字或盖章齐全，并加盖单位章</w:t>
            </w:r>
          </w:p>
        </w:tc>
      </w:tr>
      <w:tr w14:paraId="4084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780" w:type="dxa"/>
            <w:vMerge w:val="continue"/>
          </w:tcPr>
          <w:p w14:paraId="2FD0AD9B">
            <w:pPr>
              <w:tabs>
                <w:tab w:val="left" w:pos="0"/>
              </w:tabs>
              <w:adjustRightInd w:val="0"/>
              <w:snapToGrid w:val="0"/>
              <w:spacing w:line="360" w:lineRule="auto"/>
              <w:rPr>
                <w:rFonts w:ascii="宋体" w:hAnsi="宋体"/>
                <w:color w:val="auto"/>
                <w:szCs w:val="21"/>
              </w:rPr>
            </w:pPr>
          </w:p>
        </w:tc>
        <w:tc>
          <w:tcPr>
            <w:tcW w:w="885" w:type="dxa"/>
            <w:vMerge w:val="continue"/>
          </w:tcPr>
          <w:p w14:paraId="235CDB68">
            <w:pPr>
              <w:tabs>
                <w:tab w:val="left" w:pos="0"/>
              </w:tabs>
              <w:adjustRightInd w:val="0"/>
              <w:snapToGrid w:val="0"/>
              <w:spacing w:line="360" w:lineRule="auto"/>
              <w:rPr>
                <w:rFonts w:ascii="宋体" w:hAnsi="宋体"/>
                <w:color w:val="auto"/>
                <w:szCs w:val="21"/>
              </w:rPr>
            </w:pPr>
          </w:p>
        </w:tc>
        <w:tc>
          <w:tcPr>
            <w:tcW w:w="2685" w:type="dxa"/>
            <w:vAlign w:val="center"/>
          </w:tcPr>
          <w:p w14:paraId="1102F3C0">
            <w:pPr>
              <w:tabs>
                <w:tab w:val="left" w:pos="0"/>
              </w:tabs>
              <w:adjustRightInd w:val="0"/>
              <w:snapToGrid w:val="0"/>
              <w:rPr>
                <w:rFonts w:ascii="宋体" w:hAnsi="宋体"/>
                <w:color w:val="auto"/>
                <w:szCs w:val="21"/>
              </w:rPr>
            </w:pPr>
            <w:r>
              <w:rPr>
                <w:rFonts w:hint="eastAsia" w:ascii="宋体" w:hAnsi="宋体"/>
                <w:color w:val="auto"/>
                <w:szCs w:val="21"/>
              </w:rPr>
              <w:t>（2）响应文件格式、语言、计量单位、报价货币</w:t>
            </w:r>
          </w:p>
        </w:tc>
        <w:tc>
          <w:tcPr>
            <w:tcW w:w="4888" w:type="dxa"/>
            <w:vAlign w:val="center"/>
          </w:tcPr>
          <w:p w14:paraId="525D691F">
            <w:pPr>
              <w:tabs>
                <w:tab w:val="left" w:pos="0"/>
              </w:tabs>
              <w:adjustRightInd w:val="0"/>
              <w:snapToGrid w:val="0"/>
              <w:rPr>
                <w:rFonts w:ascii="宋体" w:hAnsi="宋体"/>
                <w:color w:val="auto"/>
                <w:szCs w:val="21"/>
              </w:rPr>
            </w:pPr>
            <w:r>
              <w:rPr>
                <w:rFonts w:hint="eastAsia" w:ascii="宋体" w:hAnsi="宋体"/>
                <w:color w:val="auto"/>
                <w:szCs w:val="21"/>
              </w:rPr>
              <w:t>应符合“响应文件格式”和响应文件要求</w:t>
            </w:r>
          </w:p>
        </w:tc>
      </w:tr>
      <w:tr w14:paraId="25AC8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780" w:type="dxa"/>
            <w:vMerge w:val="continue"/>
          </w:tcPr>
          <w:p w14:paraId="6F24F672">
            <w:pPr>
              <w:tabs>
                <w:tab w:val="left" w:pos="0"/>
              </w:tabs>
              <w:adjustRightInd w:val="0"/>
              <w:snapToGrid w:val="0"/>
              <w:spacing w:line="360" w:lineRule="auto"/>
              <w:rPr>
                <w:rFonts w:ascii="宋体" w:hAnsi="宋体"/>
                <w:color w:val="auto"/>
                <w:szCs w:val="21"/>
              </w:rPr>
            </w:pPr>
          </w:p>
        </w:tc>
        <w:tc>
          <w:tcPr>
            <w:tcW w:w="885" w:type="dxa"/>
            <w:vMerge w:val="continue"/>
          </w:tcPr>
          <w:p w14:paraId="143C076A">
            <w:pPr>
              <w:tabs>
                <w:tab w:val="left" w:pos="0"/>
              </w:tabs>
              <w:adjustRightInd w:val="0"/>
              <w:snapToGrid w:val="0"/>
              <w:spacing w:line="360" w:lineRule="auto"/>
              <w:rPr>
                <w:rFonts w:ascii="宋体" w:hAnsi="宋体"/>
                <w:color w:val="auto"/>
                <w:szCs w:val="21"/>
              </w:rPr>
            </w:pPr>
          </w:p>
        </w:tc>
        <w:tc>
          <w:tcPr>
            <w:tcW w:w="2685" w:type="dxa"/>
            <w:vAlign w:val="center"/>
          </w:tcPr>
          <w:p w14:paraId="7FB0F37F">
            <w:pPr>
              <w:tabs>
                <w:tab w:val="left" w:pos="0"/>
              </w:tabs>
              <w:adjustRightInd w:val="0"/>
              <w:snapToGrid w:val="0"/>
              <w:rPr>
                <w:rFonts w:ascii="宋体" w:hAnsi="宋体"/>
                <w:color w:val="auto"/>
                <w:szCs w:val="21"/>
              </w:rPr>
            </w:pPr>
            <w:r>
              <w:rPr>
                <w:rFonts w:hint="eastAsia" w:ascii="宋体" w:hAnsi="宋体"/>
                <w:color w:val="auto"/>
                <w:szCs w:val="21"/>
              </w:rPr>
              <w:t>（3）报价唯一</w:t>
            </w:r>
          </w:p>
        </w:tc>
        <w:tc>
          <w:tcPr>
            <w:tcW w:w="4888" w:type="dxa"/>
            <w:vAlign w:val="center"/>
          </w:tcPr>
          <w:p w14:paraId="69C9F908">
            <w:pPr>
              <w:tabs>
                <w:tab w:val="left" w:pos="0"/>
              </w:tabs>
              <w:adjustRightInd w:val="0"/>
              <w:snapToGrid w:val="0"/>
              <w:rPr>
                <w:rFonts w:ascii="宋体" w:hAnsi="宋体"/>
                <w:color w:val="auto"/>
                <w:szCs w:val="21"/>
              </w:rPr>
            </w:pPr>
            <w:r>
              <w:rPr>
                <w:rFonts w:hint="eastAsia" w:ascii="宋体" w:hAnsi="宋体"/>
                <w:color w:val="auto"/>
                <w:szCs w:val="21"/>
              </w:rPr>
              <w:t>只能有一个有效报价，不得提交选择性报价，且报价不超过采购预算金额</w:t>
            </w:r>
          </w:p>
        </w:tc>
      </w:tr>
      <w:tr w14:paraId="7A58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780" w:type="dxa"/>
            <w:vMerge w:val="restart"/>
            <w:vAlign w:val="center"/>
          </w:tcPr>
          <w:p w14:paraId="68F205C4">
            <w:pPr>
              <w:tabs>
                <w:tab w:val="left" w:pos="0"/>
              </w:tabs>
              <w:adjustRightInd w:val="0"/>
              <w:snapToGrid w:val="0"/>
              <w:spacing w:line="360" w:lineRule="auto"/>
              <w:jc w:val="center"/>
              <w:rPr>
                <w:rFonts w:ascii="宋体" w:hAnsi="宋体"/>
                <w:color w:val="auto"/>
                <w:szCs w:val="21"/>
              </w:rPr>
            </w:pPr>
            <w:r>
              <w:rPr>
                <w:rFonts w:hint="eastAsia" w:ascii="宋体" w:hAnsi="宋体"/>
                <w:color w:val="auto"/>
                <w:szCs w:val="21"/>
              </w:rPr>
              <w:t>2</w:t>
            </w:r>
          </w:p>
        </w:tc>
        <w:tc>
          <w:tcPr>
            <w:tcW w:w="885" w:type="dxa"/>
            <w:vMerge w:val="restart"/>
            <w:vAlign w:val="center"/>
          </w:tcPr>
          <w:p w14:paraId="417D76BD">
            <w:pPr>
              <w:tabs>
                <w:tab w:val="left" w:pos="0"/>
              </w:tabs>
              <w:adjustRightInd w:val="0"/>
              <w:snapToGrid w:val="0"/>
              <w:jc w:val="center"/>
              <w:rPr>
                <w:rFonts w:ascii="宋体" w:hAnsi="宋体"/>
                <w:color w:val="auto"/>
                <w:szCs w:val="21"/>
              </w:rPr>
            </w:pPr>
            <w:r>
              <w:rPr>
                <w:rFonts w:hint="eastAsia" w:ascii="宋体" w:hAnsi="宋体"/>
                <w:color w:val="auto"/>
                <w:szCs w:val="21"/>
              </w:rPr>
              <w:t>完整性审查</w:t>
            </w:r>
          </w:p>
        </w:tc>
        <w:tc>
          <w:tcPr>
            <w:tcW w:w="2685" w:type="dxa"/>
            <w:vAlign w:val="center"/>
          </w:tcPr>
          <w:p w14:paraId="321F03FF">
            <w:pPr>
              <w:tabs>
                <w:tab w:val="left" w:pos="0"/>
              </w:tabs>
              <w:adjustRightInd w:val="0"/>
              <w:snapToGrid w:val="0"/>
              <w:rPr>
                <w:rFonts w:ascii="宋体" w:hAnsi="宋体"/>
                <w:color w:val="auto"/>
                <w:szCs w:val="21"/>
              </w:rPr>
            </w:pPr>
            <w:r>
              <w:rPr>
                <w:rFonts w:hint="eastAsia" w:ascii="宋体" w:hAnsi="宋体"/>
                <w:color w:val="auto"/>
                <w:szCs w:val="21"/>
              </w:rPr>
              <w:t>（4）响应文件份数</w:t>
            </w:r>
          </w:p>
        </w:tc>
        <w:tc>
          <w:tcPr>
            <w:tcW w:w="4888" w:type="dxa"/>
            <w:vAlign w:val="center"/>
          </w:tcPr>
          <w:p w14:paraId="65894DB9">
            <w:pPr>
              <w:tabs>
                <w:tab w:val="left" w:pos="0"/>
              </w:tabs>
              <w:adjustRightInd w:val="0"/>
              <w:snapToGrid w:val="0"/>
              <w:rPr>
                <w:rFonts w:ascii="宋体" w:hAnsi="宋体"/>
                <w:color w:val="auto"/>
                <w:szCs w:val="21"/>
              </w:rPr>
            </w:pPr>
            <w:r>
              <w:rPr>
                <w:rFonts w:hint="eastAsia" w:ascii="宋体" w:hAnsi="宋体"/>
                <w:color w:val="auto"/>
                <w:szCs w:val="21"/>
              </w:rPr>
              <w:t>应符合“供应商须知前附表”规定的正本、副本、电子文件数量</w:t>
            </w:r>
          </w:p>
        </w:tc>
      </w:tr>
      <w:tr w14:paraId="5EBF6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780" w:type="dxa"/>
            <w:vMerge w:val="continue"/>
          </w:tcPr>
          <w:p w14:paraId="6F180401">
            <w:pPr>
              <w:tabs>
                <w:tab w:val="left" w:pos="0"/>
              </w:tabs>
              <w:adjustRightInd w:val="0"/>
              <w:snapToGrid w:val="0"/>
              <w:spacing w:line="360" w:lineRule="auto"/>
              <w:rPr>
                <w:rFonts w:ascii="宋体" w:hAnsi="宋体"/>
                <w:color w:val="auto"/>
                <w:szCs w:val="21"/>
              </w:rPr>
            </w:pPr>
          </w:p>
        </w:tc>
        <w:tc>
          <w:tcPr>
            <w:tcW w:w="885" w:type="dxa"/>
            <w:vMerge w:val="continue"/>
          </w:tcPr>
          <w:p w14:paraId="46110EF0">
            <w:pPr>
              <w:tabs>
                <w:tab w:val="left" w:pos="0"/>
              </w:tabs>
              <w:adjustRightInd w:val="0"/>
              <w:snapToGrid w:val="0"/>
              <w:spacing w:line="360" w:lineRule="auto"/>
              <w:rPr>
                <w:rFonts w:ascii="宋体" w:hAnsi="宋体"/>
                <w:color w:val="auto"/>
                <w:szCs w:val="21"/>
              </w:rPr>
            </w:pPr>
          </w:p>
        </w:tc>
        <w:tc>
          <w:tcPr>
            <w:tcW w:w="2685" w:type="dxa"/>
            <w:vAlign w:val="center"/>
          </w:tcPr>
          <w:p w14:paraId="7E06D318">
            <w:pPr>
              <w:tabs>
                <w:tab w:val="left" w:pos="0"/>
              </w:tabs>
              <w:adjustRightInd w:val="0"/>
              <w:snapToGrid w:val="0"/>
              <w:rPr>
                <w:rFonts w:ascii="宋体" w:hAnsi="宋体"/>
                <w:color w:val="auto"/>
                <w:szCs w:val="21"/>
              </w:rPr>
            </w:pPr>
            <w:r>
              <w:rPr>
                <w:rFonts w:hint="eastAsia" w:ascii="宋体" w:hAnsi="宋体"/>
                <w:color w:val="auto"/>
                <w:szCs w:val="21"/>
              </w:rPr>
              <w:t>（5）响应文件内容</w:t>
            </w:r>
          </w:p>
        </w:tc>
        <w:tc>
          <w:tcPr>
            <w:tcW w:w="4888" w:type="dxa"/>
            <w:vAlign w:val="center"/>
          </w:tcPr>
          <w:p w14:paraId="1E028951">
            <w:pPr>
              <w:tabs>
                <w:tab w:val="left" w:pos="0"/>
              </w:tabs>
              <w:adjustRightInd w:val="0"/>
              <w:snapToGrid w:val="0"/>
              <w:rPr>
                <w:rFonts w:ascii="宋体" w:hAnsi="宋体"/>
                <w:color w:val="auto"/>
                <w:szCs w:val="21"/>
              </w:rPr>
            </w:pPr>
            <w:r>
              <w:rPr>
                <w:rFonts w:hint="eastAsia" w:ascii="宋体" w:hAnsi="宋体"/>
                <w:color w:val="auto"/>
                <w:szCs w:val="21"/>
                <w:highlight w:val="none"/>
                <w:lang w:val="en-US" w:eastAsia="zh-Hans"/>
              </w:rPr>
              <w:t>按照</w:t>
            </w:r>
            <w:r>
              <w:rPr>
                <w:rFonts w:hint="eastAsia" w:ascii="宋体" w:hAnsi="宋体"/>
                <w:color w:val="auto"/>
                <w:szCs w:val="21"/>
                <w:highlight w:val="none"/>
                <w:lang w:val="en-US" w:eastAsia="zh-CN"/>
              </w:rPr>
              <w:t>磋商</w:t>
            </w:r>
            <w:r>
              <w:rPr>
                <w:rFonts w:hint="eastAsia" w:ascii="宋体" w:hAnsi="宋体"/>
                <w:color w:val="auto"/>
                <w:szCs w:val="21"/>
                <w:highlight w:val="none"/>
                <w:lang w:val="en-US" w:eastAsia="zh-Hans"/>
              </w:rPr>
              <w:t>文件要求</w:t>
            </w:r>
            <w:r>
              <w:rPr>
                <w:rFonts w:hint="default" w:ascii="宋体" w:hAnsi="宋体"/>
                <w:color w:val="auto"/>
                <w:szCs w:val="21"/>
                <w:highlight w:val="none"/>
                <w:lang w:eastAsia="zh-Hans"/>
              </w:rPr>
              <w:t>，</w:t>
            </w:r>
            <w:r>
              <w:rPr>
                <w:rFonts w:hint="eastAsia" w:ascii="宋体" w:hAnsi="宋体"/>
                <w:color w:val="auto"/>
                <w:szCs w:val="21"/>
                <w:highlight w:val="none"/>
                <w:lang w:val="en-US" w:eastAsia="zh-CN"/>
              </w:rPr>
              <w:t>在要求格式内</w:t>
            </w:r>
            <w:r>
              <w:rPr>
                <w:rFonts w:hint="eastAsia" w:ascii="宋体" w:hAnsi="宋体"/>
                <w:color w:val="auto"/>
                <w:szCs w:val="21"/>
                <w:highlight w:val="none"/>
              </w:rPr>
              <w:t>响应文件</w:t>
            </w:r>
            <w:r>
              <w:rPr>
                <w:rFonts w:hint="eastAsia" w:ascii="宋体" w:hAnsi="宋体"/>
                <w:color w:val="auto"/>
                <w:szCs w:val="21"/>
                <w:highlight w:val="none"/>
                <w:lang w:val="en-US" w:eastAsia="zh-Hans"/>
              </w:rPr>
              <w:t>各项</w:t>
            </w:r>
            <w:r>
              <w:rPr>
                <w:rFonts w:hint="eastAsia" w:ascii="宋体" w:hAnsi="宋体"/>
                <w:color w:val="auto"/>
                <w:szCs w:val="21"/>
                <w:highlight w:val="none"/>
              </w:rPr>
              <w:t>内容齐全、无遗漏</w:t>
            </w:r>
          </w:p>
        </w:tc>
      </w:tr>
      <w:tr w14:paraId="6DCE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780" w:type="dxa"/>
            <w:vMerge w:val="restart"/>
            <w:vAlign w:val="center"/>
          </w:tcPr>
          <w:p w14:paraId="1B35CA2A">
            <w:pPr>
              <w:tabs>
                <w:tab w:val="left" w:pos="0"/>
              </w:tabs>
              <w:adjustRightInd w:val="0"/>
              <w:snapToGrid w:val="0"/>
              <w:spacing w:line="360" w:lineRule="auto"/>
              <w:jc w:val="center"/>
              <w:rPr>
                <w:rFonts w:ascii="宋体" w:hAnsi="宋体"/>
                <w:color w:val="auto"/>
                <w:szCs w:val="21"/>
              </w:rPr>
            </w:pPr>
            <w:r>
              <w:rPr>
                <w:rFonts w:hint="eastAsia" w:ascii="宋体" w:hAnsi="宋体"/>
                <w:color w:val="auto"/>
                <w:szCs w:val="21"/>
              </w:rPr>
              <w:t>3</w:t>
            </w:r>
          </w:p>
        </w:tc>
        <w:tc>
          <w:tcPr>
            <w:tcW w:w="885" w:type="dxa"/>
            <w:vMerge w:val="restart"/>
            <w:vAlign w:val="center"/>
          </w:tcPr>
          <w:p w14:paraId="204D49BA">
            <w:pPr>
              <w:tabs>
                <w:tab w:val="left" w:pos="0"/>
              </w:tabs>
              <w:adjustRightInd w:val="0"/>
              <w:snapToGrid w:val="0"/>
              <w:jc w:val="center"/>
              <w:rPr>
                <w:rFonts w:ascii="宋体" w:hAnsi="宋体"/>
                <w:color w:val="auto"/>
                <w:szCs w:val="21"/>
              </w:rPr>
            </w:pPr>
            <w:r>
              <w:rPr>
                <w:rFonts w:hint="eastAsia" w:ascii="宋体" w:hAnsi="宋体"/>
                <w:color w:val="auto"/>
                <w:szCs w:val="21"/>
              </w:rPr>
              <w:t>响应性审查</w:t>
            </w:r>
          </w:p>
        </w:tc>
        <w:tc>
          <w:tcPr>
            <w:tcW w:w="2685" w:type="dxa"/>
            <w:vAlign w:val="center"/>
          </w:tcPr>
          <w:p w14:paraId="1AE83858">
            <w:pPr>
              <w:tabs>
                <w:tab w:val="left" w:pos="0"/>
              </w:tabs>
              <w:adjustRightInd w:val="0"/>
              <w:snapToGrid w:val="0"/>
              <w:rPr>
                <w:rFonts w:ascii="宋体" w:hAnsi="宋体"/>
                <w:color w:val="auto"/>
                <w:szCs w:val="21"/>
              </w:rPr>
            </w:pPr>
            <w:r>
              <w:rPr>
                <w:rFonts w:hint="eastAsia" w:ascii="宋体" w:hAnsi="宋体"/>
                <w:color w:val="auto"/>
                <w:szCs w:val="21"/>
              </w:rPr>
              <w:t>（6）对磋商文件响应程度</w:t>
            </w:r>
          </w:p>
        </w:tc>
        <w:tc>
          <w:tcPr>
            <w:tcW w:w="4888" w:type="dxa"/>
            <w:vAlign w:val="center"/>
          </w:tcPr>
          <w:p w14:paraId="22B50826">
            <w:pPr>
              <w:tabs>
                <w:tab w:val="left" w:pos="0"/>
              </w:tabs>
              <w:adjustRightInd w:val="0"/>
              <w:snapToGrid w:val="0"/>
              <w:rPr>
                <w:rFonts w:ascii="宋体" w:hAnsi="宋体"/>
                <w:color w:val="auto"/>
                <w:szCs w:val="21"/>
              </w:rPr>
            </w:pPr>
            <w:r>
              <w:rPr>
                <w:rFonts w:hint="eastAsia" w:ascii="宋体" w:hAnsi="宋体"/>
                <w:color w:val="auto"/>
                <w:szCs w:val="21"/>
              </w:rPr>
              <w:t>要求全面响应，不能有任何采购人不能接受的附加条件</w:t>
            </w:r>
          </w:p>
        </w:tc>
      </w:tr>
      <w:tr w14:paraId="46BAD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780" w:type="dxa"/>
            <w:vMerge w:val="continue"/>
            <w:vAlign w:val="center"/>
          </w:tcPr>
          <w:p w14:paraId="07189281">
            <w:pPr>
              <w:tabs>
                <w:tab w:val="left" w:pos="0"/>
              </w:tabs>
              <w:adjustRightInd w:val="0"/>
              <w:snapToGrid w:val="0"/>
              <w:spacing w:line="360" w:lineRule="auto"/>
              <w:jc w:val="center"/>
              <w:rPr>
                <w:rFonts w:ascii="宋体" w:hAnsi="宋体"/>
                <w:color w:val="auto"/>
                <w:szCs w:val="21"/>
              </w:rPr>
            </w:pPr>
          </w:p>
        </w:tc>
        <w:tc>
          <w:tcPr>
            <w:tcW w:w="885" w:type="dxa"/>
            <w:vMerge w:val="continue"/>
            <w:vAlign w:val="center"/>
          </w:tcPr>
          <w:p w14:paraId="61A71D4E">
            <w:pPr>
              <w:tabs>
                <w:tab w:val="left" w:pos="0"/>
              </w:tabs>
              <w:adjustRightInd w:val="0"/>
              <w:snapToGrid w:val="0"/>
              <w:jc w:val="center"/>
              <w:rPr>
                <w:rFonts w:ascii="宋体" w:hAnsi="宋体"/>
                <w:color w:val="auto"/>
                <w:szCs w:val="21"/>
              </w:rPr>
            </w:pPr>
          </w:p>
        </w:tc>
        <w:tc>
          <w:tcPr>
            <w:tcW w:w="2685" w:type="dxa"/>
            <w:vAlign w:val="center"/>
          </w:tcPr>
          <w:p w14:paraId="79CB850D">
            <w:pPr>
              <w:tabs>
                <w:tab w:val="left" w:pos="0"/>
              </w:tabs>
              <w:adjustRightInd w:val="0"/>
              <w:snapToGrid w:val="0"/>
              <w:spacing w:line="320" w:lineRule="exact"/>
              <w:rPr>
                <w:rFonts w:hint="default" w:ascii="宋体" w:hAnsi="宋体" w:eastAsia="宋体"/>
                <w:color w:val="auto"/>
                <w:szCs w:val="21"/>
                <w:lang w:val="en-US" w:eastAsia="zh-CN"/>
              </w:rPr>
            </w:pPr>
            <w:r>
              <w:rPr>
                <w:rFonts w:hint="eastAsia" w:ascii="宋体" w:hAnsi="宋体"/>
                <w:color w:val="auto"/>
                <w:szCs w:val="21"/>
              </w:rPr>
              <w:t>（7）拟提供</w:t>
            </w:r>
            <w:r>
              <w:rPr>
                <w:rFonts w:hint="eastAsia" w:ascii="宋体" w:hAnsi="宋体"/>
                <w:color w:val="auto"/>
                <w:szCs w:val="21"/>
                <w:lang w:val="en-US" w:eastAsia="zh-CN"/>
              </w:rPr>
              <w:t>服务内容</w:t>
            </w:r>
          </w:p>
        </w:tc>
        <w:tc>
          <w:tcPr>
            <w:tcW w:w="4888" w:type="dxa"/>
            <w:vAlign w:val="center"/>
          </w:tcPr>
          <w:p w14:paraId="0D0F419B">
            <w:pPr>
              <w:tabs>
                <w:tab w:val="left" w:pos="0"/>
              </w:tabs>
              <w:adjustRightInd w:val="0"/>
              <w:snapToGrid w:val="0"/>
              <w:spacing w:line="320" w:lineRule="exact"/>
              <w:rPr>
                <w:rFonts w:ascii="宋体" w:hAnsi="宋体"/>
                <w:color w:val="auto"/>
                <w:szCs w:val="21"/>
              </w:rPr>
            </w:pPr>
            <w:r>
              <w:rPr>
                <w:rFonts w:hint="eastAsia" w:ascii="宋体" w:hAnsi="宋体"/>
                <w:color w:val="auto"/>
                <w:szCs w:val="21"/>
              </w:rPr>
              <w:t>应满足磋商文件提出的技术要求</w:t>
            </w:r>
          </w:p>
        </w:tc>
      </w:tr>
      <w:tr w14:paraId="53D07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80" w:type="dxa"/>
            <w:vMerge w:val="continue"/>
          </w:tcPr>
          <w:p w14:paraId="76463864">
            <w:pPr>
              <w:tabs>
                <w:tab w:val="left" w:pos="0"/>
              </w:tabs>
              <w:adjustRightInd w:val="0"/>
              <w:snapToGrid w:val="0"/>
              <w:spacing w:line="360" w:lineRule="auto"/>
              <w:rPr>
                <w:rFonts w:ascii="宋体" w:hAnsi="宋体"/>
                <w:color w:val="auto"/>
                <w:szCs w:val="21"/>
              </w:rPr>
            </w:pPr>
          </w:p>
        </w:tc>
        <w:tc>
          <w:tcPr>
            <w:tcW w:w="885" w:type="dxa"/>
            <w:vMerge w:val="continue"/>
          </w:tcPr>
          <w:p w14:paraId="26075249">
            <w:pPr>
              <w:tabs>
                <w:tab w:val="left" w:pos="0"/>
              </w:tabs>
              <w:adjustRightInd w:val="0"/>
              <w:snapToGrid w:val="0"/>
              <w:spacing w:line="360" w:lineRule="auto"/>
              <w:rPr>
                <w:rFonts w:ascii="宋体" w:hAnsi="宋体"/>
                <w:color w:val="auto"/>
                <w:szCs w:val="21"/>
              </w:rPr>
            </w:pPr>
          </w:p>
        </w:tc>
        <w:tc>
          <w:tcPr>
            <w:tcW w:w="2685" w:type="dxa"/>
            <w:vAlign w:val="center"/>
          </w:tcPr>
          <w:p w14:paraId="77B78ADA">
            <w:pPr>
              <w:tabs>
                <w:tab w:val="left" w:pos="0"/>
              </w:tabs>
              <w:adjustRightInd w:val="0"/>
              <w:snapToGrid w:val="0"/>
              <w:rPr>
                <w:rFonts w:hint="eastAsia" w:ascii="宋体" w:hAnsi="宋体" w:eastAsia="宋体"/>
                <w:color w:val="auto"/>
                <w:szCs w:val="21"/>
                <w:lang w:eastAsia="zh-CN"/>
              </w:rPr>
            </w:pPr>
            <w:r>
              <w:rPr>
                <w:rFonts w:hint="eastAsia" w:ascii="宋体" w:hAnsi="宋体"/>
                <w:color w:val="auto"/>
                <w:szCs w:val="21"/>
              </w:rPr>
              <w:t>（8）</w:t>
            </w:r>
            <w:r>
              <w:rPr>
                <w:rFonts w:hint="eastAsia" w:ascii="宋体" w:hAnsi="宋体"/>
                <w:color w:val="auto"/>
                <w:szCs w:val="21"/>
                <w:lang w:val="en-US" w:eastAsia="zh-CN"/>
              </w:rPr>
              <w:t>服务期</w:t>
            </w:r>
          </w:p>
        </w:tc>
        <w:tc>
          <w:tcPr>
            <w:tcW w:w="4888" w:type="dxa"/>
            <w:vAlign w:val="center"/>
          </w:tcPr>
          <w:p w14:paraId="63FAD7C6">
            <w:pPr>
              <w:tabs>
                <w:tab w:val="left" w:pos="0"/>
              </w:tabs>
              <w:adjustRightInd w:val="0"/>
              <w:snapToGrid w:val="0"/>
              <w:rPr>
                <w:rFonts w:hint="eastAsia" w:ascii="宋体" w:hAnsi="宋体" w:eastAsia="宋体"/>
                <w:color w:val="auto"/>
                <w:szCs w:val="21"/>
                <w:lang w:eastAsia="zh-CN"/>
              </w:rPr>
            </w:pPr>
            <w:r>
              <w:rPr>
                <w:rFonts w:hint="eastAsia" w:ascii="宋体" w:hAnsi="宋体"/>
                <w:color w:val="auto"/>
                <w:szCs w:val="21"/>
              </w:rPr>
              <w:t>应满足磋商文件中要求的</w:t>
            </w:r>
            <w:r>
              <w:rPr>
                <w:rFonts w:hint="eastAsia" w:ascii="宋体" w:hAnsi="宋体"/>
                <w:color w:val="auto"/>
                <w:szCs w:val="21"/>
                <w:lang w:val="en-US" w:eastAsia="zh-CN"/>
              </w:rPr>
              <w:t>服务期</w:t>
            </w:r>
          </w:p>
        </w:tc>
      </w:tr>
      <w:tr w14:paraId="73382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780" w:type="dxa"/>
            <w:vMerge w:val="continue"/>
          </w:tcPr>
          <w:p w14:paraId="4DBDD1B7">
            <w:pPr>
              <w:tabs>
                <w:tab w:val="left" w:pos="0"/>
              </w:tabs>
              <w:adjustRightInd w:val="0"/>
              <w:snapToGrid w:val="0"/>
              <w:spacing w:line="360" w:lineRule="auto"/>
              <w:rPr>
                <w:rFonts w:ascii="宋体" w:hAnsi="宋体"/>
                <w:color w:val="auto"/>
                <w:szCs w:val="21"/>
              </w:rPr>
            </w:pPr>
          </w:p>
        </w:tc>
        <w:tc>
          <w:tcPr>
            <w:tcW w:w="885" w:type="dxa"/>
            <w:vMerge w:val="continue"/>
          </w:tcPr>
          <w:p w14:paraId="54EB719F">
            <w:pPr>
              <w:tabs>
                <w:tab w:val="left" w:pos="0"/>
              </w:tabs>
              <w:adjustRightInd w:val="0"/>
              <w:snapToGrid w:val="0"/>
              <w:spacing w:line="360" w:lineRule="auto"/>
              <w:rPr>
                <w:rFonts w:ascii="宋体" w:hAnsi="宋体"/>
                <w:color w:val="auto"/>
                <w:szCs w:val="21"/>
              </w:rPr>
            </w:pPr>
          </w:p>
        </w:tc>
        <w:tc>
          <w:tcPr>
            <w:tcW w:w="2685" w:type="dxa"/>
            <w:vAlign w:val="center"/>
          </w:tcPr>
          <w:p w14:paraId="041C0AB5">
            <w:pPr>
              <w:tabs>
                <w:tab w:val="left" w:pos="0"/>
              </w:tabs>
              <w:adjustRightInd w:val="0"/>
              <w:snapToGrid w:val="0"/>
              <w:rPr>
                <w:rFonts w:ascii="宋体" w:hAnsi="宋体"/>
                <w:color w:val="auto"/>
                <w:szCs w:val="21"/>
              </w:rPr>
            </w:pPr>
            <w:r>
              <w:rPr>
                <w:rFonts w:hint="eastAsia" w:ascii="宋体" w:hAnsi="宋体"/>
                <w:color w:val="auto"/>
                <w:szCs w:val="21"/>
              </w:rPr>
              <w:t>（9）磋商有效期</w:t>
            </w:r>
          </w:p>
        </w:tc>
        <w:tc>
          <w:tcPr>
            <w:tcW w:w="4888" w:type="dxa"/>
            <w:vAlign w:val="center"/>
          </w:tcPr>
          <w:p w14:paraId="64E27B83">
            <w:pPr>
              <w:tabs>
                <w:tab w:val="left" w:pos="0"/>
              </w:tabs>
              <w:adjustRightInd w:val="0"/>
              <w:snapToGrid w:val="0"/>
              <w:rPr>
                <w:rFonts w:ascii="宋体" w:hAnsi="宋体"/>
                <w:color w:val="auto"/>
                <w:szCs w:val="21"/>
              </w:rPr>
            </w:pPr>
            <w:r>
              <w:rPr>
                <w:rFonts w:hint="eastAsia" w:ascii="宋体" w:hAnsi="宋体"/>
                <w:color w:val="auto"/>
                <w:szCs w:val="21"/>
              </w:rPr>
              <w:t>应满足磋商文件中的规定</w:t>
            </w:r>
          </w:p>
        </w:tc>
      </w:tr>
    </w:tbl>
    <w:p w14:paraId="1CFB3C38">
      <w:pPr>
        <w:ind w:firstLine="422" w:firstLineChars="200"/>
        <w:rPr>
          <w:rFonts w:ascii="宋体" w:hAnsi="宋体"/>
          <w:b/>
          <w:color w:val="auto"/>
          <w:szCs w:val="21"/>
        </w:rPr>
      </w:pPr>
      <w:r>
        <w:rPr>
          <w:rFonts w:hint="eastAsia" w:ascii="宋体" w:hAnsi="宋体"/>
          <w:b/>
          <w:color w:val="auto"/>
          <w:szCs w:val="21"/>
        </w:rPr>
        <w:t>1.2.4.3 未通过符合性检查的供应商，不得进入后续磋商环节。</w:t>
      </w:r>
    </w:p>
    <w:p w14:paraId="151B6A17">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1.3 响应文件的澄清</w:t>
      </w:r>
    </w:p>
    <w:p w14:paraId="661CD117">
      <w:pPr>
        <w:adjustRightInd w:val="0"/>
        <w:snapToGrid w:val="0"/>
        <w:spacing w:line="360" w:lineRule="auto"/>
        <w:ind w:firstLine="420" w:firstLineChars="200"/>
        <w:rPr>
          <w:rFonts w:ascii="宋体" w:hAnsi="宋体" w:cs="宋体"/>
          <w:snapToGrid w:val="0"/>
          <w:color w:val="auto"/>
          <w:kern w:val="0"/>
          <w:szCs w:val="21"/>
        </w:rPr>
      </w:pPr>
      <w:r>
        <w:rPr>
          <w:rFonts w:hint="eastAsia" w:ascii="宋体" w:hAnsi="宋体" w:cs="宋体"/>
          <w:snapToGrid w:val="0"/>
          <w:color w:val="auto"/>
          <w:kern w:val="0"/>
          <w:szCs w:val="21"/>
        </w:rPr>
        <w:t>1.3.1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C2EB1D7">
      <w:pPr>
        <w:widowControl/>
        <w:spacing w:line="360" w:lineRule="auto"/>
        <w:ind w:firstLine="420" w:firstLineChars="200"/>
        <w:rPr>
          <w:rFonts w:ascii="宋体" w:hAnsi="宋体" w:cs="宋体"/>
          <w:snapToGrid w:val="0"/>
          <w:color w:val="auto"/>
          <w:kern w:val="0"/>
          <w:szCs w:val="21"/>
        </w:rPr>
      </w:pPr>
      <w:r>
        <w:rPr>
          <w:rFonts w:hint="eastAsia" w:ascii="宋体" w:hAnsi="宋体" w:cs="宋体"/>
          <w:snapToGrid w:val="0"/>
          <w:color w:val="auto"/>
          <w:kern w:val="0"/>
          <w:szCs w:val="21"/>
        </w:rPr>
        <w:t>1.3.2磋商小组要求供应商澄清、说明或者更正响应文件应当以书面形式作出。供应商的澄清、说明或者更正应当由法定代表人或其授权代表签字或者加盖公章。由委托代理人签字的，应当附法定代表人授权书。供应商为自然人的，应当由本人签字并附身份证明。</w:t>
      </w:r>
    </w:p>
    <w:p w14:paraId="5B1290FC">
      <w:pPr>
        <w:spacing w:line="360" w:lineRule="auto"/>
        <w:ind w:firstLine="420" w:firstLineChars="200"/>
        <w:rPr>
          <w:rFonts w:ascii="宋体" w:hAnsi="宋体"/>
          <w:color w:val="auto"/>
          <w:szCs w:val="21"/>
        </w:rPr>
      </w:pPr>
      <w:r>
        <w:rPr>
          <w:rFonts w:hint="eastAsia" w:ascii="宋体" w:hAnsi="宋体" w:cs="宋体"/>
          <w:snapToGrid w:val="0"/>
          <w:color w:val="auto"/>
          <w:kern w:val="0"/>
          <w:szCs w:val="21"/>
        </w:rPr>
        <w:t xml:space="preserve">1.3.3 </w:t>
      </w:r>
      <w:r>
        <w:rPr>
          <w:rFonts w:hint="eastAsia"/>
          <w:color w:val="auto"/>
          <w:szCs w:val="21"/>
        </w:rPr>
        <w:t>供应商拒不按照要求对响应文件进行澄清、说明或者更正的，磋商小组可以拒绝其响应文件。</w:t>
      </w:r>
      <w:r>
        <w:rPr>
          <w:rFonts w:hint="eastAsia" w:ascii="宋体" w:hAnsi="宋体"/>
          <w:color w:val="auto"/>
          <w:szCs w:val="21"/>
        </w:rPr>
        <w:t>磋商小组不接受供应商主动提出的澄清、说明或者更正。</w:t>
      </w:r>
    </w:p>
    <w:p w14:paraId="0DDE76C9">
      <w:pPr>
        <w:spacing w:line="360" w:lineRule="auto"/>
        <w:ind w:firstLine="420" w:firstLineChars="200"/>
        <w:rPr>
          <w:rFonts w:ascii="宋体" w:hAnsi="宋体"/>
          <w:color w:val="auto"/>
          <w:szCs w:val="21"/>
        </w:rPr>
      </w:pPr>
      <w:r>
        <w:rPr>
          <w:rFonts w:hint="eastAsia" w:ascii="宋体" w:hAnsi="宋体"/>
          <w:color w:val="auto"/>
          <w:szCs w:val="21"/>
        </w:rPr>
        <w:t>1.3.4 有效的书面澄清、说明或者更正材料，是响应文件的补充材料，并构成响应文件的组成部分。</w:t>
      </w:r>
    </w:p>
    <w:p w14:paraId="699006CC">
      <w:pPr>
        <w:spacing w:line="360" w:lineRule="auto"/>
        <w:ind w:firstLine="420" w:firstLineChars="200"/>
        <w:rPr>
          <w:rFonts w:ascii="宋体" w:hAnsi="宋体"/>
          <w:color w:val="auto"/>
          <w:szCs w:val="21"/>
        </w:rPr>
      </w:pPr>
      <w:r>
        <w:rPr>
          <w:rFonts w:hint="eastAsia" w:ascii="宋体" w:hAnsi="宋体"/>
          <w:color w:val="auto"/>
          <w:szCs w:val="21"/>
        </w:rPr>
        <w:t>1.3.5 磋商小组对供应商提交的澄清、说明或者更正有疑问的，可以要求供应商进一步澄清、说明或者更正，直至满足磋商小组的要求。</w:t>
      </w:r>
    </w:p>
    <w:p w14:paraId="386ED536">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1.4 磋商</w:t>
      </w:r>
    </w:p>
    <w:p w14:paraId="737F8175">
      <w:pPr>
        <w:spacing w:line="360" w:lineRule="auto"/>
        <w:ind w:firstLine="480"/>
        <w:rPr>
          <w:rFonts w:ascii="宋体" w:hAnsi="宋体"/>
          <w:b/>
          <w:color w:val="auto"/>
          <w:szCs w:val="21"/>
        </w:rPr>
      </w:pPr>
      <w:r>
        <w:rPr>
          <w:rFonts w:hint="eastAsia" w:ascii="宋体" w:hAnsi="宋体"/>
          <w:b/>
          <w:color w:val="auto"/>
          <w:szCs w:val="21"/>
        </w:rPr>
        <w:t>1.4.1磋商方式：</w:t>
      </w:r>
    </w:p>
    <w:p w14:paraId="13DE27D2">
      <w:pPr>
        <w:spacing w:line="360" w:lineRule="auto"/>
        <w:ind w:firstLine="688" w:firstLineChars="328"/>
        <w:rPr>
          <w:rFonts w:ascii="宋体" w:hAnsi="宋体" w:cs="宋体"/>
          <w:color w:val="auto"/>
          <w:kern w:val="0"/>
          <w:szCs w:val="21"/>
        </w:rPr>
      </w:pPr>
      <w:r>
        <w:rPr>
          <w:rFonts w:hint="eastAsia" w:ascii="宋体" w:hAnsi="宋体" w:cs="宋体"/>
          <w:color w:val="auto"/>
          <w:kern w:val="0"/>
          <w:szCs w:val="21"/>
        </w:rPr>
        <w:t>1.4.1.1 对资格性审查和符合性审查合格的供应商，进入本次磋商环节。</w:t>
      </w:r>
    </w:p>
    <w:p w14:paraId="06E6201C">
      <w:pPr>
        <w:spacing w:line="360" w:lineRule="auto"/>
        <w:ind w:firstLine="688" w:firstLineChars="328"/>
        <w:rPr>
          <w:rFonts w:ascii="宋体" w:hAnsi="宋体" w:cs="宋体"/>
          <w:color w:val="auto"/>
          <w:kern w:val="0"/>
          <w:szCs w:val="21"/>
        </w:rPr>
      </w:pPr>
      <w:r>
        <w:rPr>
          <w:rFonts w:hint="eastAsia" w:ascii="宋体" w:hAnsi="宋体" w:cs="宋体"/>
          <w:color w:val="auto"/>
          <w:kern w:val="0"/>
          <w:szCs w:val="21"/>
        </w:rPr>
        <w:t>1.4.1.2 在磋商期间，供应商应派代表参加磋商，代表人数不超过</w:t>
      </w:r>
      <w:r>
        <w:rPr>
          <w:rFonts w:hint="eastAsia" w:ascii="宋体" w:hAnsi="宋体" w:cs="宋体"/>
          <w:color w:val="auto"/>
          <w:kern w:val="0"/>
          <w:szCs w:val="21"/>
          <w:u w:val="single"/>
        </w:rPr>
        <w:t>1</w:t>
      </w:r>
      <w:r>
        <w:rPr>
          <w:rFonts w:hint="eastAsia" w:ascii="宋体" w:hAnsi="宋体" w:cs="宋体"/>
          <w:color w:val="auto"/>
          <w:kern w:val="0"/>
          <w:szCs w:val="21"/>
        </w:rPr>
        <w:t>人。</w:t>
      </w:r>
    </w:p>
    <w:p w14:paraId="2592E966">
      <w:pPr>
        <w:spacing w:line="360" w:lineRule="auto"/>
        <w:ind w:firstLine="688" w:firstLineChars="328"/>
        <w:rPr>
          <w:rFonts w:ascii="宋体" w:hAnsi="宋体" w:cs="宋体"/>
          <w:color w:val="auto"/>
          <w:kern w:val="0"/>
          <w:szCs w:val="21"/>
        </w:rPr>
      </w:pPr>
      <w:r>
        <w:rPr>
          <w:rFonts w:hint="eastAsia" w:ascii="宋体" w:hAnsi="宋体" w:cs="宋体"/>
          <w:color w:val="auto"/>
          <w:kern w:val="0"/>
          <w:szCs w:val="21"/>
        </w:rPr>
        <w:t>1.4.1.3 磋商小组将通过随机方式确定供应商进行磋商的顺序，所有成员集中与单一供应商按照顺序分别进行磋商，</w:t>
      </w:r>
      <w:r>
        <w:rPr>
          <w:rFonts w:hint="eastAsia"/>
          <w:color w:val="auto"/>
          <w:szCs w:val="21"/>
        </w:rPr>
        <w:t>并给予所有参加磋商的供应商平等的磋商机会</w:t>
      </w:r>
      <w:r>
        <w:rPr>
          <w:rFonts w:hint="eastAsia" w:ascii="宋体" w:hAnsi="宋体" w:cs="宋体"/>
          <w:color w:val="auto"/>
          <w:kern w:val="0"/>
          <w:szCs w:val="21"/>
        </w:rPr>
        <w:t>。磋商的任何一方不得透露与磋商有关的其他供应商的技术资料、价格和其他信息。</w:t>
      </w:r>
    </w:p>
    <w:p w14:paraId="241F3E45">
      <w:pPr>
        <w:spacing w:line="360" w:lineRule="auto"/>
        <w:ind w:firstLine="690" w:firstLineChars="329"/>
        <w:rPr>
          <w:color w:val="auto"/>
          <w:szCs w:val="21"/>
        </w:rPr>
      </w:pPr>
      <w:r>
        <w:rPr>
          <w:rFonts w:hint="eastAsia" w:ascii="宋体" w:hAnsi="宋体" w:cs="宋体"/>
          <w:color w:val="auto"/>
          <w:kern w:val="0"/>
          <w:szCs w:val="21"/>
        </w:rPr>
        <w:t>1.4.1.4 技术磋商。</w:t>
      </w:r>
      <w:r>
        <w:rPr>
          <w:rFonts w:hint="eastAsia"/>
          <w:color w:val="auto"/>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23CCF126">
      <w:pPr>
        <w:spacing w:line="360" w:lineRule="auto"/>
        <w:ind w:firstLine="690" w:firstLineChars="329"/>
        <w:rPr>
          <w:color w:val="auto"/>
          <w:szCs w:val="21"/>
        </w:rPr>
      </w:pPr>
      <w:r>
        <w:rPr>
          <w:rFonts w:hint="eastAsia"/>
          <w:color w:val="auto"/>
          <w:szCs w:val="21"/>
        </w:rPr>
        <w:t>对磋商文件作出的实质性变动是磋商文件的有效组成部分，磋商小组应当及时以书面形式同时通知所有参加磋商的供应商。</w:t>
      </w:r>
    </w:p>
    <w:p w14:paraId="040A565C">
      <w:pPr>
        <w:widowControl/>
        <w:spacing w:line="360" w:lineRule="auto"/>
        <w:ind w:firstLine="735" w:firstLineChars="350"/>
        <w:rPr>
          <w:rFonts w:ascii="宋体" w:hAnsi="宋体" w:cs="宋体"/>
          <w:snapToGrid w:val="0"/>
          <w:color w:val="auto"/>
          <w:kern w:val="0"/>
          <w:szCs w:val="21"/>
        </w:rPr>
      </w:pPr>
      <w:r>
        <w:rPr>
          <w:rFonts w:hint="eastAsia"/>
          <w:color w:val="auto"/>
          <w:szCs w:val="21"/>
        </w:rPr>
        <w:t>供应商应当按照磋商文件的变动情况和磋商小组的要求重新提交响应文件，并由其法定代表人或委托代理人签字或者加盖公章。</w:t>
      </w:r>
      <w:r>
        <w:rPr>
          <w:rFonts w:hint="eastAsia" w:ascii="宋体" w:hAnsi="宋体" w:cs="宋体"/>
          <w:snapToGrid w:val="0"/>
          <w:color w:val="auto"/>
          <w:kern w:val="0"/>
          <w:szCs w:val="21"/>
        </w:rPr>
        <w:t>由委托代理人签字的，应当附法定代表人授权书。供应商为自然人的，应当由本人签字并附身份证明。</w:t>
      </w:r>
    </w:p>
    <w:p w14:paraId="122C9012">
      <w:pPr>
        <w:spacing w:line="360" w:lineRule="auto"/>
        <w:ind w:firstLine="690" w:firstLineChars="329"/>
        <w:rPr>
          <w:color w:val="auto"/>
          <w:szCs w:val="21"/>
        </w:rPr>
      </w:pPr>
      <w:r>
        <w:rPr>
          <w:rFonts w:hint="eastAsia" w:ascii="宋体" w:hAnsi="宋体" w:cs="宋体"/>
          <w:color w:val="auto"/>
          <w:kern w:val="0"/>
          <w:szCs w:val="21"/>
        </w:rPr>
        <w:t>磋商小组应当</w:t>
      </w:r>
      <w:r>
        <w:rPr>
          <w:rFonts w:hint="eastAsia" w:ascii="宋体" w:hAnsi="宋体"/>
          <w:color w:val="auto"/>
          <w:szCs w:val="21"/>
        </w:rPr>
        <w:t>根据规定</w:t>
      </w:r>
      <w:r>
        <w:rPr>
          <w:rFonts w:hint="eastAsia" w:ascii="宋体" w:hAnsi="宋体" w:cs="宋体"/>
          <w:color w:val="auto"/>
          <w:kern w:val="0"/>
          <w:szCs w:val="21"/>
        </w:rPr>
        <w:t>对供应商重新提交的响应文件进行符合性审查。供应商重新提交的响应文件未通过符合性审查的，不得进入商务磋商，也不得要求提交最后报价。</w:t>
      </w:r>
    </w:p>
    <w:p w14:paraId="1359BCE0">
      <w:pPr>
        <w:spacing w:line="360" w:lineRule="auto"/>
        <w:ind w:firstLine="795" w:firstLineChars="379"/>
        <w:rPr>
          <w:rFonts w:ascii="宋体" w:hAnsi="宋体"/>
          <w:color w:val="auto"/>
          <w:szCs w:val="21"/>
        </w:rPr>
      </w:pPr>
      <w:r>
        <w:rPr>
          <w:rFonts w:hint="eastAsia" w:ascii="宋体" w:hAnsi="宋体"/>
          <w:color w:val="auto"/>
          <w:szCs w:val="21"/>
        </w:rPr>
        <w:t>1.4.1.5 商务磋商。在技术磋商结束后，进行商务磋商。磋商文件能够详细列明采购标的的技术、服务要求的，磋商小组应当要求所有实质性响应的供应商在规定时间内提交最后报价，提交最后报价的供应商不得少于3家。</w:t>
      </w:r>
    </w:p>
    <w:p w14:paraId="29BC9D8E">
      <w:pPr>
        <w:spacing w:line="360" w:lineRule="auto"/>
        <w:ind w:firstLine="795" w:firstLineChars="379"/>
        <w:rPr>
          <w:rFonts w:ascii="宋体" w:hAnsi="宋体"/>
          <w:color w:val="auto"/>
          <w:szCs w:val="21"/>
        </w:rPr>
      </w:pPr>
      <w:r>
        <w:rPr>
          <w:rFonts w:hint="eastAsia" w:ascii="宋体" w:hAnsi="宋体"/>
          <w:color w:val="auto"/>
          <w:szCs w:val="21"/>
        </w:rPr>
        <w:t>磋商文件不能详细列明采购标的的技术、服务要求，需经磋商由供应商提供最终设计方案或解决方案的，磋商小组应当按照少数服从多数的原则投票推荐3家以上供应商的设计方案或者解决方案，并要求其在规定时间内提交最后报价。</w:t>
      </w:r>
    </w:p>
    <w:p w14:paraId="1ADAD788">
      <w:pPr>
        <w:widowControl/>
        <w:spacing w:line="360" w:lineRule="auto"/>
        <w:ind w:firstLine="768" w:firstLineChars="366"/>
        <w:rPr>
          <w:rFonts w:ascii="宋体" w:hAnsi="宋体" w:cs="宋体"/>
          <w:snapToGrid w:val="0"/>
          <w:color w:val="auto"/>
          <w:kern w:val="0"/>
          <w:szCs w:val="21"/>
        </w:rPr>
      </w:pPr>
      <w:r>
        <w:rPr>
          <w:rFonts w:hint="eastAsia" w:ascii="宋体" w:hAnsi="宋体" w:cs="宋体"/>
          <w:snapToGrid w:val="0"/>
          <w:color w:val="auto"/>
          <w:kern w:val="0"/>
          <w:szCs w:val="21"/>
        </w:rPr>
        <w:t>符合《政府采购竞争性磋商采购方式管理暂行办法》第三条第四项情形的，或者本项目为政府购买服务指导性目录中的，提交最后报价的供应商可以为2家。</w:t>
      </w:r>
    </w:p>
    <w:p w14:paraId="01DEA3AE">
      <w:pPr>
        <w:spacing w:line="360" w:lineRule="auto"/>
        <w:ind w:firstLine="795" w:firstLineChars="379"/>
        <w:rPr>
          <w:color w:val="auto"/>
          <w:szCs w:val="21"/>
        </w:rPr>
      </w:pPr>
      <w:r>
        <w:rPr>
          <w:rFonts w:hint="eastAsia" w:ascii="宋体" w:hAnsi="宋体"/>
          <w:color w:val="auto"/>
          <w:szCs w:val="21"/>
        </w:rPr>
        <w:t xml:space="preserve">1.4.1.6 </w:t>
      </w:r>
      <w:r>
        <w:rPr>
          <w:rFonts w:hint="eastAsia"/>
          <w:color w:val="auto"/>
          <w:szCs w:val="21"/>
        </w:rPr>
        <w:t>已提交响应文件的供应商，在提交最后报价之前，可以根据磋商情况退出磋商，采购代理机构应当退还其磋商保证金。</w:t>
      </w:r>
    </w:p>
    <w:p w14:paraId="6ED71F27">
      <w:pPr>
        <w:spacing w:line="360" w:lineRule="auto"/>
        <w:ind w:firstLine="422" w:firstLineChars="200"/>
        <w:rPr>
          <w:rFonts w:ascii="宋体" w:hAnsi="宋体"/>
          <w:b/>
          <w:color w:val="auto"/>
          <w:szCs w:val="21"/>
        </w:rPr>
      </w:pPr>
      <w:r>
        <w:rPr>
          <w:rFonts w:hint="eastAsia" w:ascii="宋体" w:hAnsi="宋体"/>
          <w:b/>
          <w:color w:val="auto"/>
          <w:szCs w:val="21"/>
        </w:rPr>
        <w:t>1.4.2磋商步骤：</w:t>
      </w:r>
    </w:p>
    <w:p w14:paraId="5CC7B7A7">
      <w:pPr>
        <w:spacing w:line="360" w:lineRule="auto"/>
        <w:ind w:firstLine="821" w:firstLineChars="391"/>
        <w:rPr>
          <w:rFonts w:ascii="宋体" w:hAnsi="宋体"/>
          <w:color w:val="auto"/>
          <w:szCs w:val="21"/>
        </w:rPr>
      </w:pPr>
      <w:r>
        <w:rPr>
          <w:rFonts w:hint="eastAsia" w:ascii="宋体" w:hAnsi="宋体"/>
          <w:color w:val="auto"/>
          <w:szCs w:val="21"/>
        </w:rPr>
        <w:t>1.4.2.1 第一轮磋商。磋商小组对进入第一轮磋商的供应商再次进行评审、质疑和澄清。在此阶段，磋商小组依据参加磋商的供应商递交的响应文件进行技术和商务磋商。</w:t>
      </w:r>
    </w:p>
    <w:p w14:paraId="1D899779">
      <w:pPr>
        <w:spacing w:line="360" w:lineRule="auto"/>
        <w:ind w:firstLine="821" w:firstLineChars="391"/>
        <w:rPr>
          <w:rFonts w:ascii="宋体" w:hAnsi="宋体"/>
          <w:color w:val="auto"/>
          <w:szCs w:val="21"/>
        </w:rPr>
      </w:pPr>
      <w:r>
        <w:rPr>
          <w:rFonts w:hint="eastAsia" w:ascii="宋体" w:hAnsi="宋体"/>
          <w:color w:val="auto"/>
          <w:szCs w:val="21"/>
        </w:rPr>
        <w:t>磋商小组可以根据实际需要提出方案和技术参数要求，与单一供应商分别进行磋商，</w:t>
      </w:r>
      <w:r>
        <w:rPr>
          <w:rFonts w:hint="eastAsia"/>
          <w:color w:val="auto"/>
          <w:szCs w:val="21"/>
        </w:rPr>
        <w:t>并给予所有参加磋商的供应商平等的磋商机会。要求</w:t>
      </w:r>
      <w:r>
        <w:rPr>
          <w:rFonts w:hint="eastAsia" w:ascii="宋体" w:hAnsi="宋体"/>
          <w:color w:val="auto"/>
          <w:szCs w:val="21"/>
        </w:rPr>
        <w:t>参加磋商的供应商重新承诺服务、技术要求和第二次磋商报价，以满足采购人的最大需求。</w:t>
      </w:r>
    </w:p>
    <w:p w14:paraId="0D66E0BC">
      <w:pPr>
        <w:spacing w:line="360" w:lineRule="auto"/>
        <w:ind w:firstLine="840" w:firstLineChars="400"/>
        <w:rPr>
          <w:rFonts w:ascii="宋体" w:hAnsi="宋体"/>
          <w:color w:val="auto"/>
          <w:szCs w:val="21"/>
        </w:rPr>
      </w:pPr>
      <w:r>
        <w:rPr>
          <w:rFonts w:hint="eastAsia" w:ascii="宋体" w:hAnsi="宋体"/>
          <w:color w:val="auto"/>
          <w:szCs w:val="21"/>
        </w:rPr>
        <w:t>1.4.2.2 第二轮磋商。对第一轮磋商结果不满意，磋商小组可以再次要求参加磋商的供应商进行第二轮磋商，磋商内容及要求与第一轮磋商相同。</w:t>
      </w:r>
    </w:p>
    <w:p w14:paraId="30B4A110">
      <w:pPr>
        <w:spacing w:line="360" w:lineRule="auto"/>
        <w:ind w:firstLine="821" w:firstLineChars="391"/>
        <w:rPr>
          <w:rFonts w:ascii="宋体" w:hAnsi="宋体"/>
          <w:color w:val="auto"/>
          <w:szCs w:val="21"/>
        </w:rPr>
      </w:pPr>
      <w:r>
        <w:rPr>
          <w:rFonts w:hint="eastAsia" w:ascii="宋体" w:hAnsi="宋体"/>
          <w:color w:val="auto"/>
          <w:szCs w:val="21"/>
        </w:rPr>
        <w:t>1.4.2.3 每轮磋商结束后，磋商小组对磋商情况进行讨论，综合考虑供应商提供的服务水平和性价比，有权对服务水平最差供应商或性价比最低点供应商进行淘汰，并将淘汰理由写入评审报告。</w:t>
      </w:r>
    </w:p>
    <w:p w14:paraId="5964B030">
      <w:pPr>
        <w:spacing w:line="360" w:lineRule="auto"/>
        <w:ind w:firstLine="824" w:firstLineChars="391"/>
        <w:rPr>
          <w:color w:val="auto"/>
        </w:rPr>
      </w:pPr>
      <w:r>
        <w:rPr>
          <w:rFonts w:hint="eastAsia" w:ascii="宋体" w:hAnsi="宋体"/>
          <w:b/>
          <w:color w:val="auto"/>
          <w:szCs w:val="21"/>
        </w:rPr>
        <w:t>后一轮磋商报价高于前一轮磋商报价的供应商，视为其自动退出磋商，有磋商保证金的予以退还。</w:t>
      </w:r>
    </w:p>
    <w:p w14:paraId="35FCBE04">
      <w:pPr>
        <w:spacing w:line="360" w:lineRule="auto"/>
        <w:ind w:firstLine="840" w:firstLineChars="400"/>
        <w:rPr>
          <w:rFonts w:ascii="宋体" w:hAnsi="宋体"/>
          <w:color w:val="auto"/>
          <w:szCs w:val="21"/>
        </w:rPr>
      </w:pPr>
      <w:r>
        <w:rPr>
          <w:rFonts w:hint="eastAsia" w:ascii="宋体" w:hAnsi="宋体"/>
          <w:color w:val="auto"/>
          <w:szCs w:val="21"/>
        </w:rPr>
        <w:t>1.4.2.4 磋商小组应在最后一轮磋商前告知所有符合磋商要求的供应商是否是最后一次磋商。</w:t>
      </w:r>
    </w:p>
    <w:p w14:paraId="467C6064">
      <w:pPr>
        <w:spacing w:line="360" w:lineRule="auto"/>
        <w:ind w:firstLine="840" w:firstLineChars="400"/>
        <w:rPr>
          <w:rFonts w:ascii="宋体" w:hAnsi="宋体"/>
          <w:color w:val="auto"/>
          <w:szCs w:val="21"/>
        </w:rPr>
      </w:pPr>
      <w:r>
        <w:rPr>
          <w:rFonts w:hint="eastAsia" w:ascii="宋体" w:hAnsi="宋体"/>
          <w:color w:val="auto"/>
          <w:szCs w:val="21"/>
        </w:rPr>
        <w:t>1.4.2.5 最后一轮磋商结束后，磋商小组将对进入最后一轮的供应商的响应文件进行详细评审。</w:t>
      </w:r>
    </w:p>
    <w:p w14:paraId="6A1051D4">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1.5 最后报价</w:t>
      </w:r>
    </w:p>
    <w:p w14:paraId="27B2A7DA">
      <w:pPr>
        <w:widowControl/>
        <w:spacing w:line="360" w:lineRule="auto"/>
        <w:ind w:firstLine="420" w:firstLineChars="200"/>
        <w:rPr>
          <w:rFonts w:ascii="宋体" w:hAnsi="宋体" w:cs="宋体"/>
          <w:snapToGrid w:val="0"/>
          <w:color w:val="auto"/>
          <w:kern w:val="0"/>
          <w:szCs w:val="21"/>
        </w:rPr>
      </w:pPr>
      <w:r>
        <w:rPr>
          <w:rFonts w:hint="eastAsia" w:ascii="宋体" w:hAnsi="宋体"/>
          <w:color w:val="auto"/>
          <w:szCs w:val="21"/>
        </w:rPr>
        <w:t>1.5.1 供应商应当以书面形式提交最后报价（最后报价将作为综合评分法中价格分的计算依据），并由其法定代表人或者委托代理人签字或者加盖单位章。</w:t>
      </w:r>
      <w:r>
        <w:rPr>
          <w:rFonts w:hint="eastAsia" w:ascii="宋体" w:hAnsi="宋体" w:cs="宋体"/>
          <w:snapToGrid w:val="0"/>
          <w:color w:val="auto"/>
          <w:kern w:val="0"/>
          <w:szCs w:val="21"/>
        </w:rPr>
        <w:t>由委托代理人签字的，应具有法定代表人授权书。供应商为自然人的，应当由本人签字并附身份证明。</w:t>
      </w:r>
    </w:p>
    <w:p w14:paraId="3F8D9CED">
      <w:pPr>
        <w:spacing w:line="360" w:lineRule="auto"/>
        <w:ind w:firstLine="420" w:firstLineChars="200"/>
        <w:rPr>
          <w:rFonts w:ascii="宋体" w:hAnsi="宋体"/>
          <w:color w:val="auto"/>
          <w:szCs w:val="21"/>
        </w:rPr>
      </w:pPr>
      <w:r>
        <w:rPr>
          <w:rFonts w:hint="eastAsia" w:ascii="宋体" w:hAnsi="宋体"/>
          <w:color w:val="auto"/>
          <w:szCs w:val="21"/>
        </w:rPr>
        <w:t>1.5.2 最后报价是供应商响应文件的有效组成部分。</w:t>
      </w:r>
    </w:p>
    <w:p w14:paraId="728AF508">
      <w:pPr>
        <w:spacing w:line="360" w:lineRule="auto"/>
        <w:ind w:firstLine="420" w:firstLineChars="200"/>
        <w:rPr>
          <w:rFonts w:ascii="宋体" w:hAnsi="宋体"/>
          <w:color w:val="auto"/>
          <w:szCs w:val="21"/>
        </w:rPr>
      </w:pPr>
      <w:r>
        <w:rPr>
          <w:rFonts w:hint="eastAsia" w:ascii="宋体" w:hAnsi="宋体"/>
          <w:color w:val="auto"/>
          <w:szCs w:val="21"/>
        </w:rPr>
        <w:t>1.5.3 最后报价仅向采购人及监督人员宣布，并由监督人员确认。</w:t>
      </w:r>
    </w:p>
    <w:p w14:paraId="42E98FB7">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1.6 响应文件详细评审</w:t>
      </w:r>
    </w:p>
    <w:p w14:paraId="48ED6AE2">
      <w:pPr>
        <w:spacing w:line="360" w:lineRule="auto"/>
        <w:ind w:firstLine="420" w:firstLineChars="200"/>
        <w:rPr>
          <w:color w:val="auto"/>
          <w:szCs w:val="21"/>
        </w:rPr>
      </w:pPr>
      <w:r>
        <w:rPr>
          <w:rFonts w:hint="eastAsia"/>
          <w:color w:val="auto"/>
          <w:szCs w:val="21"/>
        </w:rPr>
        <w:t>经磋商确定最终采购需求和提交最后报价的供应商后，由磋商小组采用</w:t>
      </w:r>
      <w:r>
        <w:rPr>
          <w:rFonts w:hint="eastAsia"/>
          <w:b/>
          <w:color w:val="auto"/>
          <w:szCs w:val="21"/>
        </w:rPr>
        <w:t>综合评分法</w:t>
      </w:r>
      <w:r>
        <w:rPr>
          <w:rFonts w:hint="eastAsia"/>
          <w:color w:val="auto"/>
          <w:szCs w:val="21"/>
        </w:rPr>
        <w:t>对提交最后报价的供应商的响应文件和最后报价进行综合评分。</w:t>
      </w:r>
    </w:p>
    <w:p w14:paraId="2A093A7E">
      <w:pPr>
        <w:spacing w:before="120" w:beforeLines="50" w:line="360" w:lineRule="auto"/>
        <w:rPr>
          <w:rFonts w:ascii="宋体" w:hAnsi="宋体"/>
          <w:b/>
          <w:color w:val="auto"/>
          <w:sz w:val="30"/>
          <w:szCs w:val="30"/>
        </w:rPr>
      </w:pPr>
      <w:r>
        <w:rPr>
          <w:rFonts w:hint="eastAsia" w:ascii="宋体" w:hAnsi="宋体"/>
          <w:b/>
          <w:color w:val="auto"/>
          <w:sz w:val="30"/>
          <w:szCs w:val="30"/>
        </w:rPr>
        <w:t>1.7 复核与核对评审结果</w:t>
      </w:r>
    </w:p>
    <w:p w14:paraId="2CFF879A">
      <w:pPr>
        <w:spacing w:before="120" w:beforeLines="50" w:line="360" w:lineRule="auto"/>
        <w:ind w:firstLine="420" w:firstLineChars="200"/>
        <w:rPr>
          <w:rFonts w:ascii="宋体" w:hAnsi="宋体"/>
          <w:color w:val="auto"/>
          <w:szCs w:val="21"/>
        </w:rPr>
      </w:pPr>
      <w:r>
        <w:rPr>
          <w:rFonts w:hint="eastAsia" w:ascii="宋体" w:hAnsi="宋体"/>
          <w:color w:val="auto"/>
          <w:szCs w:val="21"/>
        </w:rPr>
        <w:t>1.7.1 评分汇总结束后，磋商小组应当进行复核，特别要对拟推荐成交候选人的、最后报价最低的、响应文件被认定无效的进行重点复核。</w:t>
      </w:r>
    </w:p>
    <w:p w14:paraId="6D38687B">
      <w:pPr>
        <w:pStyle w:val="28"/>
        <w:spacing w:line="360" w:lineRule="auto"/>
        <w:ind w:firstLine="420" w:firstLineChars="200"/>
        <w:rPr>
          <w:rFonts w:ascii="宋体" w:hAnsi="宋体"/>
          <w:color w:val="auto"/>
        </w:rPr>
      </w:pPr>
      <w:r>
        <w:rPr>
          <w:rFonts w:hint="eastAsia" w:ascii="宋体" w:hAnsi="宋体"/>
          <w:color w:val="auto"/>
        </w:rPr>
        <w:t>1.7.2 评审结果汇总完成后，</w:t>
      </w:r>
      <w:r>
        <w:rPr>
          <w:rFonts w:ascii="宋体" w:hAnsi="宋体"/>
          <w:color w:val="auto"/>
        </w:rPr>
        <w:t>评</w:t>
      </w:r>
      <w:r>
        <w:rPr>
          <w:rFonts w:hint="eastAsia" w:ascii="宋体" w:hAnsi="宋体"/>
          <w:color w:val="auto"/>
        </w:rPr>
        <w:t>审</w:t>
      </w:r>
      <w:r>
        <w:rPr>
          <w:rFonts w:ascii="宋体" w:hAnsi="宋体"/>
          <w:color w:val="auto"/>
        </w:rPr>
        <w:t>报告签署前，</w:t>
      </w:r>
      <w:r>
        <w:rPr>
          <w:rFonts w:hint="eastAsia" w:ascii="宋体" w:hAnsi="宋体"/>
          <w:color w:val="auto"/>
        </w:rPr>
        <w:t>采购代理机构应当</w:t>
      </w:r>
      <w:r>
        <w:rPr>
          <w:rFonts w:ascii="宋体" w:hAnsi="宋体"/>
          <w:bCs/>
          <w:color w:val="auto"/>
        </w:rPr>
        <w:t>核对评</w:t>
      </w:r>
      <w:r>
        <w:rPr>
          <w:rFonts w:hint="eastAsia" w:ascii="宋体" w:hAnsi="宋体"/>
          <w:bCs/>
          <w:color w:val="auto"/>
        </w:rPr>
        <w:t>审</w:t>
      </w:r>
      <w:r>
        <w:rPr>
          <w:rFonts w:ascii="宋体" w:hAnsi="宋体"/>
          <w:bCs/>
          <w:color w:val="auto"/>
        </w:rPr>
        <w:t>结果，</w:t>
      </w:r>
      <w:r>
        <w:rPr>
          <w:rFonts w:ascii="宋体" w:hAnsi="宋体"/>
          <w:color w:val="auto"/>
        </w:rPr>
        <w:t>除下列情形外，任何人不得修改评</w:t>
      </w:r>
      <w:r>
        <w:rPr>
          <w:rFonts w:hint="eastAsia" w:ascii="宋体" w:hAnsi="宋体"/>
          <w:color w:val="auto"/>
        </w:rPr>
        <w:t>审</w:t>
      </w:r>
      <w:r>
        <w:rPr>
          <w:rFonts w:ascii="宋体" w:hAnsi="宋体"/>
          <w:color w:val="auto"/>
        </w:rPr>
        <w:t>结果：</w:t>
      </w:r>
    </w:p>
    <w:p w14:paraId="0E5A24B2">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1</w:t>
      </w:r>
      <w:r>
        <w:rPr>
          <w:rFonts w:ascii="宋体" w:hAnsi="宋体"/>
          <w:color w:val="auto"/>
          <w:szCs w:val="21"/>
        </w:rPr>
        <w:t>）</w:t>
      </w:r>
      <w:r>
        <w:rPr>
          <w:rFonts w:hint="eastAsia" w:ascii="宋体" w:hAnsi="宋体"/>
          <w:color w:val="auto"/>
          <w:szCs w:val="21"/>
        </w:rPr>
        <w:t>资格性认定错误的；</w:t>
      </w:r>
    </w:p>
    <w:p w14:paraId="73CC67BD">
      <w:pPr>
        <w:spacing w:line="360" w:lineRule="auto"/>
        <w:ind w:firstLine="420" w:firstLineChars="200"/>
        <w:rPr>
          <w:rFonts w:ascii="宋体" w:hAnsi="宋体"/>
          <w:color w:val="auto"/>
          <w:szCs w:val="21"/>
        </w:rPr>
      </w:pPr>
      <w:r>
        <w:rPr>
          <w:rFonts w:hint="eastAsia" w:ascii="宋体" w:hAnsi="宋体"/>
          <w:color w:val="auto"/>
          <w:szCs w:val="21"/>
        </w:rPr>
        <w:t>（2）</w:t>
      </w:r>
      <w:r>
        <w:rPr>
          <w:rFonts w:ascii="宋体" w:hAnsi="宋体"/>
          <w:color w:val="auto"/>
          <w:szCs w:val="21"/>
        </w:rPr>
        <w:t>分值汇总计算错误的；</w:t>
      </w:r>
    </w:p>
    <w:p w14:paraId="193B441A">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3</w:t>
      </w:r>
      <w:r>
        <w:rPr>
          <w:rFonts w:ascii="宋体" w:hAnsi="宋体"/>
          <w:color w:val="auto"/>
          <w:szCs w:val="21"/>
        </w:rPr>
        <w:t>）分项评分超出评分标准范围的；</w:t>
      </w:r>
    </w:p>
    <w:p w14:paraId="6C729506">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4</w:t>
      </w:r>
      <w:r>
        <w:rPr>
          <w:rFonts w:ascii="宋体" w:hAnsi="宋体"/>
          <w:color w:val="auto"/>
          <w:szCs w:val="21"/>
        </w:rPr>
        <w:t>）</w:t>
      </w:r>
      <w:r>
        <w:rPr>
          <w:rFonts w:hint="eastAsia" w:ascii="宋体" w:hAnsi="宋体"/>
          <w:color w:val="auto"/>
          <w:szCs w:val="21"/>
        </w:rPr>
        <w:t>磋商小组</w:t>
      </w:r>
      <w:r>
        <w:rPr>
          <w:rFonts w:ascii="宋体" w:hAnsi="宋体"/>
          <w:color w:val="auto"/>
          <w:szCs w:val="21"/>
        </w:rPr>
        <w:t>对客观评审因素评分不一致的；</w:t>
      </w:r>
    </w:p>
    <w:p w14:paraId="04418AA7">
      <w:pPr>
        <w:spacing w:line="360" w:lineRule="auto"/>
        <w:ind w:firstLine="420" w:firstLineChars="200"/>
        <w:rPr>
          <w:rFonts w:ascii="宋体" w:hAnsi="宋体"/>
          <w:color w:val="auto"/>
          <w:szCs w:val="21"/>
        </w:rPr>
      </w:pPr>
      <w:r>
        <w:rPr>
          <w:rFonts w:ascii="宋体" w:hAnsi="宋体"/>
          <w:color w:val="auto"/>
          <w:szCs w:val="21"/>
        </w:rPr>
        <w:t>（</w:t>
      </w:r>
      <w:r>
        <w:rPr>
          <w:rFonts w:hint="eastAsia" w:ascii="宋体" w:hAnsi="宋体"/>
          <w:color w:val="auto"/>
          <w:szCs w:val="21"/>
        </w:rPr>
        <w:t>5</w:t>
      </w:r>
      <w:r>
        <w:rPr>
          <w:rFonts w:ascii="宋体" w:hAnsi="宋体"/>
          <w:color w:val="auto"/>
          <w:szCs w:val="21"/>
        </w:rPr>
        <w:t>）经</w:t>
      </w:r>
      <w:r>
        <w:rPr>
          <w:rFonts w:hint="eastAsia" w:ascii="宋体" w:hAnsi="宋体"/>
          <w:color w:val="auto"/>
          <w:szCs w:val="21"/>
        </w:rPr>
        <w:t>磋商小组一致</w:t>
      </w:r>
      <w:r>
        <w:rPr>
          <w:rFonts w:ascii="宋体" w:hAnsi="宋体"/>
          <w:color w:val="auto"/>
          <w:szCs w:val="21"/>
        </w:rPr>
        <w:t>认定评分畸高、畸低的。</w:t>
      </w:r>
    </w:p>
    <w:p w14:paraId="5B9D889C">
      <w:pPr>
        <w:spacing w:line="360" w:lineRule="auto"/>
        <w:ind w:firstLine="420" w:firstLineChars="200"/>
        <w:rPr>
          <w:rFonts w:ascii="宋体" w:hAnsi="宋体"/>
          <w:color w:val="auto"/>
          <w:szCs w:val="21"/>
        </w:rPr>
      </w:pPr>
      <w:r>
        <w:rPr>
          <w:rFonts w:ascii="宋体" w:hAnsi="宋体"/>
          <w:color w:val="auto"/>
          <w:szCs w:val="21"/>
        </w:rPr>
        <w:t>经复核发现存在以上情形之一的，</w:t>
      </w:r>
      <w:r>
        <w:rPr>
          <w:rFonts w:hint="eastAsia" w:ascii="宋体" w:hAnsi="宋体"/>
          <w:color w:val="auto"/>
          <w:szCs w:val="21"/>
        </w:rPr>
        <w:t>磋商小组</w:t>
      </w:r>
      <w:r>
        <w:rPr>
          <w:rFonts w:ascii="宋体" w:hAnsi="宋体"/>
          <w:color w:val="auto"/>
          <w:szCs w:val="21"/>
        </w:rPr>
        <w:t>应当当场修改评</w:t>
      </w:r>
      <w:r>
        <w:rPr>
          <w:rFonts w:hint="eastAsia" w:ascii="宋体" w:hAnsi="宋体"/>
          <w:color w:val="auto"/>
          <w:szCs w:val="21"/>
        </w:rPr>
        <w:t>审</w:t>
      </w:r>
      <w:r>
        <w:rPr>
          <w:rFonts w:ascii="宋体" w:hAnsi="宋体"/>
          <w:color w:val="auto"/>
          <w:szCs w:val="21"/>
        </w:rPr>
        <w:t>结果，并在评</w:t>
      </w:r>
      <w:r>
        <w:rPr>
          <w:rFonts w:hint="eastAsia" w:ascii="宋体" w:hAnsi="宋体"/>
          <w:color w:val="auto"/>
          <w:szCs w:val="21"/>
        </w:rPr>
        <w:t>审</w:t>
      </w:r>
      <w:r>
        <w:rPr>
          <w:rFonts w:ascii="宋体" w:hAnsi="宋体"/>
          <w:color w:val="auto"/>
          <w:szCs w:val="21"/>
        </w:rPr>
        <w:t>报告中记载</w:t>
      </w:r>
      <w:r>
        <w:rPr>
          <w:rFonts w:hint="eastAsia" w:ascii="宋体" w:hAnsi="宋体"/>
          <w:color w:val="auto"/>
          <w:szCs w:val="21"/>
        </w:rPr>
        <w:t>。</w:t>
      </w:r>
    </w:p>
    <w:p w14:paraId="06240550">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1.8 确定成交候选人名单</w:t>
      </w:r>
    </w:p>
    <w:p w14:paraId="4F1293D8">
      <w:pPr>
        <w:spacing w:before="120" w:beforeLines="50" w:line="360" w:lineRule="auto"/>
        <w:ind w:firstLine="420" w:firstLineChars="200"/>
        <w:rPr>
          <w:rFonts w:ascii="宋体" w:hAnsi="宋体"/>
          <w:color w:val="auto"/>
          <w:szCs w:val="21"/>
        </w:rPr>
      </w:pPr>
      <w:r>
        <w:rPr>
          <w:rFonts w:hint="eastAsia" w:ascii="宋体" w:hAnsi="宋体"/>
          <w:color w:val="auto"/>
          <w:szCs w:val="21"/>
        </w:rPr>
        <w:t>确定成交候选人程序祥见第二章第8.1、8.2条款。</w:t>
      </w:r>
    </w:p>
    <w:p w14:paraId="432990E5">
      <w:pPr>
        <w:spacing w:before="120" w:beforeLines="50" w:after="120" w:afterLines="50" w:line="360" w:lineRule="auto"/>
        <w:rPr>
          <w:rFonts w:ascii="宋体" w:hAnsi="宋体"/>
          <w:b/>
          <w:color w:val="auto"/>
          <w:sz w:val="30"/>
          <w:szCs w:val="30"/>
        </w:rPr>
      </w:pPr>
      <w:r>
        <w:rPr>
          <w:rFonts w:hint="eastAsia" w:ascii="宋体" w:hAnsi="宋体"/>
          <w:b/>
          <w:color w:val="auto"/>
          <w:sz w:val="30"/>
          <w:szCs w:val="30"/>
        </w:rPr>
        <w:t>1.9 编写评审报告</w:t>
      </w:r>
    </w:p>
    <w:p w14:paraId="012F5611">
      <w:pPr>
        <w:spacing w:line="360" w:lineRule="auto"/>
        <w:ind w:firstLine="482"/>
        <w:rPr>
          <w:rFonts w:ascii="宋体" w:hAnsi="宋体"/>
          <w:color w:val="auto"/>
          <w:szCs w:val="21"/>
        </w:rPr>
      </w:pPr>
      <w:r>
        <w:rPr>
          <w:rFonts w:hint="eastAsia" w:ascii="宋体" w:hAnsi="宋体"/>
          <w:color w:val="auto"/>
          <w:szCs w:val="21"/>
        </w:rPr>
        <w:t>1.9.1 磋商小组在确定成交候选人名单后，应当编写评审报告并向采购人出具。评审报告应当包括以下主要内容：</w:t>
      </w:r>
    </w:p>
    <w:p w14:paraId="38045E5E">
      <w:pPr>
        <w:spacing w:line="360" w:lineRule="auto"/>
        <w:ind w:firstLine="482"/>
        <w:rPr>
          <w:rFonts w:ascii="宋体" w:hAnsi="宋体" w:cs="宋体"/>
          <w:snapToGrid w:val="0"/>
          <w:color w:val="auto"/>
          <w:kern w:val="0"/>
          <w:szCs w:val="21"/>
        </w:rPr>
      </w:pPr>
      <w:r>
        <w:rPr>
          <w:rFonts w:hint="eastAsia" w:ascii="宋体" w:hAnsi="宋体" w:cs="宋体"/>
          <w:color w:val="auto"/>
          <w:kern w:val="0"/>
          <w:szCs w:val="21"/>
        </w:rPr>
        <w:t>（1）</w:t>
      </w:r>
      <w:r>
        <w:rPr>
          <w:rFonts w:hint="eastAsia" w:ascii="宋体" w:hAnsi="宋体" w:cs="宋体"/>
          <w:snapToGrid w:val="0"/>
          <w:color w:val="auto"/>
          <w:kern w:val="0"/>
          <w:szCs w:val="21"/>
        </w:rPr>
        <w:t>邀请供应商参加采购活动的具体方式和相关情况；</w:t>
      </w:r>
    </w:p>
    <w:p w14:paraId="475352C0">
      <w:pPr>
        <w:spacing w:line="360" w:lineRule="auto"/>
        <w:ind w:firstLine="482"/>
        <w:rPr>
          <w:rFonts w:ascii="宋体" w:hAnsi="宋体" w:cs="宋体"/>
          <w:snapToGrid w:val="0"/>
          <w:color w:val="auto"/>
          <w:kern w:val="0"/>
          <w:szCs w:val="21"/>
        </w:rPr>
      </w:pPr>
      <w:r>
        <w:rPr>
          <w:rFonts w:hint="eastAsia" w:ascii="宋体" w:hAnsi="宋体" w:cs="宋体"/>
          <w:snapToGrid w:val="0"/>
          <w:color w:val="auto"/>
          <w:kern w:val="0"/>
          <w:szCs w:val="21"/>
        </w:rPr>
        <w:t>（2）响应文件开启日期和地点；</w:t>
      </w:r>
    </w:p>
    <w:p w14:paraId="5845A403">
      <w:pPr>
        <w:spacing w:line="360" w:lineRule="auto"/>
        <w:ind w:firstLine="482"/>
        <w:rPr>
          <w:rFonts w:ascii="宋体" w:hAnsi="宋体" w:cs="宋体"/>
          <w:snapToGrid w:val="0"/>
          <w:color w:val="auto"/>
          <w:kern w:val="0"/>
          <w:szCs w:val="21"/>
        </w:rPr>
      </w:pPr>
      <w:r>
        <w:rPr>
          <w:rFonts w:hint="eastAsia" w:ascii="宋体" w:hAnsi="宋体" w:cs="宋体"/>
          <w:snapToGrid w:val="0"/>
          <w:color w:val="auto"/>
          <w:kern w:val="0"/>
          <w:szCs w:val="21"/>
        </w:rPr>
        <w:t>（3）获取磋商文件的供应商名单和磋商小组成员名单；</w:t>
      </w:r>
    </w:p>
    <w:p w14:paraId="0F9FD63B">
      <w:pPr>
        <w:spacing w:line="360" w:lineRule="auto"/>
        <w:ind w:firstLine="482"/>
        <w:rPr>
          <w:rFonts w:ascii="宋体" w:hAnsi="宋体" w:cs="宋体"/>
          <w:snapToGrid w:val="0"/>
          <w:color w:val="auto"/>
          <w:kern w:val="0"/>
          <w:szCs w:val="21"/>
        </w:rPr>
      </w:pPr>
      <w:r>
        <w:rPr>
          <w:rFonts w:hint="eastAsia" w:ascii="宋体" w:hAnsi="宋体" w:cs="宋体"/>
          <w:snapToGrid w:val="0"/>
          <w:color w:val="auto"/>
          <w:kern w:val="0"/>
          <w:szCs w:val="21"/>
        </w:rPr>
        <w:t>（4）评审情况记录和说明，包括对供应商的资格审查情况、供应商响应文件评审情况、磋商情况（含磋商文件实质性变动情况）、报价情况等；</w:t>
      </w:r>
    </w:p>
    <w:p w14:paraId="4068BE55">
      <w:pPr>
        <w:spacing w:line="360" w:lineRule="auto"/>
        <w:ind w:firstLine="482"/>
        <w:rPr>
          <w:rFonts w:ascii="宋体" w:hAnsi="宋体" w:cs="宋体"/>
          <w:snapToGrid w:val="0"/>
          <w:color w:val="auto"/>
          <w:kern w:val="0"/>
          <w:szCs w:val="21"/>
        </w:rPr>
      </w:pPr>
      <w:r>
        <w:rPr>
          <w:rFonts w:hint="eastAsia" w:ascii="宋体" w:hAnsi="宋体" w:cs="宋体"/>
          <w:snapToGrid w:val="0"/>
          <w:color w:val="auto"/>
          <w:kern w:val="0"/>
          <w:szCs w:val="21"/>
        </w:rPr>
        <w:t>（5）提出的成交候选人的排序名单及理由。</w:t>
      </w:r>
    </w:p>
    <w:p w14:paraId="1C7F8C66">
      <w:pPr>
        <w:spacing w:line="360" w:lineRule="auto"/>
        <w:ind w:firstLine="482"/>
        <w:rPr>
          <w:rFonts w:ascii="宋体" w:hAnsi="宋体" w:cs="宋体"/>
          <w:color w:val="auto"/>
          <w:kern w:val="0"/>
          <w:szCs w:val="21"/>
        </w:rPr>
      </w:pPr>
      <w:r>
        <w:rPr>
          <w:rFonts w:hint="eastAsia" w:ascii="宋体" w:hAnsi="宋体" w:cs="宋体"/>
          <w:color w:val="auto"/>
          <w:kern w:val="0"/>
          <w:szCs w:val="21"/>
        </w:rPr>
        <w:t>（6）其他需要说明的情况，包括评审过程中供应商根据磋商小组要求进行的澄清、说明或者更正，磋商小组成员的更换等，报价最高的供应商为第一中标候选人的，对其报价合理性予以特别书面。</w:t>
      </w:r>
    </w:p>
    <w:p w14:paraId="53FAFC05">
      <w:pPr>
        <w:widowControl/>
        <w:spacing w:line="360" w:lineRule="auto"/>
        <w:ind w:firstLine="420" w:firstLineChars="200"/>
        <w:rPr>
          <w:rFonts w:ascii="宋体" w:hAnsi="宋体" w:cs="宋体"/>
          <w:snapToGrid w:val="0"/>
          <w:color w:val="auto"/>
          <w:kern w:val="0"/>
          <w:szCs w:val="21"/>
        </w:rPr>
      </w:pPr>
      <w:r>
        <w:rPr>
          <w:rFonts w:hint="eastAsia" w:ascii="宋体" w:hAnsi="宋体" w:cs="宋体"/>
          <w:color w:val="auto"/>
          <w:kern w:val="0"/>
          <w:szCs w:val="21"/>
        </w:rPr>
        <w:t xml:space="preserve">1.9.2 </w:t>
      </w:r>
      <w:r>
        <w:rPr>
          <w:rFonts w:hint="eastAsia" w:ascii="宋体" w:hAnsi="宋体" w:cs="宋体"/>
          <w:snapToGrid w:val="0"/>
          <w:color w:val="auto"/>
          <w:kern w:val="0"/>
          <w:szCs w:val="21"/>
        </w:rPr>
        <w:t>评审报告应当由磋商小组全体人员签字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48F2677">
      <w:pPr>
        <w:outlineLvl w:val="9"/>
        <w:rPr>
          <w:rFonts w:ascii="黑体" w:hAnsi="宋体"/>
          <w:b w:val="0"/>
          <w:bCs/>
          <w:color w:val="auto"/>
          <w:sz w:val="36"/>
          <w:szCs w:val="36"/>
        </w:rPr>
      </w:pPr>
      <w:bookmarkStart w:id="93" w:name="_Toc29547"/>
      <w:r>
        <w:rPr>
          <w:rFonts w:hint="eastAsia" w:ascii="黑体" w:hAnsi="宋体"/>
          <w:b w:val="0"/>
          <w:bCs/>
          <w:color w:val="auto"/>
          <w:sz w:val="36"/>
          <w:szCs w:val="36"/>
        </w:rPr>
        <w:t>2.评审方法</w:t>
      </w:r>
      <w:bookmarkEnd w:id="93"/>
    </w:p>
    <w:p w14:paraId="315FFD14">
      <w:pPr>
        <w:pStyle w:val="8"/>
        <w:spacing w:before="120" w:beforeLines="50" w:after="120" w:afterLines="50" w:line="360" w:lineRule="auto"/>
        <w:ind w:firstLine="0"/>
        <w:rPr>
          <w:rFonts w:ascii="宋体" w:hAnsi="宋体"/>
          <w:b/>
          <w:color w:val="auto"/>
          <w:sz w:val="30"/>
          <w:szCs w:val="30"/>
        </w:rPr>
      </w:pPr>
      <w:r>
        <w:rPr>
          <w:rFonts w:hint="eastAsia" w:ascii="宋体" w:hAnsi="宋体"/>
          <w:b/>
          <w:color w:val="auto"/>
          <w:sz w:val="30"/>
          <w:szCs w:val="30"/>
        </w:rPr>
        <w:t>2.1 综合评分法</w:t>
      </w:r>
    </w:p>
    <w:p w14:paraId="37D55AEF">
      <w:pPr>
        <w:spacing w:line="360" w:lineRule="auto"/>
        <w:ind w:firstLine="411" w:firstLineChars="196"/>
        <w:rPr>
          <w:rFonts w:ascii="宋体" w:hAnsi="宋体"/>
          <w:snapToGrid w:val="0"/>
          <w:color w:val="auto"/>
          <w:kern w:val="0"/>
          <w:szCs w:val="21"/>
        </w:rPr>
      </w:pPr>
      <w:r>
        <w:rPr>
          <w:rFonts w:hint="eastAsia" w:ascii="宋体" w:hAnsi="宋体"/>
          <w:color w:val="auto"/>
          <w:szCs w:val="21"/>
        </w:rPr>
        <w:t>2.1.1 本采购项目评审方法采用综合评分法，</w:t>
      </w:r>
      <w:r>
        <w:rPr>
          <w:rFonts w:hint="eastAsia" w:ascii="宋体" w:hAnsi="宋体"/>
          <w:snapToGrid w:val="0"/>
          <w:color w:val="auto"/>
          <w:kern w:val="0"/>
          <w:szCs w:val="21"/>
        </w:rPr>
        <w:t>是指响应文件满足磋商文件全部实质性要求且按评审因素的量化指标评审得分最高的供应商为成交候选供应商的评审方法。</w:t>
      </w:r>
    </w:p>
    <w:p w14:paraId="14EDC2F6">
      <w:pPr>
        <w:pStyle w:val="8"/>
        <w:spacing w:line="360" w:lineRule="auto"/>
        <w:ind w:firstLineChars="200"/>
        <w:rPr>
          <w:rFonts w:ascii="宋体" w:hAnsi="宋体"/>
          <w:color w:val="auto"/>
          <w:szCs w:val="21"/>
        </w:rPr>
      </w:pPr>
      <w:r>
        <w:rPr>
          <w:rFonts w:hint="eastAsia" w:ascii="宋体" w:hAnsi="宋体"/>
          <w:color w:val="auto"/>
          <w:szCs w:val="21"/>
        </w:rPr>
        <w:t xml:space="preserve">2.1.2 </w:t>
      </w:r>
      <w:r>
        <w:rPr>
          <w:rFonts w:hint="eastAsia"/>
          <w:color w:val="auto"/>
          <w:szCs w:val="21"/>
        </w:rPr>
        <w:t>综合评分法评审标准中的分值设置应当与评审因素的量化指标相对应。磋商文件中没有规定的评审标准不得作为评审依据。</w:t>
      </w:r>
    </w:p>
    <w:p w14:paraId="4E63B986">
      <w:pPr>
        <w:widowControl/>
        <w:autoSpaceDE w:val="0"/>
        <w:autoSpaceDN w:val="0"/>
        <w:spacing w:before="120" w:beforeLines="50" w:after="120" w:afterLines="50" w:line="360" w:lineRule="auto"/>
        <w:ind w:right="51"/>
        <w:textAlignment w:val="bottom"/>
        <w:rPr>
          <w:rFonts w:ascii="宋体" w:hAnsi="宋体"/>
          <w:b/>
          <w:color w:val="auto"/>
          <w:sz w:val="30"/>
          <w:szCs w:val="30"/>
        </w:rPr>
      </w:pPr>
      <w:r>
        <w:rPr>
          <w:rFonts w:hint="eastAsia" w:ascii="宋体" w:hAnsi="宋体"/>
          <w:b/>
          <w:color w:val="auto"/>
          <w:sz w:val="30"/>
          <w:szCs w:val="30"/>
        </w:rPr>
        <w:t xml:space="preserve">2.2 </w:t>
      </w:r>
      <w:r>
        <w:rPr>
          <w:rFonts w:hint="eastAsia"/>
          <w:b/>
          <w:color w:val="auto"/>
          <w:sz w:val="30"/>
          <w:szCs w:val="30"/>
        </w:rPr>
        <w:t>评审细则及标准</w:t>
      </w:r>
    </w:p>
    <w:p w14:paraId="643E16DD">
      <w:pPr>
        <w:pStyle w:val="11"/>
        <w:adjustRightInd w:val="0"/>
        <w:snapToGrid w:val="0"/>
        <w:spacing w:line="360" w:lineRule="auto"/>
        <w:ind w:firstLine="420" w:firstLineChars="200"/>
        <w:rPr>
          <w:rFonts w:hAnsi="宋体"/>
          <w:bCs/>
          <w:color w:val="auto"/>
        </w:rPr>
      </w:pPr>
      <w:r>
        <w:rPr>
          <w:rFonts w:hint="eastAsia" w:hAnsi="宋体"/>
          <w:color w:val="auto"/>
        </w:rPr>
        <w:t xml:space="preserve">2.2.1 </w:t>
      </w:r>
      <w:r>
        <w:rPr>
          <w:rFonts w:hint="eastAsia" w:hAnsi="宋体"/>
          <w:bCs/>
          <w:color w:val="auto"/>
        </w:rPr>
        <w:t>磋商小组将综合分析供应商的各项评审因素，而不以单项评审因素的优劣评选出成交供应商。对所有供应商的响应评估，都采用相同的程序和标准，严格按照磋商文件的要求和条件进行。</w:t>
      </w:r>
    </w:p>
    <w:p w14:paraId="4D7EE4B9">
      <w:pPr>
        <w:tabs>
          <w:tab w:val="left" w:pos="0"/>
        </w:tabs>
        <w:adjustRightInd w:val="0"/>
        <w:snapToGrid w:val="0"/>
        <w:spacing w:line="360" w:lineRule="auto"/>
        <w:ind w:firstLine="420" w:firstLineChars="200"/>
        <w:rPr>
          <w:rFonts w:ascii="宋体" w:hAnsi="宋体"/>
          <w:color w:val="auto"/>
          <w:szCs w:val="21"/>
        </w:rPr>
      </w:pPr>
      <w:r>
        <w:rPr>
          <w:rFonts w:hint="eastAsia" w:ascii="宋体"/>
          <w:color w:val="auto"/>
          <w:szCs w:val="21"/>
        </w:rPr>
        <w:t>2.2.2</w:t>
      </w:r>
      <w:r>
        <w:rPr>
          <w:rFonts w:hint="eastAsia" w:ascii="宋体" w:hAnsi="宋体"/>
          <w:color w:val="auto"/>
          <w:szCs w:val="21"/>
        </w:rPr>
        <w:t>评审因素包括：</w:t>
      </w:r>
      <w:r>
        <w:rPr>
          <w:rFonts w:hint="eastAsia" w:ascii="宋体" w:hAnsi="宋体" w:cs="宋体"/>
          <w:color w:val="auto"/>
          <w:kern w:val="0"/>
          <w:szCs w:val="21"/>
        </w:rPr>
        <w:t>磋商报价、服务方案等</w:t>
      </w:r>
      <w:r>
        <w:rPr>
          <w:rFonts w:hint="eastAsia" w:ascii="宋体" w:hAnsi="宋体"/>
          <w:color w:val="auto"/>
          <w:szCs w:val="21"/>
        </w:rPr>
        <w:t>对磋商文件的响应程度，以及相应的比重或者权值等，但不包括“供应商须知”第3.1条</w:t>
      </w:r>
      <w:r>
        <w:rPr>
          <w:rFonts w:hint="eastAsia" w:ascii="宋体" w:hAnsi="宋体" w:cs="宋体"/>
          <w:color w:val="auto"/>
          <w:kern w:val="0"/>
          <w:szCs w:val="21"/>
          <w:lang w:val="zh-CN"/>
        </w:rPr>
        <w:t>款</w:t>
      </w:r>
      <w:r>
        <w:rPr>
          <w:rFonts w:hint="eastAsia" w:ascii="宋体" w:hAnsi="宋体"/>
          <w:color w:val="auto"/>
          <w:szCs w:val="21"/>
        </w:rPr>
        <w:t>规定的供应商资格条件。</w:t>
      </w:r>
    </w:p>
    <w:p w14:paraId="6FAFC045">
      <w:pPr>
        <w:pStyle w:val="11"/>
        <w:adjustRightInd w:val="0"/>
        <w:snapToGrid w:val="0"/>
        <w:spacing w:line="360" w:lineRule="auto"/>
        <w:ind w:left="810" w:leftChars="203" w:hanging="384" w:hangingChars="183"/>
        <w:rPr>
          <w:rFonts w:hAnsi="宋体"/>
          <w:bCs/>
          <w:color w:val="auto"/>
        </w:rPr>
      </w:pPr>
      <w:r>
        <w:rPr>
          <w:rFonts w:hint="eastAsia" w:hAnsi="宋体"/>
          <w:bCs/>
          <w:color w:val="auto"/>
        </w:rPr>
        <w:t>2.2.3 磋商小组按以下操作程序对供应商的响应文件进行综合评分：</w:t>
      </w:r>
    </w:p>
    <w:p w14:paraId="244F76B9">
      <w:pPr>
        <w:pStyle w:val="12"/>
        <w:widowControl/>
        <w:tabs>
          <w:tab w:val="left" w:pos="1506"/>
        </w:tabs>
        <w:adjustRightInd w:val="0"/>
        <w:snapToGrid w:val="0"/>
        <w:spacing w:line="360" w:lineRule="auto"/>
        <w:ind w:firstLine="840" w:firstLineChars="400"/>
        <w:rPr>
          <w:rFonts w:ascii="宋体" w:hAnsi="宋体"/>
          <w:bCs/>
          <w:color w:val="auto"/>
          <w:sz w:val="21"/>
          <w:szCs w:val="21"/>
        </w:rPr>
      </w:pPr>
      <w:r>
        <w:rPr>
          <w:rFonts w:hint="eastAsia" w:ascii="宋体" w:hAnsi="宋体"/>
          <w:bCs/>
          <w:color w:val="auto"/>
          <w:sz w:val="21"/>
          <w:szCs w:val="21"/>
        </w:rPr>
        <w:t>2.2.3.1 根据磋商文件和磋商原则，按《综合评分明细表》所列评分因素和各评分因素的权重进行评审。</w:t>
      </w:r>
    </w:p>
    <w:p w14:paraId="78DD720E">
      <w:pPr>
        <w:spacing w:line="360" w:lineRule="auto"/>
        <w:ind w:firstLine="735" w:firstLineChars="350"/>
        <w:rPr>
          <w:rFonts w:ascii="宋体" w:hAnsi="宋体"/>
          <w:color w:val="auto"/>
          <w:szCs w:val="21"/>
        </w:rPr>
      </w:pPr>
      <w:r>
        <w:rPr>
          <w:rFonts w:hint="eastAsia" w:ascii="宋体" w:hAnsi="宋体"/>
          <w:color w:val="auto"/>
          <w:szCs w:val="21"/>
        </w:rPr>
        <w:t>2.2.3.2 供应商的价格分，按照财政部财库[2014</w:t>
      </w:r>
      <w:r>
        <w:rPr>
          <w:rFonts w:ascii="宋体" w:hAnsi="宋体"/>
          <w:color w:val="auto"/>
          <w:szCs w:val="21"/>
        </w:rPr>
        <w:t>]</w:t>
      </w:r>
      <w:r>
        <w:rPr>
          <w:rFonts w:hint="eastAsia" w:ascii="宋体" w:hAnsi="宋体"/>
          <w:color w:val="auto"/>
          <w:szCs w:val="21"/>
        </w:rPr>
        <w:t>214号文件第二十四条和财库[2020]46号文件的规定，采用低价优先法计算，以本次满足磋商文件要求的</w:t>
      </w:r>
      <w:r>
        <w:rPr>
          <w:rFonts w:hint="eastAsia" w:ascii="宋体" w:hAnsi="宋体"/>
          <w:b/>
          <w:color w:val="auto"/>
          <w:szCs w:val="21"/>
        </w:rPr>
        <w:t>最低磋商评审价为磋商基准价</w:t>
      </w:r>
      <w:r>
        <w:rPr>
          <w:rFonts w:hint="eastAsia" w:ascii="宋体" w:hAnsi="宋体"/>
          <w:color w:val="auto"/>
          <w:szCs w:val="21"/>
        </w:rPr>
        <w:t>，其价格为满分。</w:t>
      </w:r>
    </w:p>
    <w:p w14:paraId="5DA6CACD">
      <w:pPr>
        <w:spacing w:line="360" w:lineRule="auto"/>
        <w:ind w:firstLine="735" w:firstLineChars="350"/>
        <w:rPr>
          <w:color w:val="auto"/>
        </w:rPr>
      </w:pPr>
      <w:r>
        <w:rPr>
          <w:rFonts w:hint="eastAsia" w:ascii="宋体" w:hAnsi="宋体"/>
          <w:color w:val="auto"/>
          <w:szCs w:val="21"/>
        </w:rPr>
        <w:t>2.2.3.3供应商的价格分，统一按照下列公式</w:t>
      </w:r>
      <w:r>
        <w:rPr>
          <w:rFonts w:hint="eastAsia" w:ascii="宋体" w:hAnsi="宋体"/>
          <w:bCs/>
          <w:color w:val="auto"/>
          <w:szCs w:val="21"/>
        </w:rPr>
        <w:t>计算：</w:t>
      </w:r>
    </w:p>
    <w:p w14:paraId="07AA16FE">
      <w:pPr>
        <w:spacing w:line="360" w:lineRule="auto"/>
        <w:ind w:firstLine="1147" w:firstLineChars="544"/>
        <w:rPr>
          <w:rFonts w:ascii="宋体" w:hAnsi="宋体"/>
          <w:b/>
          <w:color w:val="auto"/>
          <w:szCs w:val="21"/>
        </w:rPr>
      </w:pPr>
      <w:r>
        <w:rPr>
          <w:rFonts w:hint="eastAsia" w:ascii="宋体" w:hAnsi="宋体"/>
          <w:b/>
          <w:color w:val="auto"/>
          <w:szCs w:val="21"/>
        </w:rPr>
        <w:t>磋商评审价=最后报价</w:t>
      </w:r>
    </w:p>
    <w:p w14:paraId="07A44026">
      <w:pPr>
        <w:spacing w:line="360" w:lineRule="auto"/>
        <w:ind w:firstLine="1147" w:firstLineChars="544"/>
        <w:rPr>
          <w:rFonts w:ascii="宋体" w:hAnsi="宋体"/>
          <w:b/>
          <w:color w:val="auto"/>
          <w:szCs w:val="21"/>
        </w:rPr>
      </w:pPr>
      <w:r>
        <w:rPr>
          <w:rFonts w:hint="eastAsia" w:ascii="宋体" w:hAnsi="宋体"/>
          <w:b/>
          <w:color w:val="auto"/>
          <w:szCs w:val="21"/>
        </w:rPr>
        <w:t>磋商报价得分=(磋商基准价／磋商评审价)×报价分值</w:t>
      </w:r>
    </w:p>
    <w:p w14:paraId="0B3EB3A1">
      <w:pPr>
        <w:pStyle w:val="12"/>
        <w:widowControl/>
        <w:tabs>
          <w:tab w:val="left" w:pos="1506"/>
        </w:tabs>
        <w:adjustRightInd w:val="0"/>
        <w:snapToGrid w:val="0"/>
        <w:spacing w:line="360" w:lineRule="auto"/>
        <w:ind w:firstLine="840" w:firstLineChars="400"/>
        <w:rPr>
          <w:rFonts w:ascii="宋体" w:hAnsi="宋体"/>
          <w:bCs/>
          <w:color w:val="auto"/>
          <w:sz w:val="21"/>
          <w:szCs w:val="21"/>
        </w:rPr>
      </w:pPr>
      <w:r>
        <w:rPr>
          <w:rFonts w:hint="eastAsia" w:ascii="宋体" w:hAnsi="宋体"/>
          <w:bCs/>
          <w:color w:val="auto"/>
          <w:sz w:val="21"/>
          <w:szCs w:val="21"/>
        </w:rPr>
        <w:t>2.2.3.4 由磋商小组成员独立地根据各项因素的评分标准，结合每个供应商的实际情况，分别就磋商报价以外的各项评审因素对每个供应商独立打分。</w:t>
      </w:r>
    </w:p>
    <w:p w14:paraId="7AC7FF70">
      <w:pPr>
        <w:pStyle w:val="12"/>
        <w:widowControl/>
        <w:tabs>
          <w:tab w:val="left" w:pos="1506"/>
        </w:tabs>
        <w:adjustRightInd w:val="0"/>
        <w:snapToGrid w:val="0"/>
        <w:spacing w:line="360" w:lineRule="auto"/>
        <w:ind w:firstLine="840" w:firstLineChars="400"/>
        <w:rPr>
          <w:rFonts w:ascii="宋体" w:hAnsi="宋体"/>
          <w:bCs/>
          <w:color w:val="auto"/>
          <w:sz w:val="21"/>
          <w:szCs w:val="21"/>
        </w:rPr>
      </w:pPr>
      <w:r>
        <w:rPr>
          <w:rFonts w:hint="eastAsia" w:ascii="宋体" w:hAnsi="宋体"/>
          <w:bCs/>
          <w:color w:val="auto"/>
          <w:sz w:val="21"/>
          <w:szCs w:val="21"/>
        </w:rPr>
        <w:t>2.2.3.5将所有评审因素所得实际评审分数相加，即为该供应商的评审总得分。评审总得分按下例公式计算：</w:t>
      </w:r>
    </w:p>
    <w:p w14:paraId="3421CFD7">
      <w:pPr>
        <w:spacing w:line="360" w:lineRule="auto"/>
        <w:ind w:firstLine="840" w:firstLineChars="400"/>
        <w:rPr>
          <w:rFonts w:ascii="宋体" w:hAnsi="宋体"/>
          <w:color w:val="auto"/>
          <w:szCs w:val="21"/>
        </w:rPr>
      </w:pPr>
      <w:r>
        <w:rPr>
          <w:rFonts w:hint="eastAsia" w:ascii="宋体" w:hAnsi="宋体"/>
          <w:color w:val="auto"/>
          <w:szCs w:val="21"/>
        </w:rPr>
        <w:t>评审总得分＝F1＋F2＋……＋Fn</w:t>
      </w:r>
    </w:p>
    <w:p w14:paraId="7FF4EC60">
      <w:pPr>
        <w:spacing w:line="360" w:lineRule="auto"/>
        <w:ind w:firstLine="840" w:firstLineChars="400"/>
        <w:rPr>
          <w:rFonts w:ascii="宋体" w:hAnsi="宋体"/>
          <w:color w:val="auto"/>
          <w:szCs w:val="21"/>
        </w:rPr>
      </w:pPr>
      <w:r>
        <w:rPr>
          <w:rFonts w:hint="eastAsia" w:ascii="宋体" w:hAnsi="宋体"/>
          <w:color w:val="auto"/>
          <w:szCs w:val="21"/>
        </w:rPr>
        <w:t>F1、F2……Fn分别为各项评审因素的汇总得分</w:t>
      </w:r>
    </w:p>
    <w:p w14:paraId="03C030CE">
      <w:pPr>
        <w:spacing w:line="360" w:lineRule="auto"/>
        <w:ind w:firstLine="840" w:firstLineChars="400"/>
        <w:rPr>
          <w:rFonts w:ascii="宋体" w:hAnsi="宋体"/>
          <w:color w:val="auto"/>
          <w:szCs w:val="21"/>
        </w:rPr>
      </w:pPr>
      <w:r>
        <w:rPr>
          <w:rFonts w:hint="eastAsia" w:ascii="宋体" w:hAnsi="宋体"/>
          <w:color w:val="auto"/>
          <w:szCs w:val="21"/>
        </w:rPr>
        <w:t>2.2.3.6评审过程中，不得去掉最后报价中的最高报价和最低报价。</w:t>
      </w:r>
    </w:p>
    <w:p w14:paraId="3C304D90">
      <w:pPr>
        <w:spacing w:line="360" w:lineRule="auto"/>
        <w:ind w:firstLine="840" w:firstLineChars="400"/>
        <w:rPr>
          <w:rFonts w:ascii="宋体" w:hAnsi="宋体"/>
          <w:color w:val="auto"/>
          <w:szCs w:val="21"/>
        </w:rPr>
      </w:pPr>
      <w:r>
        <w:rPr>
          <w:rFonts w:hint="eastAsia" w:ascii="宋体" w:hAnsi="宋体"/>
          <w:color w:val="auto"/>
          <w:szCs w:val="21"/>
        </w:rPr>
        <w:t>2.2.3.7评审时，磋商小组成员应当独立对满足磋商文件全部实质性要求供应商的响应文件进行评价、评分，然后汇总每个供应商每项评分因素的得分。每个供应商的最终得分为所有磋商小组成员评分的算术平均值。</w:t>
      </w:r>
    </w:p>
    <w:p w14:paraId="33CAA6C9">
      <w:pPr>
        <w:spacing w:line="360" w:lineRule="auto"/>
        <w:ind w:firstLine="413" w:firstLineChars="196"/>
        <w:rPr>
          <w:rFonts w:hint="eastAsia" w:ascii="宋体" w:hAnsi="宋体" w:eastAsia="宋体" w:cs="Times New Roman"/>
          <w:b/>
          <w:color w:val="auto"/>
          <w:szCs w:val="21"/>
        </w:rPr>
      </w:pPr>
      <w:r>
        <w:rPr>
          <w:rFonts w:hint="eastAsia" w:ascii="宋体" w:hAnsi="宋体"/>
          <w:b/>
          <w:color w:val="auto"/>
          <w:szCs w:val="21"/>
        </w:rPr>
        <w:t>2.2.4 供应商报价磋商报价折扣幅度如下</w:t>
      </w:r>
      <w:r>
        <w:rPr>
          <w:rFonts w:hint="eastAsia" w:ascii="宋体" w:hAnsi="宋体"/>
          <w:b/>
          <w:color w:val="auto"/>
          <w:szCs w:val="21"/>
          <w:lang w:eastAsia="zh-CN"/>
        </w:rPr>
        <w:t>（</w:t>
      </w:r>
      <w:r>
        <w:rPr>
          <w:rFonts w:hint="eastAsia" w:ascii="宋体" w:hAnsi="宋体"/>
          <w:b/>
          <w:color w:val="auto"/>
          <w:szCs w:val="21"/>
          <w:lang w:val="en-US" w:eastAsia="zh-CN"/>
        </w:rPr>
        <w:t>因本项目为专门面向中小企业，</w:t>
      </w:r>
      <w:r>
        <w:rPr>
          <w:rFonts w:hint="eastAsia" w:ascii="宋体" w:hAnsi="宋体" w:eastAsia="宋体" w:cs="Times New Roman"/>
          <w:b/>
          <w:color w:val="auto"/>
          <w:szCs w:val="21"/>
          <w:lang w:val="en-US" w:eastAsia="zh-CN"/>
        </w:rPr>
        <w:t>不再执行价格评审优惠的扶持政策</w:t>
      </w:r>
      <w:r>
        <w:rPr>
          <w:rFonts w:hint="eastAsia" w:ascii="宋体" w:hAnsi="宋体" w:eastAsia="宋体" w:cs="Times New Roman"/>
          <w:b/>
          <w:color w:val="auto"/>
          <w:szCs w:val="21"/>
          <w:lang w:eastAsia="zh-CN"/>
        </w:rPr>
        <w:t>）</w:t>
      </w:r>
      <w:r>
        <w:rPr>
          <w:rFonts w:hint="eastAsia" w:ascii="宋体" w:hAnsi="宋体" w:eastAsia="宋体" w:cs="Times New Roman"/>
          <w:b/>
          <w:color w:val="auto"/>
          <w:szCs w:val="21"/>
        </w:rPr>
        <w:t>：</w:t>
      </w:r>
    </w:p>
    <w:p w14:paraId="00045E50">
      <w:pPr>
        <w:spacing w:line="360" w:lineRule="auto"/>
        <w:ind w:firstLine="726" w:firstLineChars="346"/>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2.2.4.1供应商为小微企业的，给予最后报价扣除</w:t>
      </w:r>
      <w:r>
        <w:rPr>
          <w:rFonts w:hint="eastAsia" w:ascii="宋体" w:hAnsi="宋体"/>
          <w:color w:val="000000" w:themeColor="text1"/>
          <w:szCs w:val="21"/>
          <w:u w:val="single"/>
          <w14:textFill>
            <w14:solidFill>
              <w14:schemeClr w14:val="tx1"/>
            </w14:solidFill>
          </w14:textFill>
        </w:rPr>
        <w:t>10%</w:t>
      </w:r>
      <w:r>
        <w:rPr>
          <w:rFonts w:hint="eastAsia" w:ascii="宋体" w:hAnsi="宋体"/>
          <w:color w:val="000000" w:themeColor="text1"/>
          <w:szCs w:val="21"/>
          <w14:textFill>
            <w14:solidFill>
              <w14:schemeClr w14:val="tx1"/>
            </w14:solidFill>
          </w14:textFill>
        </w:rPr>
        <w:t>优惠政策，只要有大中型企业提供服务的，就不能享受价格扣除优惠政策。</w:t>
      </w:r>
    </w:p>
    <w:p w14:paraId="6E610BF2">
      <w:pPr>
        <w:spacing w:line="360" w:lineRule="auto"/>
        <w:ind w:firstLine="422" w:firstLineChars="200"/>
        <w:rPr>
          <w:rFonts w:ascii="宋体" w:hAnsi="宋体"/>
          <w:b/>
          <w:bCs/>
          <w:color w:val="auto"/>
          <w:szCs w:val="21"/>
        </w:rPr>
      </w:pPr>
      <w:r>
        <w:rPr>
          <w:rFonts w:hint="eastAsia" w:ascii="宋体" w:hAnsi="宋体"/>
          <w:b/>
          <w:bCs/>
          <w:color w:val="auto"/>
          <w:szCs w:val="21"/>
        </w:rPr>
        <w:t>2.2.5 非实质性偏离（非技术参数）</w:t>
      </w:r>
    </w:p>
    <w:p w14:paraId="3F62E1A6">
      <w:pPr>
        <w:spacing w:line="360" w:lineRule="auto"/>
        <w:ind w:firstLine="420" w:firstLineChars="200"/>
        <w:rPr>
          <w:rFonts w:ascii="宋体" w:hAnsi="宋体"/>
          <w:color w:val="auto"/>
          <w:szCs w:val="21"/>
        </w:rPr>
      </w:pPr>
      <w:r>
        <w:rPr>
          <w:rFonts w:hint="eastAsia" w:ascii="宋体" w:hAnsi="宋体"/>
          <w:color w:val="auto"/>
          <w:szCs w:val="21"/>
        </w:rPr>
        <w:t>非实质性偏离（非技术参数）是指响应文件在实质上响应磋商文件的要求，但在个别地方存在一些不规则、不一致、不完整的内容，并且澄清、说明或者更正这些内容不会改变响应文件的实质性内容。以下情况属于非实质性偏离：</w:t>
      </w:r>
    </w:p>
    <w:p w14:paraId="2F6C820D">
      <w:pPr>
        <w:spacing w:line="360" w:lineRule="auto"/>
        <w:ind w:firstLine="420" w:firstLineChars="200"/>
        <w:rPr>
          <w:rFonts w:ascii="宋体" w:hAnsi="宋体"/>
          <w:color w:val="auto"/>
          <w:szCs w:val="21"/>
        </w:rPr>
      </w:pPr>
      <w:r>
        <w:rPr>
          <w:rFonts w:hint="eastAsia" w:ascii="宋体" w:hAnsi="宋体"/>
          <w:color w:val="auto"/>
          <w:szCs w:val="21"/>
        </w:rPr>
        <w:t>（1）文字表述的内容含义不明确；</w:t>
      </w:r>
    </w:p>
    <w:p w14:paraId="330A3A7E">
      <w:pPr>
        <w:spacing w:line="360" w:lineRule="auto"/>
        <w:ind w:firstLine="420" w:firstLineChars="200"/>
        <w:rPr>
          <w:rFonts w:ascii="宋体" w:hAnsi="宋体"/>
          <w:color w:val="auto"/>
          <w:szCs w:val="21"/>
        </w:rPr>
      </w:pPr>
      <w:r>
        <w:rPr>
          <w:rFonts w:hint="eastAsia" w:ascii="宋体" w:hAnsi="宋体"/>
          <w:color w:val="auto"/>
          <w:szCs w:val="21"/>
        </w:rPr>
        <w:t>（2）同类问题表述不一致；</w:t>
      </w:r>
    </w:p>
    <w:p w14:paraId="0368A864">
      <w:pPr>
        <w:spacing w:line="360" w:lineRule="auto"/>
        <w:ind w:firstLine="420" w:firstLineChars="200"/>
        <w:rPr>
          <w:rFonts w:ascii="宋体" w:hAnsi="宋体"/>
          <w:color w:val="auto"/>
          <w:szCs w:val="21"/>
        </w:rPr>
      </w:pPr>
      <w:r>
        <w:rPr>
          <w:rFonts w:hint="eastAsia" w:ascii="宋体" w:hAnsi="宋体"/>
          <w:color w:val="auto"/>
          <w:szCs w:val="21"/>
        </w:rPr>
        <w:t>（3）有明显文字和计算错误；</w:t>
      </w:r>
    </w:p>
    <w:p w14:paraId="18FF96B1">
      <w:pPr>
        <w:spacing w:line="360" w:lineRule="auto"/>
        <w:ind w:firstLine="420" w:firstLineChars="200"/>
        <w:rPr>
          <w:rFonts w:ascii="宋体" w:hAnsi="宋体"/>
          <w:color w:val="auto"/>
          <w:szCs w:val="21"/>
        </w:rPr>
      </w:pPr>
      <w:r>
        <w:rPr>
          <w:rFonts w:hint="eastAsia" w:ascii="宋体" w:hAnsi="宋体"/>
          <w:color w:val="auto"/>
          <w:szCs w:val="21"/>
        </w:rPr>
        <w:t>（4）提供的服务信息和数据资料不完整；</w:t>
      </w:r>
    </w:p>
    <w:p w14:paraId="161A2FD9">
      <w:pPr>
        <w:spacing w:line="360" w:lineRule="auto"/>
        <w:ind w:firstLine="420" w:firstLineChars="200"/>
        <w:rPr>
          <w:rFonts w:ascii="宋体" w:hAnsi="宋体"/>
          <w:color w:val="auto"/>
          <w:szCs w:val="21"/>
        </w:rPr>
      </w:pPr>
      <w:r>
        <w:rPr>
          <w:rFonts w:hint="eastAsia" w:ascii="宋体" w:hAnsi="宋体"/>
          <w:color w:val="auto"/>
          <w:szCs w:val="21"/>
        </w:rPr>
        <w:t>（5）正副本数量齐全、密封完好，只是未按照磋商文件要求进行分装或者统装；</w:t>
      </w:r>
    </w:p>
    <w:p w14:paraId="10841ADB">
      <w:pPr>
        <w:spacing w:line="360" w:lineRule="auto"/>
        <w:ind w:firstLine="420" w:firstLineChars="200"/>
        <w:rPr>
          <w:rFonts w:ascii="宋体" w:hAnsi="宋体"/>
          <w:color w:val="auto"/>
          <w:szCs w:val="21"/>
        </w:rPr>
      </w:pPr>
      <w:r>
        <w:rPr>
          <w:rFonts w:hint="eastAsia" w:ascii="宋体" w:hAnsi="宋体"/>
          <w:color w:val="auto"/>
          <w:szCs w:val="21"/>
        </w:rPr>
        <w:t>（6）响应文件应当盖章签字的地方，不超过3处仅有签字或盖章（授权委托书、竞争性磋商响应函除外）；</w:t>
      </w:r>
    </w:p>
    <w:p w14:paraId="23144228">
      <w:pPr>
        <w:spacing w:line="360" w:lineRule="auto"/>
        <w:ind w:firstLine="420" w:firstLineChars="200"/>
        <w:rPr>
          <w:rFonts w:ascii="宋体" w:hAnsi="宋体"/>
          <w:color w:val="auto"/>
          <w:szCs w:val="21"/>
        </w:rPr>
      </w:pPr>
      <w:r>
        <w:rPr>
          <w:rFonts w:hint="eastAsia" w:ascii="宋体" w:hAnsi="宋体"/>
          <w:color w:val="auto"/>
          <w:szCs w:val="21"/>
        </w:rPr>
        <w:t>（7）响应文件未按磋商文件要求进行装订或未编制目录、页码或者页码混乱；</w:t>
      </w:r>
    </w:p>
    <w:p w14:paraId="441A9C59">
      <w:pPr>
        <w:spacing w:line="360" w:lineRule="auto"/>
        <w:ind w:firstLine="420" w:firstLineChars="200"/>
        <w:rPr>
          <w:rFonts w:ascii="宋体" w:hAnsi="宋体"/>
          <w:color w:val="auto"/>
          <w:szCs w:val="21"/>
        </w:rPr>
      </w:pPr>
      <w:r>
        <w:rPr>
          <w:rFonts w:hint="eastAsia" w:ascii="宋体" w:hAnsi="宋体"/>
          <w:color w:val="auto"/>
          <w:szCs w:val="21"/>
        </w:rPr>
        <w:t>（8）磋商小组认定的其他非实质性偏离。</w:t>
      </w:r>
    </w:p>
    <w:p w14:paraId="19BFF613">
      <w:pPr>
        <w:tabs>
          <w:tab w:val="left" w:pos="7665"/>
        </w:tabs>
        <w:spacing w:line="360" w:lineRule="auto"/>
        <w:ind w:firstLine="420" w:firstLineChars="200"/>
        <w:rPr>
          <w:rFonts w:ascii="宋体" w:hAnsi="宋体"/>
          <w:color w:val="auto"/>
          <w:szCs w:val="21"/>
        </w:rPr>
      </w:pPr>
      <w:r>
        <w:rPr>
          <w:rFonts w:hint="eastAsia" w:ascii="宋体" w:hAnsi="宋体"/>
          <w:color w:val="auto"/>
          <w:szCs w:val="21"/>
        </w:rPr>
        <w:t>响应文件有上述（1）至（4）情形之一的，磋商小组应当书面要求供应商在规定的时间内予以澄清、说明或更正。供应商拒不或在规定的时间内没有进行澄清、说明或更正或者澄清、说明、更正的内容也不能说明问题的，视为响应文件制作不规范。</w:t>
      </w:r>
    </w:p>
    <w:p w14:paraId="777525F9">
      <w:pPr>
        <w:tabs>
          <w:tab w:val="left" w:pos="7665"/>
        </w:tabs>
        <w:spacing w:line="360" w:lineRule="auto"/>
        <w:ind w:firstLine="422" w:firstLineChars="200"/>
        <w:rPr>
          <w:rFonts w:ascii="宋体"/>
          <w:b/>
          <w:color w:val="auto"/>
          <w:szCs w:val="21"/>
        </w:rPr>
      </w:pPr>
      <w:r>
        <w:rPr>
          <w:rFonts w:hint="eastAsia" w:ascii="宋体" w:hAnsi="宋体"/>
          <w:b/>
          <w:color w:val="auto"/>
          <w:szCs w:val="21"/>
        </w:rPr>
        <w:t>2.2.6</w:t>
      </w:r>
      <w:r>
        <w:rPr>
          <w:rFonts w:hint="eastAsia" w:ascii="宋体"/>
          <w:b/>
          <w:color w:val="auto"/>
          <w:szCs w:val="21"/>
        </w:rPr>
        <w:t>综合评分明细表</w:t>
      </w:r>
    </w:p>
    <w:p w14:paraId="06973466">
      <w:pPr>
        <w:tabs>
          <w:tab w:val="left" w:pos="7665"/>
        </w:tabs>
        <w:spacing w:line="360" w:lineRule="auto"/>
        <w:ind w:firstLine="735" w:firstLineChars="350"/>
        <w:rPr>
          <w:rFonts w:ascii="宋体" w:hAnsi="宋体"/>
          <w:color w:val="auto"/>
          <w:szCs w:val="21"/>
        </w:rPr>
      </w:pPr>
      <w:r>
        <w:rPr>
          <w:rFonts w:hint="eastAsia" w:ascii="宋体" w:hAnsi="宋体"/>
          <w:color w:val="auto"/>
          <w:szCs w:val="21"/>
        </w:rPr>
        <w:t>2.2.6.1综合评分明细表的制定以科学合理、降低评委会自由裁量权为原则。</w:t>
      </w:r>
    </w:p>
    <w:p w14:paraId="2E88ED48">
      <w:pPr>
        <w:rPr>
          <w:rFonts w:ascii="宋体" w:hAnsi="宋体"/>
          <w:b/>
          <w:color w:val="auto"/>
          <w:szCs w:val="32"/>
        </w:rPr>
      </w:pPr>
      <w:r>
        <w:rPr>
          <w:rFonts w:hint="eastAsia" w:ascii="宋体" w:hAnsi="宋体"/>
          <w:b/>
          <w:color w:val="auto"/>
          <w:szCs w:val="32"/>
        </w:rPr>
        <w:br w:type="page"/>
      </w:r>
    </w:p>
    <w:p w14:paraId="4F5B6FE9">
      <w:pPr>
        <w:pStyle w:val="10"/>
        <w:tabs>
          <w:tab w:val="left" w:pos="600"/>
        </w:tabs>
        <w:spacing w:before="240" w:beforeLines="100" w:line="360" w:lineRule="auto"/>
        <w:ind w:firstLine="0"/>
        <w:jc w:val="center"/>
        <w:rPr>
          <w:rFonts w:hint="eastAsia" w:ascii="宋体" w:hAnsi="宋体" w:eastAsia="宋体"/>
          <w:b/>
          <w:bCs/>
          <w:color w:val="auto"/>
          <w:szCs w:val="32"/>
          <w:lang w:eastAsia="zh-CN"/>
        </w:rPr>
      </w:pPr>
      <w:r>
        <w:rPr>
          <w:rFonts w:hint="eastAsia" w:ascii="宋体" w:hAnsi="宋体"/>
          <w:b/>
          <w:bCs/>
          <w:color w:val="auto"/>
          <w:szCs w:val="32"/>
        </w:rPr>
        <w:t>综合评分明细表</w:t>
      </w:r>
    </w:p>
    <w:tbl>
      <w:tblPr>
        <w:tblStyle w:val="22"/>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1"/>
        <w:gridCol w:w="1578"/>
        <w:gridCol w:w="7365"/>
      </w:tblGrid>
      <w:tr w14:paraId="657E0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Align w:val="center"/>
          </w:tcPr>
          <w:p w14:paraId="053590B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评标分项</w:t>
            </w:r>
          </w:p>
        </w:tc>
        <w:tc>
          <w:tcPr>
            <w:tcW w:w="770" w:type="pct"/>
            <w:vAlign w:val="center"/>
          </w:tcPr>
          <w:p w14:paraId="508C20DD">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最高分值</w:t>
            </w:r>
          </w:p>
        </w:tc>
        <w:tc>
          <w:tcPr>
            <w:tcW w:w="3594" w:type="pct"/>
            <w:vAlign w:val="center"/>
          </w:tcPr>
          <w:p w14:paraId="0F644D32">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评分标准</w:t>
            </w:r>
          </w:p>
        </w:tc>
      </w:tr>
      <w:tr w14:paraId="546DE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Align w:val="center"/>
          </w:tcPr>
          <w:p w14:paraId="014FFA89">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磋商报价</w:t>
            </w:r>
          </w:p>
          <w:p w14:paraId="7166D1D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w:t>
            </w:r>
            <w:r>
              <w:rPr>
                <w:rFonts w:hint="eastAsia" w:ascii="宋体" w:hAnsi="宋体" w:cs="宋体"/>
                <w:bCs/>
                <w:color w:val="auto"/>
                <w:sz w:val="21"/>
                <w:szCs w:val="21"/>
                <w:lang w:val="en-US" w:eastAsia="zh-CN"/>
              </w:rPr>
              <w:t>20</w:t>
            </w:r>
            <w:r>
              <w:rPr>
                <w:rFonts w:hint="eastAsia" w:ascii="宋体" w:hAnsi="宋体" w:eastAsia="宋体" w:cs="宋体"/>
                <w:bCs/>
                <w:color w:val="auto"/>
                <w:sz w:val="21"/>
                <w:szCs w:val="21"/>
              </w:rPr>
              <w:t>分）</w:t>
            </w:r>
          </w:p>
        </w:tc>
        <w:tc>
          <w:tcPr>
            <w:tcW w:w="770" w:type="pct"/>
            <w:vAlign w:val="center"/>
          </w:tcPr>
          <w:p w14:paraId="728231B1">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cs="宋体"/>
                <w:bCs/>
                <w:color w:val="auto"/>
                <w:sz w:val="21"/>
                <w:szCs w:val="21"/>
                <w:lang w:val="en-US" w:eastAsia="zh-CN"/>
              </w:rPr>
              <w:t>20</w:t>
            </w:r>
            <w:r>
              <w:rPr>
                <w:rFonts w:hint="eastAsia" w:ascii="宋体" w:hAnsi="宋体" w:eastAsia="宋体" w:cs="宋体"/>
                <w:bCs/>
                <w:color w:val="auto"/>
                <w:sz w:val="21"/>
                <w:szCs w:val="21"/>
              </w:rPr>
              <w:t>分</w:t>
            </w:r>
          </w:p>
        </w:tc>
        <w:tc>
          <w:tcPr>
            <w:tcW w:w="3594" w:type="pct"/>
            <w:vAlign w:val="center"/>
          </w:tcPr>
          <w:p w14:paraId="0A190FC6">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rPr>
              <w:t>以满足磋商文件要求且价格最低的最终报价为评标基准价,其价格分为满分</w:t>
            </w:r>
            <w:r>
              <w:rPr>
                <w:rFonts w:hint="eastAsia" w:ascii="宋体" w:hAnsi="宋体" w:cs="宋体"/>
                <w:bCs/>
                <w:color w:val="auto"/>
                <w:sz w:val="21"/>
                <w:szCs w:val="21"/>
                <w:lang w:val="en-US" w:eastAsia="zh-CN"/>
              </w:rPr>
              <w:t>20</w:t>
            </w:r>
            <w:r>
              <w:rPr>
                <w:rFonts w:hint="eastAsia" w:ascii="宋体" w:hAnsi="宋体" w:eastAsia="宋体" w:cs="宋体"/>
                <w:bCs/>
                <w:color w:val="auto"/>
                <w:sz w:val="21"/>
                <w:szCs w:val="21"/>
              </w:rPr>
              <w:t>分,其他供应商的价格分按照下列公式计算</w:t>
            </w:r>
            <w:r>
              <w:rPr>
                <w:rFonts w:hint="eastAsia" w:ascii="宋体" w:hAnsi="宋体" w:eastAsia="宋体" w:cs="宋体"/>
                <w:bCs/>
                <w:color w:val="auto"/>
                <w:sz w:val="21"/>
                <w:szCs w:val="21"/>
                <w:lang w:eastAsia="zh-CN"/>
              </w:rPr>
              <w:t>：</w:t>
            </w:r>
          </w:p>
          <w:p w14:paraId="17DAE6EF">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最终报价得分=(</w:t>
            </w:r>
            <w:r>
              <w:rPr>
                <w:rFonts w:hint="eastAsia" w:ascii="宋体" w:hAnsi="宋体" w:eastAsia="宋体" w:cs="宋体"/>
                <w:bCs/>
                <w:color w:val="auto"/>
                <w:sz w:val="21"/>
                <w:szCs w:val="21"/>
                <w:lang w:val="en-US" w:eastAsia="zh-CN"/>
              </w:rPr>
              <w:t>磋商</w:t>
            </w:r>
            <w:r>
              <w:rPr>
                <w:rFonts w:hint="eastAsia" w:ascii="宋体" w:hAnsi="宋体" w:eastAsia="宋体" w:cs="宋体"/>
                <w:bCs/>
                <w:color w:val="auto"/>
                <w:sz w:val="21"/>
                <w:szCs w:val="21"/>
              </w:rPr>
              <w:t>基准价/</w:t>
            </w:r>
            <w:r>
              <w:rPr>
                <w:rFonts w:hint="eastAsia" w:ascii="宋体" w:hAnsi="宋体" w:eastAsia="宋体" w:cs="宋体"/>
                <w:bCs/>
                <w:color w:val="auto"/>
                <w:sz w:val="21"/>
                <w:szCs w:val="21"/>
                <w:lang w:val="en-US" w:eastAsia="zh-CN"/>
              </w:rPr>
              <w:t>磋商评审价</w:t>
            </w:r>
            <w:r>
              <w:rPr>
                <w:rFonts w:hint="eastAsia" w:ascii="宋体" w:hAnsi="宋体" w:eastAsia="宋体" w:cs="宋体"/>
                <w:bCs/>
                <w:color w:val="auto"/>
                <w:sz w:val="21"/>
                <w:szCs w:val="21"/>
              </w:rPr>
              <w:t>)×</w:t>
            </w:r>
            <w:r>
              <w:rPr>
                <w:rFonts w:hint="eastAsia" w:ascii="宋体" w:hAnsi="宋体" w:cs="宋体"/>
                <w:bCs/>
                <w:color w:val="auto"/>
                <w:sz w:val="21"/>
                <w:szCs w:val="21"/>
                <w:lang w:val="en-US" w:eastAsia="zh-CN"/>
              </w:rPr>
              <w:t>20</w:t>
            </w:r>
            <w:r>
              <w:rPr>
                <w:rFonts w:hint="eastAsia" w:ascii="宋体" w:hAnsi="宋体" w:eastAsia="宋体" w:cs="宋体"/>
                <w:bCs/>
                <w:color w:val="auto"/>
                <w:sz w:val="21"/>
                <w:szCs w:val="21"/>
              </w:rPr>
              <w:t>。</w:t>
            </w:r>
          </w:p>
          <w:p w14:paraId="4A31A01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磋商小组认为供应商的报价明显低于其他通过符合性审查供应商的报价，有可能影响质量或者不能诚信履约的：1.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2.供应商提交的相关证明材料，应当加盖供应商（法定名称）印章，在磋商小组要求的时间内通过纸质文件进行提交，否则证明材料无效。3.供应商不能证明其报价合理性的，磋商小组应当将其投标文件作为无效处理。</w:t>
            </w:r>
          </w:p>
          <w:p w14:paraId="600B616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left"/>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专门面向中小企业采购的项目或者采购包，不再执行价格评审优惠的扶持</w:t>
            </w:r>
            <w:r>
              <w:rPr>
                <w:rFonts w:hint="eastAsia" w:ascii="宋体" w:hAnsi="宋体" w:eastAsia="宋体" w:cs="宋体"/>
                <w:bCs/>
                <w:color w:val="auto"/>
                <w:sz w:val="21"/>
                <w:szCs w:val="21"/>
                <w:lang w:val="en-US" w:eastAsia="zh-CN"/>
              </w:rPr>
              <w:t>政</w:t>
            </w:r>
            <w:r>
              <w:rPr>
                <w:rFonts w:hint="eastAsia" w:ascii="宋体" w:hAnsi="宋体" w:eastAsia="宋体" w:cs="宋体"/>
                <w:bCs/>
                <w:color w:val="auto"/>
                <w:sz w:val="21"/>
                <w:szCs w:val="21"/>
              </w:rPr>
              <w:t>策。</w:t>
            </w:r>
          </w:p>
          <w:p w14:paraId="556E5121">
            <w:pPr>
              <w:pStyle w:val="8"/>
              <w:ind w:left="0" w:leftChars="0" w:firstLine="420" w:firstLineChars="200"/>
              <w:rPr>
                <w:rFonts w:hint="eastAsia"/>
              </w:rPr>
            </w:pPr>
            <w:r>
              <w:rPr>
                <w:rFonts w:hint="eastAsia" w:ascii="宋体" w:hAnsi="宋体" w:eastAsia="宋体" w:cs="宋体"/>
                <w:sz w:val="21"/>
                <w:szCs w:val="21"/>
              </w:rPr>
              <w:t>最低报价不是</w:t>
            </w:r>
            <w:r>
              <w:rPr>
                <w:rFonts w:hint="eastAsia" w:ascii="宋体" w:hAnsi="宋体" w:eastAsia="宋体" w:cs="宋体"/>
                <w:sz w:val="21"/>
                <w:szCs w:val="21"/>
                <w:lang w:val="en-US" w:eastAsia="zh-CN"/>
              </w:rPr>
              <w:t>成交</w:t>
            </w:r>
            <w:r>
              <w:rPr>
                <w:rFonts w:hint="eastAsia" w:ascii="宋体" w:hAnsi="宋体" w:eastAsia="宋体" w:cs="宋体"/>
                <w:sz w:val="21"/>
                <w:szCs w:val="21"/>
              </w:rPr>
              <w:t>的唯一标准。</w:t>
            </w:r>
          </w:p>
        </w:tc>
      </w:tr>
      <w:tr w14:paraId="1777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restart"/>
            <w:vAlign w:val="center"/>
          </w:tcPr>
          <w:p w14:paraId="7D9DE597">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技术部分</w:t>
            </w:r>
          </w:p>
        </w:tc>
        <w:tc>
          <w:tcPr>
            <w:tcW w:w="770" w:type="pct"/>
            <w:vAlign w:val="center"/>
          </w:tcPr>
          <w:p w14:paraId="243CB4A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（80分）</w:t>
            </w:r>
          </w:p>
        </w:tc>
        <w:tc>
          <w:tcPr>
            <w:tcW w:w="3594" w:type="pct"/>
            <w:vAlign w:val="center"/>
          </w:tcPr>
          <w:p w14:paraId="327E2873">
            <w:pPr>
              <w:keepNext w:val="0"/>
              <w:keepLines w:val="0"/>
              <w:pageBreakBefore w:val="0"/>
              <w:widowControl w:val="0"/>
              <w:numPr>
                <w:ilvl w:val="0"/>
                <w:numId w:val="2"/>
              </w:numPr>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整体构思及实施方案，根据本项目实际情况及要求制定切实可行的整体构思及实施方案：</w:t>
            </w:r>
          </w:p>
          <w:p w14:paraId="0C8D7DD8">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实施方案全面、科学合理、规范，可操作性强，计（8-10】分； </w:t>
            </w:r>
          </w:p>
          <w:p w14:paraId="2C1AA02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方案较合理、较规范，具有一定操作性，计（6-8】分； </w:t>
            </w:r>
          </w:p>
          <w:p w14:paraId="50E1EF5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服务方案简略，操作性欠佳，计（3-6】分； </w:t>
            </w:r>
          </w:p>
          <w:p w14:paraId="38D7E29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方案缺失，操作性差，计（0-3】分； </w:t>
            </w:r>
          </w:p>
          <w:p w14:paraId="4B6F1075">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未提供不计分。</w:t>
            </w:r>
          </w:p>
          <w:p w14:paraId="6150B76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2、重难点分析及技术建议。根据本项目实际情况及项目需求、重点、难点等进行分析并提供技术建议。 </w:t>
            </w:r>
          </w:p>
          <w:p w14:paraId="1E26D179">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对项目需求、重点、难点的分析透彻合理科学，能提供有效的技术建议，计（8-10】分； </w:t>
            </w:r>
          </w:p>
          <w:p w14:paraId="5ACA8A5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对项目需求、重点、难点的分析较合理科学，较能提供有效的技术建议，计（6-8】分； </w:t>
            </w:r>
          </w:p>
          <w:p w14:paraId="3D8E8BD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对项目需求、重点、难点的分析粗略简单，提供的技术建议基本可行，计（3-6】分； </w:t>
            </w:r>
          </w:p>
          <w:p w14:paraId="60767AA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对项目需求、重点、难点分析理解不透彻，不能提供有效建议的计（0-3】分。</w:t>
            </w:r>
          </w:p>
          <w:p w14:paraId="34B805E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未提供不计分。</w:t>
            </w:r>
          </w:p>
          <w:p w14:paraId="3CF2C73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3、服务进度计划保证措施，根据本项目实际情况及要求制定切实可行的服务进度计划保证措施：</w:t>
            </w:r>
          </w:p>
          <w:p w14:paraId="31B8054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进度计划节点清晰，保证措施科学合理，可靠性强，计（8-10】分； </w:t>
            </w:r>
          </w:p>
          <w:p w14:paraId="778D4194">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进度计划节点较清晰，保证措施较科学合理，可靠性较强，计（6-8】分； </w:t>
            </w:r>
          </w:p>
          <w:p w14:paraId="5EABA81A">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进度计划节点不清晰，保证措施简略，可靠性一般，计（3-6】分； </w:t>
            </w:r>
          </w:p>
          <w:p w14:paraId="3E027E0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进度计划缺失，保证措施空泛，可靠性差，计（0-3】分； </w:t>
            </w:r>
          </w:p>
          <w:p w14:paraId="7A60F76F">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未提供不计分。</w:t>
            </w:r>
          </w:p>
          <w:p w14:paraId="089B7AD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4、确保服务质量的保证措施，根据本项目实际情况及要求制定确保服务质量的保证措施： </w:t>
            </w:r>
          </w:p>
          <w:p w14:paraId="72D30707">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措施科学合理、贴合项目实际情况、细节明确、针对性强，计8分；</w:t>
            </w:r>
          </w:p>
          <w:p w14:paraId="7572AC8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措施较科学合理、细节较明确、针对性较强，计6分； </w:t>
            </w:r>
          </w:p>
          <w:p w14:paraId="5A248F5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措施一般、各环节配合一般、针对性一般，计4分； </w:t>
            </w:r>
          </w:p>
          <w:p w14:paraId="075DFB7B">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措施简单、针对性差，计2分； </w:t>
            </w:r>
          </w:p>
          <w:p w14:paraId="504172E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未提供不计分。</w:t>
            </w:r>
          </w:p>
          <w:p w14:paraId="2A146328">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5、针对本项目的组织管理团队健全,分工明确，岗位责任制强，项目负责人管理经验丰富能力高，能全面高效地完成本项目，根据人员设置及分工、分配的响应程度。</w:t>
            </w:r>
          </w:p>
          <w:p w14:paraId="5101BDC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拟派项目组人员能够充分满足本项目需求的得8分；</w:t>
            </w:r>
          </w:p>
          <w:p w14:paraId="175B0F47">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团队组建较完整，管理较合理，具备职责分工，有一定的服务经验，能够基本符合本项目需求的得6分；</w:t>
            </w:r>
          </w:p>
          <w:p w14:paraId="132BA69C">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团队组建一般，管理及分工仅进行相关描述，仅具有经验，但不足以证明能够胜任本项目的得4分；</w:t>
            </w:r>
          </w:p>
          <w:p w14:paraId="71C8A07D">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团队组建不够合理，管理欠缺，未进行明确分工，无相关经验得2分；</w:t>
            </w:r>
          </w:p>
          <w:p w14:paraId="3A1A3349">
            <w:pPr>
              <w:keepNext w:val="0"/>
              <w:keepLines w:val="0"/>
              <w:pageBreakBefore w:val="0"/>
              <w:widowControl w:val="0"/>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未提供得0分。</w:t>
            </w:r>
          </w:p>
          <w:p w14:paraId="3117627F">
            <w:pPr>
              <w:keepNext w:val="0"/>
              <w:keepLines w:val="0"/>
              <w:pageBreakBefore w:val="0"/>
              <w:widowControl w:val="0"/>
              <w:numPr>
                <w:ilvl w:val="0"/>
                <w:numId w:val="3"/>
              </w:numPr>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供应商针对本项目提供保密工作方案，包括以下内容: </w:t>
            </w:r>
          </w:p>
          <w:p w14:paraId="2C8667ED">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（1）提供保密承诺，出具本项目专项保密书面承诺; </w:t>
            </w:r>
          </w:p>
          <w:p w14:paraId="32A87494">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（2）提供完整保密管理制度，包括涉密人员、纸质文件、电子资料、泄密处置等管理细则;</w:t>
            </w:r>
          </w:p>
          <w:p w14:paraId="24699C17">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（3）提供保密措施。</w:t>
            </w:r>
          </w:p>
          <w:p w14:paraId="363BC6AA">
            <w:pPr>
              <w:keepNext w:val="0"/>
              <w:keepLines w:val="0"/>
              <w:pageBreakBefore w:val="0"/>
              <w:widowControl w:val="0"/>
              <w:numPr>
                <w:ilvl w:val="0"/>
                <w:numId w:val="0"/>
              </w:numPr>
              <w:kinsoku/>
              <w:wordWrap w:val="0"/>
              <w:overflowPunct/>
              <w:topLinePunct w:val="0"/>
              <w:autoSpaceDE/>
              <w:autoSpaceDN/>
              <w:bidi w:val="0"/>
              <w:adjustRightInd/>
              <w:snapToGrid/>
              <w:spacing w:line="640" w:lineRule="exact"/>
              <w:textAlignment w:val="auto"/>
              <w:rPr>
                <w:rFonts w:hint="default"/>
                <w:lang w:val="en-US"/>
              </w:rPr>
            </w:pPr>
            <w:r>
              <w:rPr>
                <w:rFonts w:hint="eastAsia" w:ascii="宋体" w:hAnsi="宋体" w:eastAsia="宋体" w:cs="宋体"/>
                <w:b/>
                <w:bCs/>
                <w:color w:val="auto"/>
                <w:sz w:val="21"/>
                <w:szCs w:val="21"/>
                <w:highlight w:val="none"/>
                <w:lang w:val="en-US" w:eastAsia="zh-CN"/>
              </w:rPr>
              <w:t>每提供上述一项内容得3分，满分9分;未提供或提供不全不得分</w:t>
            </w:r>
          </w:p>
        </w:tc>
      </w:tr>
      <w:tr w14:paraId="7896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5" w:type="pct"/>
            <w:vMerge w:val="continue"/>
            <w:vAlign w:val="center"/>
          </w:tcPr>
          <w:p w14:paraId="39CE2F5C">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Cs/>
                <w:color w:val="auto"/>
                <w:sz w:val="21"/>
                <w:szCs w:val="21"/>
                <w:lang w:val="en-US" w:eastAsia="zh-CN"/>
              </w:rPr>
            </w:pPr>
          </w:p>
        </w:tc>
        <w:tc>
          <w:tcPr>
            <w:tcW w:w="770" w:type="pct"/>
            <w:vAlign w:val="center"/>
          </w:tcPr>
          <w:p w14:paraId="2F34D18F">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color w:val="auto"/>
                <w:vertAlign w:val="baseline"/>
                <w:lang w:val="en-US" w:eastAsia="zh-CN"/>
              </w:rPr>
            </w:pPr>
            <w:r>
              <w:rPr>
                <w:rFonts w:hint="eastAsia"/>
                <w:color w:val="auto"/>
                <w:vertAlign w:val="baseline"/>
                <w:lang w:val="en-US" w:eastAsia="zh-CN"/>
              </w:rPr>
              <w:t>人员职称</w:t>
            </w:r>
          </w:p>
          <w:p w14:paraId="1A97CEE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default" w:ascii="宋体" w:hAnsi="宋体" w:eastAsia="宋体" w:cs="宋体"/>
                <w:bCs/>
                <w:color w:val="auto"/>
                <w:kern w:val="2"/>
                <w:sz w:val="21"/>
                <w:szCs w:val="21"/>
                <w:lang w:val="en-US" w:eastAsia="zh-CN" w:bidi="ar-SA"/>
              </w:rPr>
            </w:pPr>
            <w:r>
              <w:rPr>
                <w:rFonts w:hint="eastAsia" w:ascii="宋体" w:hAnsi="宋体" w:cs="宋体"/>
                <w:bCs/>
                <w:color w:val="auto"/>
                <w:sz w:val="21"/>
                <w:szCs w:val="21"/>
                <w:lang w:val="en-US" w:eastAsia="zh-CN"/>
              </w:rPr>
              <w:t>（10分）</w:t>
            </w:r>
          </w:p>
        </w:tc>
        <w:tc>
          <w:tcPr>
            <w:tcW w:w="3594" w:type="pct"/>
            <w:vAlign w:val="center"/>
          </w:tcPr>
          <w:p w14:paraId="08143B23">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kern w:val="2"/>
                <w:sz w:val="21"/>
                <w:szCs w:val="21"/>
                <w:lang w:val="en-US" w:eastAsia="zh-CN" w:bidi="ar-SA"/>
              </w:rPr>
              <w:t>拟派项目组人员</w:t>
            </w:r>
            <w:r>
              <w:rPr>
                <w:rFonts w:hint="eastAsia" w:ascii="宋体" w:hAnsi="宋体" w:cs="宋体"/>
                <w:bCs/>
                <w:color w:val="auto"/>
                <w:kern w:val="2"/>
                <w:sz w:val="21"/>
                <w:szCs w:val="21"/>
                <w:lang w:val="en-US" w:eastAsia="zh-CN" w:bidi="ar-SA"/>
              </w:rPr>
              <w:t>（除拟派项目负责人）</w:t>
            </w:r>
            <w:r>
              <w:rPr>
                <w:rFonts w:hint="eastAsia" w:ascii="宋体" w:hAnsi="宋体" w:eastAsia="宋体" w:cs="宋体"/>
                <w:bCs/>
                <w:color w:val="auto"/>
                <w:kern w:val="2"/>
                <w:sz w:val="21"/>
                <w:szCs w:val="21"/>
                <w:lang w:val="en-US" w:eastAsia="zh-CN" w:bidi="ar-SA"/>
              </w:rPr>
              <w:t>具有工程地质或岩土工程或水工环地质专业职称证书，每有一人具有高级职称计</w:t>
            </w:r>
            <w:r>
              <w:rPr>
                <w:rFonts w:hint="eastAsia" w:ascii="宋体" w:hAnsi="宋体" w:cs="宋体"/>
                <w:bCs/>
                <w:color w:val="auto"/>
                <w:kern w:val="2"/>
                <w:sz w:val="21"/>
                <w:szCs w:val="21"/>
                <w:lang w:val="en-US" w:eastAsia="zh-CN" w:bidi="ar-SA"/>
              </w:rPr>
              <w:t>2</w:t>
            </w:r>
            <w:r>
              <w:rPr>
                <w:rFonts w:hint="eastAsia" w:ascii="宋体" w:hAnsi="宋体" w:eastAsia="宋体" w:cs="宋体"/>
                <w:bCs/>
                <w:color w:val="auto"/>
                <w:kern w:val="2"/>
                <w:sz w:val="21"/>
                <w:szCs w:val="21"/>
                <w:lang w:val="en-US" w:eastAsia="zh-CN" w:bidi="ar-SA"/>
              </w:rPr>
              <w:t>分；每有一人具有中级工程师职称计</w:t>
            </w:r>
            <w:r>
              <w:rPr>
                <w:rFonts w:hint="eastAsia" w:ascii="宋体" w:hAnsi="宋体" w:cs="宋体"/>
                <w:bCs/>
                <w:color w:val="auto"/>
                <w:kern w:val="2"/>
                <w:sz w:val="21"/>
                <w:szCs w:val="21"/>
                <w:lang w:val="en-US" w:eastAsia="zh-CN" w:bidi="ar-SA"/>
              </w:rPr>
              <w:t>1</w:t>
            </w:r>
            <w:r>
              <w:rPr>
                <w:rFonts w:hint="eastAsia" w:ascii="宋体" w:hAnsi="宋体" w:eastAsia="宋体" w:cs="宋体"/>
                <w:bCs/>
                <w:color w:val="auto"/>
                <w:kern w:val="2"/>
                <w:sz w:val="21"/>
                <w:szCs w:val="21"/>
                <w:lang w:val="en-US" w:eastAsia="zh-CN" w:bidi="ar-SA"/>
              </w:rPr>
              <w:t>分，其他不得分，本项最高得</w:t>
            </w:r>
            <w:r>
              <w:rPr>
                <w:rFonts w:hint="eastAsia" w:ascii="宋体" w:hAnsi="宋体" w:cs="宋体"/>
                <w:bCs/>
                <w:color w:val="auto"/>
                <w:kern w:val="2"/>
                <w:sz w:val="21"/>
                <w:szCs w:val="21"/>
                <w:lang w:val="en-US" w:eastAsia="zh-CN" w:bidi="ar-SA"/>
              </w:rPr>
              <w:t>10</w:t>
            </w:r>
            <w:r>
              <w:rPr>
                <w:rFonts w:hint="eastAsia" w:ascii="宋体" w:hAnsi="宋体" w:eastAsia="宋体" w:cs="宋体"/>
                <w:bCs/>
                <w:color w:val="auto"/>
                <w:kern w:val="2"/>
                <w:sz w:val="21"/>
                <w:szCs w:val="21"/>
                <w:lang w:val="en-US" w:eastAsia="zh-CN" w:bidi="ar-SA"/>
              </w:rPr>
              <w:t>分。</w:t>
            </w:r>
          </w:p>
        </w:tc>
      </w:tr>
      <w:tr w14:paraId="1B0C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7" w:hRule="atLeast"/>
          <w:jc w:val="center"/>
        </w:trPr>
        <w:tc>
          <w:tcPr>
            <w:tcW w:w="635" w:type="pct"/>
            <w:vMerge w:val="continue"/>
            <w:vAlign w:val="center"/>
          </w:tcPr>
          <w:p w14:paraId="1436E288">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p>
        </w:tc>
        <w:tc>
          <w:tcPr>
            <w:tcW w:w="770" w:type="pct"/>
            <w:vAlign w:val="center"/>
          </w:tcPr>
          <w:p w14:paraId="638F5EE0">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21"/>
                <w:szCs w:val="21"/>
              </w:rPr>
            </w:pPr>
            <w:r>
              <w:rPr>
                <w:rFonts w:hint="eastAsia" w:ascii="宋体" w:hAnsi="宋体" w:eastAsia="宋体" w:cs="宋体"/>
                <w:bCs/>
                <w:color w:val="auto"/>
                <w:sz w:val="21"/>
                <w:szCs w:val="21"/>
              </w:rPr>
              <w:t>业绩</w:t>
            </w:r>
          </w:p>
          <w:p w14:paraId="6B79494A">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lang w:val="en-US" w:eastAsia="zh-CN"/>
              </w:rPr>
              <w:t>（</w:t>
            </w:r>
            <w:r>
              <w:rPr>
                <w:rFonts w:hint="eastAsia" w:ascii="宋体" w:hAnsi="宋体" w:cs="宋体"/>
                <w:bCs/>
                <w:color w:val="auto"/>
                <w:sz w:val="21"/>
                <w:szCs w:val="21"/>
                <w:lang w:val="en-US" w:eastAsia="zh-CN"/>
              </w:rPr>
              <w:t>15</w:t>
            </w:r>
            <w:r>
              <w:rPr>
                <w:rFonts w:hint="eastAsia" w:ascii="宋体" w:hAnsi="宋体" w:eastAsia="宋体" w:cs="宋体"/>
                <w:bCs/>
                <w:color w:val="auto"/>
                <w:sz w:val="21"/>
                <w:szCs w:val="21"/>
              </w:rPr>
              <w:t>分</w:t>
            </w:r>
            <w:r>
              <w:rPr>
                <w:rFonts w:hint="eastAsia" w:ascii="宋体" w:hAnsi="宋体" w:eastAsia="宋体" w:cs="宋体"/>
                <w:bCs/>
                <w:color w:val="auto"/>
                <w:sz w:val="21"/>
                <w:szCs w:val="21"/>
                <w:lang w:val="en-US" w:eastAsia="zh-CN"/>
              </w:rPr>
              <w:t>）</w:t>
            </w:r>
          </w:p>
        </w:tc>
        <w:tc>
          <w:tcPr>
            <w:tcW w:w="3594" w:type="pct"/>
            <w:vAlign w:val="center"/>
          </w:tcPr>
          <w:p w14:paraId="3EA744A4">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kern w:val="2"/>
                <w:sz w:val="21"/>
                <w:szCs w:val="21"/>
                <w:lang w:val="en-US" w:eastAsia="zh-CN" w:bidi="ar-SA"/>
              </w:rPr>
            </w:pPr>
            <w:r>
              <w:rPr>
                <w:rFonts w:hint="eastAsia" w:ascii="宋体" w:hAnsi="宋体" w:eastAsia="宋体" w:cs="宋体"/>
                <w:bCs/>
                <w:color w:val="auto"/>
                <w:sz w:val="21"/>
                <w:szCs w:val="21"/>
              </w:rPr>
              <w:t>20</w:t>
            </w:r>
            <w:r>
              <w:rPr>
                <w:rFonts w:hint="eastAsia" w:ascii="宋体" w:hAnsi="宋体" w:eastAsia="宋体" w:cs="宋体"/>
                <w:bCs/>
                <w:color w:val="auto"/>
                <w:sz w:val="21"/>
                <w:szCs w:val="21"/>
                <w:lang w:val="en-US" w:eastAsia="zh-CN"/>
              </w:rPr>
              <w:t>2</w:t>
            </w:r>
            <w:r>
              <w:rPr>
                <w:rFonts w:hint="eastAsia" w:ascii="宋体" w:hAnsi="宋体" w:cs="宋体"/>
                <w:bCs/>
                <w:color w:val="auto"/>
                <w:sz w:val="21"/>
                <w:szCs w:val="21"/>
                <w:lang w:val="en-US" w:eastAsia="zh-CN"/>
              </w:rPr>
              <w:t>3</w:t>
            </w:r>
            <w:r>
              <w:rPr>
                <w:rFonts w:hint="eastAsia" w:ascii="宋体" w:hAnsi="宋体" w:eastAsia="宋体" w:cs="宋体"/>
                <w:bCs/>
                <w:color w:val="auto"/>
                <w:sz w:val="21"/>
                <w:szCs w:val="21"/>
              </w:rPr>
              <w:t>年</w:t>
            </w:r>
            <w:r>
              <w:rPr>
                <w:rFonts w:hint="eastAsia" w:ascii="宋体" w:hAnsi="宋体" w:cs="宋体"/>
                <w:bCs/>
                <w:color w:val="auto"/>
                <w:sz w:val="21"/>
                <w:szCs w:val="21"/>
                <w:lang w:val="en-US" w:eastAsia="zh-CN"/>
              </w:rPr>
              <w:t>9</w:t>
            </w:r>
            <w:r>
              <w:rPr>
                <w:rFonts w:hint="eastAsia" w:ascii="宋体" w:hAnsi="宋体" w:eastAsia="宋体" w:cs="宋体"/>
                <w:bCs/>
                <w:color w:val="auto"/>
                <w:sz w:val="21"/>
                <w:szCs w:val="21"/>
              </w:rPr>
              <w:t>月1日至今</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以合同签订日期为准</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w:t>
            </w:r>
            <w:r>
              <w:rPr>
                <w:rFonts w:hint="eastAsia" w:ascii="宋体" w:hAnsi="宋体" w:eastAsia="宋体" w:cs="宋体"/>
                <w:bCs/>
                <w:color w:val="auto"/>
                <w:sz w:val="21"/>
                <w:szCs w:val="21"/>
                <w:lang w:val="en-US" w:eastAsia="zh-CN"/>
              </w:rPr>
              <w:t>供应商</w:t>
            </w:r>
            <w:r>
              <w:rPr>
                <w:rFonts w:hint="eastAsia" w:ascii="宋体" w:hAnsi="宋体" w:eastAsia="宋体" w:cs="宋体"/>
                <w:bCs/>
                <w:color w:val="auto"/>
                <w:sz w:val="21"/>
                <w:szCs w:val="21"/>
              </w:rPr>
              <w:t>具有</w:t>
            </w:r>
            <w:r>
              <w:rPr>
                <w:rFonts w:hint="eastAsia" w:ascii="宋体" w:hAnsi="宋体" w:cs="宋体"/>
                <w:bCs/>
                <w:color w:val="auto"/>
                <w:sz w:val="21"/>
                <w:szCs w:val="21"/>
                <w:lang w:val="en-US" w:eastAsia="zh-CN"/>
              </w:rPr>
              <w:t>类似</w:t>
            </w:r>
            <w:r>
              <w:rPr>
                <w:rFonts w:hint="eastAsia" w:ascii="宋体" w:hAnsi="宋体" w:eastAsia="宋体" w:cs="宋体"/>
                <w:bCs/>
                <w:color w:val="auto"/>
                <w:sz w:val="21"/>
                <w:szCs w:val="21"/>
                <w:lang w:val="en-US" w:eastAsia="zh-CN"/>
              </w:rPr>
              <w:t>项目</w:t>
            </w:r>
            <w:r>
              <w:rPr>
                <w:rFonts w:hint="eastAsia" w:ascii="宋体" w:hAnsi="宋体" w:eastAsia="宋体" w:cs="宋体"/>
                <w:bCs/>
                <w:color w:val="auto"/>
                <w:sz w:val="21"/>
                <w:szCs w:val="21"/>
              </w:rPr>
              <w:t>业绩,每提供一</w:t>
            </w:r>
            <w:r>
              <w:rPr>
                <w:rFonts w:hint="eastAsia" w:ascii="宋体" w:hAnsi="宋体" w:eastAsia="宋体" w:cs="宋体"/>
                <w:bCs/>
                <w:color w:val="auto"/>
                <w:sz w:val="21"/>
                <w:szCs w:val="21"/>
                <w:lang w:val="en-US" w:eastAsia="zh-CN"/>
              </w:rPr>
              <w:t>份</w:t>
            </w:r>
            <w:r>
              <w:rPr>
                <w:rFonts w:hint="eastAsia" w:ascii="宋体" w:hAnsi="宋体" w:eastAsia="宋体" w:cs="宋体"/>
                <w:bCs/>
                <w:color w:val="auto"/>
                <w:sz w:val="21"/>
                <w:szCs w:val="21"/>
              </w:rPr>
              <w:t>业绩得</w:t>
            </w:r>
            <w:r>
              <w:rPr>
                <w:rFonts w:hint="eastAsia" w:ascii="宋体" w:hAnsi="宋体" w:cs="宋体"/>
                <w:bCs/>
                <w:color w:val="auto"/>
                <w:sz w:val="21"/>
                <w:szCs w:val="21"/>
                <w:lang w:val="en-US" w:eastAsia="zh-CN"/>
              </w:rPr>
              <w:t>3</w:t>
            </w:r>
            <w:r>
              <w:rPr>
                <w:rFonts w:hint="eastAsia" w:ascii="宋体" w:hAnsi="宋体" w:eastAsia="宋体" w:cs="宋体"/>
                <w:bCs/>
                <w:color w:val="auto"/>
                <w:sz w:val="21"/>
                <w:szCs w:val="21"/>
              </w:rPr>
              <w:t>分，最高得</w:t>
            </w:r>
            <w:r>
              <w:rPr>
                <w:rFonts w:hint="eastAsia" w:ascii="宋体" w:hAnsi="宋体" w:cs="宋体"/>
                <w:bCs/>
                <w:color w:val="auto"/>
                <w:sz w:val="21"/>
                <w:szCs w:val="21"/>
                <w:lang w:val="en-US" w:eastAsia="zh-CN"/>
              </w:rPr>
              <w:t>15</w:t>
            </w:r>
            <w:r>
              <w:rPr>
                <w:rFonts w:hint="eastAsia" w:ascii="宋体" w:hAnsi="宋体" w:eastAsia="宋体" w:cs="宋体"/>
                <w:bCs/>
                <w:color w:val="auto"/>
                <w:sz w:val="21"/>
                <w:szCs w:val="21"/>
              </w:rPr>
              <w:t>分。业绩要求提供：合同文件复印件加盖公章</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未提供</w:t>
            </w:r>
            <w:r>
              <w:rPr>
                <w:rFonts w:hint="eastAsia" w:ascii="宋体" w:hAnsi="宋体" w:eastAsia="宋体" w:cs="宋体"/>
                <w:bCs/>
                <w:color w:val="auto"/>
                <w:sz w:val="21"/>
                <w:szCs w:val="21"/>
                <w:lang w:val="en-US" w:eastAsia="zh-CN"/>
              </w:rPr>
              <w:t>或者不齐全</w:t>
            </w:r>
            <w:r>
              <w:rPr>
                <w:rFonts w:hint="eastAsia" w:ascii="宋体" w:hAnsi="宋体" w:eastAsia="宋体" w:cs="宋体"/>
                <w:bCs/>
                <w:color w:val="auto"/>
                <w:sz w:val="21"/>
                <w:szCs w:val="21"/>
              </w:rPr>
              <w:t>不计分</w:t>
            </w:r>
            <w:r>
              <w:rPr>
                <w:rFonts w:hint="eastAsia" w:ascii="宋体" w:hAnsi="宋体" w:eastAsia="宋体" w:cs="宋体"/>
                <w:bCs/>
                <w:color w:val="auto"/>
                <w:sz w:val="21"/>
                <w:szCs w:val="21"/>
                <w:lang w:eastAsia="zh-CN"/>
              </w:rPr>
              <w:t>。</w:t>
            </w:r>
          </w:p>
        </w:tc>
      </w:tr>
    </w:tbl>
    <w:p w14:paraId="6BD8E2A7">
      <w:pPr>
        <w:pStyle w:val="2"/>
        <w:numPr>
          <w:ilvl w:val="0"/>
          <w:numId w:val="0"/>
        </w:numPr>
        <w:rPr>
          <w:rFonts w:hint="eastAsia" w:ascii="宋体" w:hAnsi="宋体" w:eastAsia="宋体" w:cs="宋体"/>
          <w:b/>
          <w:bCs/>
          <w:kern w:val="2"/>
          <w:szCs w:val="21"/>
          <w:lang w:val="en-US" w:eastAsia="zh-CN"/>
        </w:rPr>
      </w:pPr>
    </w:p>
    <w:p w14:paraId="42095CE7">
      <w:pPr>
        <w:snapToGrid w:val="0"/>
        <w:spacing w:line="360" w:lineRule="auto"/>
        <w:ind w:firstLine="420"/>
        <w:rPr>
          <w:rFonts w:ascii="宋体" w:hAnsi="宋体" w:cs="宋体"/>
          <w:szCs w:val="21"/>
          <w:highlight w:val="none"/>
        </w:rPr>
      </w:pPr>
      <w:r>
        <w:rPr>
          <w:rFonts w:hint="eastAsia" w:ascii="宋体" w:hAnsi="宋体" w:cs="宋体"/>
          <w:b w:val="0"/>
          <w:kern w:val="2"/>
          <w:szCs w:val="21"/>
          <w:lang w:val="en-US" w:eastAsia="zh-CN"/>
        </w:rPr>
        <w:t>1</w:t>
      </w:r>
      <w:r>
        <w:rPr>
          <w:rFonts w:hint="eastAsia" w:ascii="宋体" w:hAnsi="宋体" w:eastAsia="宋体" w:cs="宋体"/>
          <w:b w:val="0"/>
          <w:kern w:val="2"/>
          <w:szCs w:val="21"/>
          <w:lang w:val="en-US" w:eastAsia="zh-CN"/>
        </w:rPr>
        <w:t>、磋商小组各评委独立评分，按评审后综合得分由高到低顺序排列，推荐3名中标候选人。得分相同的，按投标报价由低到高顺序排列，得分且投标报价相同的，比较技术得分，此技术得分高者排在前。</w:t>
      </w:r>
    </w:p>
    <w:p w14:paraId="166BE573">
      <w:pPr>
        <w:rPr>
          <w:rFonts w:hint="eastAsia"/>
        </w:rPr>
      </w:pPr>
    </w:p>
    <w:p w14:paraId="386D6063">
      <w:pPr>
        <w:rPr>
          <w:rFonts w:ascii="宋体" w:hAnsi="宋体"/>
          <w:b/>
          <w:color w:val="auto"/>
          <w:sz w:val="30"/>
          <w:szCs w:val="30"/>
        </w:rPr>
      </w:pPr>
      <w:r>
        <w:rPr>
          <w:rFonts w:hint="eastAsia" w:ascii="宋体" w:hAnsi="宋体"/>
          <w:b/>
          <w:color w:val="auto"/>
          <w:sz w:val="30"/>
          <w:szCs w:val="30"/>
        </w:rPr>
        <w:t>2.3无效响应文件的认定</w:t>
      </w:r>
    </w:p>
    <w:p w14:paraId="656E8711">
      <w:pPr>
        <w:pStyle w:val="10"/>
        <w:tabs>
          <w:tab w:val="left" w:pos="600"/>
        </w:tabs>
        <w:spacing w:line="360" w:lineRule="auto"/>
        <w:ind w:firstLine="420" w:firstLineChars="200"/>
        <w:jc w:val="left"/>
        <w:rPr>
          <w:rFonts w:ascii="宋体" w:hAnsi="宋体"/>
          <w:color w:val="auto"/>
          <w:sz w:val="21"/>
          <w:szCs w:val="21"/>
        </w:rPr>
      </w:pPr>
      <w:r>
        <w:rPr>
          <w:rFonts w:hint="eastAsia" w:ascii="宋体" w:hAnsi="宋体"/>
          <w:color w:val="auto"/>
          <w:sz w:val="21"/>
          <w:szCs w:val="21"/>
        </w:rPr>
        <w:t>在评审过程中，出现下列情形之一的，响应文件无效：</w:t>
      </w:r>
    </w:p>
    <w:p w14:paraId="6C87731C">
      <w:pPr>
        <w:spacing w:line="360" w:lineRule="auto"/>
        <w:ind w:firstLine="420" w:firstLineChars="200"/>
        <w:rPr>
          <w:rFonts w:ascii="宋体" w:hAnsi="宋体"/>
          <w:color w:val="auto"/>
          <w:szCs w:val="21"/>
        </w:rPr>
      </w:pPr>
      <w:r>
        <w:rPr>
          <w:rFonts w:hint="eastAsia" w:ascii="宋体" w:hAnsi="宋体"/>
          <w:color w:val="auto"/>
          <w:szCs w:val="21"/>
        </w:rPr>
        <w:t>（1）</w:t>
      </w:r>
      <w:r>
        <w:rPr>
          <w:rFonts w:hint="eastAsia" w:ascii="宋体" w:hAnsi="宋体" w:cs="宋体"/>
          <w:color w:val="auto"/>
          <w:kern w:val="0"/>
          <w:szCs w:val="21"/>
        </w:rPr>
        <w:t>不具备磋商文件规定资格条件和要求的；</w:t>
      </w:r>
    </w:p>
    <w:p w14:paraId="3E46ADF5">
      <w:pPr>
        <w:spacing w:line="360" w:lineRule="auto"/>
        <w:ind w:firstLine="420" w:firstLineChars="200"/>
        <w:rPr>
          <w:rFonts w:ascii="宋体" w:hAnsi="宋体"/>
          <w:color w:val="auto"/>
          <w:szCs w:val="21"/>
        </w:rPr>
      </w:pPr>
      <w:r>
        <w:rPr>
          <w:rFonts w:hint="eastAsia" w:ascii="宋体" w:hAnsi="宋体"/>
          <w:color w:val="auto"/>
          <w:szCs w:val="21"/>
        </w:rPr>
        <w:t>（2）响应文件未按照磋商文件要求签署、盖章的；</w:t>
      </w:r>
    </w:p>
    <w:p w14:paraId="287FEA60">
      <w:pPr>
        <w:spacing w:line="360" w:lineRule="auto"/>
        <w:ind w:firstLine="420" w:firstLineChars="200"/>
        <w:rPr>
          <w:rFonts w:ascii="宋体" w:hAnsi="宋体"/>
          <w:color w:val="auto"/>
          <w:szCs w:val="21"/>
        </w:rPr>
      </w:pPr>
      <w:r>
        <w:rPr>
          <w:rFonts w:hint="eastAsia" w:ascii="宋体" w:hAnsi="宋体"/>
          <w:color w:val="auto"/>
          <w:szCs w:val="21"/>
        </w:rPr>
        <w:t>（3）响应文件未按照磋商文件规定的格式要求编制的；</w:t>
      </w:r>
    </w:p>
    <w:p w14:paraId="6ABC5116">
      <w:pPr>
        <w:spacing w:line="360" w:lineRule="auto"/>
        <w:ind w:firstLine="420" w:firstLineChars="200"/>
        <w:rPr>
          <w:rFonts w:ascii="宋体" w:hAnsi="宋体"/>
          <w:color w:val="auto"/>
          <w:szCs w:val="21"/>
        </w:rPr>
      </w:pPr>
      <w:r>
        <w:rPr>
          <w:rFonts w:hint="eastAsia" w:ascii="宋体" w:hAnsi="宋体"/>
          <w:color w:val="auto"/>
          <w:szCs w:val="21"/>
        </w:rPr>
        <w:t>（4）磋商报价超过了磋商文件中规定的预算金额或最高限价的；</w:t>
      </w:r>
    </w:p>
    <w:p w14:paraId="229DA39D">
      <w:pPr>
        <w:spacing w:line="360" w:lineRule="auto"/>
        <w:ind w:firstLine="420" w:firstLineChars="200"/>
        <w:rPr>
          <w:rFonts w:ascii="宋体" w:hAnsi="宋体"/>
          <w:color w:val="auto"/>
          <w:szCs w:val="21"/>
        </w:rPr>
      </w:pPr>
      <w:r>
        <w:rPr>
          <w:rFonts w:hint="eastAsia" w:ascii="宋体" w:hAnsi="宋体"/>
          <w:color w:val="auto"/>
          <w:szCs w:val="21"/>
        </w:rPr>
        <w:t>（5）响应内容出现漏项或数量与要求不符的；</w:t>
      </w:r>
    </w:p>
    <w:p w14:paraId="7CF3D26D">
      <w:pPr>
        <w:spacing w:line="360" w:lineRule="auto"/>
        <w:ind w:firstLine="420" w:firstLineChars="200"/>
        <w:rPr>
          <w:rFonts w:ascii="宋体" w:hAnsi="宋体"/>
          <w:color w:val="auto"/>
          <w:szCs w:val="21"/>
        </w:rPr>
      </w:pPr>
      <w:r>
        <w:rPr>
          <w:rFonts w:hint="eastAsia" w:ascii="宋体" w:hAnsi="宋体"/>
          <w:color w:val="auto"/>
          <w:szCs w:val="21"/>
        </w:rPr>
        <w:t>（6）磋商有效期、</w:t>
      </w:r>
      <w:r>
        <w:rPr>
          <w:rFonts w:hint="eastAsia" w:ascii="宋体" w:hAnsi="宋体"/>
          <w:color w:val="auto"/>
          <w:szCs w:val="21"/>
          <w:lang w:val="en-US" w:eastAsia="zh-CN"/>
        </w:rPr>
        <w:t>服务期</w:t>
      </w:r>
      <w:r>
        <w:rPr>
          <w:rFonts w:hint="eastAsia" w:ascii="宋体" w:hAnsi="宋体"/>
          <w:color w:val="auto"/>
          <w:szCs w:val="21"/>
        </w:rPr>
        <w:t>、</w:t>
      </w:r>
      <w:r>
        <w:rPr>
          <w:rFonts w:hint="eastAsia" w:ascii="宋体" w:hAnsi="宋体"/>
          <w:color w:val="auto"/>
          <w:szCs w:val="21"/>
          <w:lang w:val="en-US" w:eastAsia="zh-CN"/>
        </w:rPr>
        <w:t>施工</w:t>
      </w:r>
      <w:r>
        <w:rPr>
          <w:rFonts w:hint="eastAsia" w:ascii="宋体" w:hAnsi="宋体"/>
          <w:color w:val="auto"/>
          <w:szCs w:val="21"/>
        </w:rPr>
        <w:t>内容等商务条款不满足磋商文件要求的；</w:t>
      </w:r>
    </w:p>
    <w:p w14:paraId="6AB728DF">
      <w:pPr>
        <w:spacing w:line="360" w:lineRule="auto"/>
        <w:ind w:firstLine="420" w:firstLineChars="200"/>
        <w:rPr>
          <w:rFonts w:ascii="宋体" w:hAnsi="宋体"/>
          <w:color w:val="auto"/>
          <w:szCs w:val="21"/>
        </w:rPr>
      </w:pPr>
      <w:r>
        <w:rPr>
          <w:rFonts w:hint="eastAsia" w:ascii="宋体" w:hAnsi="宋体"/>
          <w:color w:val="auto"/>
          <w:szCs w:val="21"/>
        </w:rPr>
        <w:t>（7）响应文件中附有采购人不能接受的附加条件的；</w:t>
      </w:r>
    </w:p>
    <w:p w14:paraId="68ED8E8F">
      <w:pPr>
        <w:spacing w:line="360" w:lineRule="auto"/>
        <w:ind w:firstLine="420" w:firstLineChars="200"/>
        <w:rPr>
          <w:rFonts w:ascii="宋体" w:hAnsi="宋体"/>
          <w:color w:val="auto"/>
          <w:szCs w:val="21"/>
        </w:rPr>
      </w:pPr>
      <w:r>
        <w:rPr>
          <w:rFonts w:hint="eastAsia" w:ascii="宋体" w:hAnsi="宋体"/>
          <w:color w:val="auto"/>
          <w:szCs w:val="21"/>
        </w:rPr>
        <w:t>（8）所提供产品属于强制性认证产品的未提供强制性产品认证证书复印件；</w:t>
      </w:r>
    </w:p>
    <w:p w14:paraId="440FCE03">
      <w:pPr>
        <w:pStyle w:val="10"/>
        <w:tabs>
          <w:tab w:val="left" w:pos="600"/>
        </w:tabs>
        <w:spacing w:line="360" w:lineRule="auto"/>
        <w:ind w:firstLine="420" w:firstLineChars="200"/>
        <w:rPr>
          <w:rFonts w:ascii="宋体" w:hAnsi="宋体"/>
          <w:color w:val="auto"/>
          <w:sz w:val="21"/>
          <w:szCs w:val="21"/>
        </w:rPr>
      </w:pPr>
      <w:r>
        <w:rPr>
          <w:rFonts w:hint="eastAsia" w:ascii="宋体" w:hAnsi="宋体"/>
          <w:color w:val="auto"/>
          <w:sz w:val="21"/>
          <w:szCs w:val="21"/>
        </w:rPr>
        <w:t>（9）响应文件的关键内容字迹模糊和无法辨认的；</w:t>
      </w:r>
    </w:p>
    <w:p w14:paraId="1020588D">
      <w:pPr>
        <w:pStyle w:val="10"/>
        <w:tabs>
          <w:tab w:val="left" w:pos="600"/>
        </w:tabs>
        <w:spacing w:line="360" w:lineRule="auto"/>
        <w:ind w:firstLine="420" w:firstLineChars="200"/>
        <w:rPr>
          <w:rFonts w:ascii="宋体" w:hAnsi="宋体"/>
          <w:color w:val="auto"/>
          <w:sz w:val="21"/>
          <w:szCs w:val="21"/>
        </w:rPr>
      </w:pPr>
      <w:r>
        <w:rPr>
          <w:rFonts w:hint="eastAsia" w:ascii="宋体" w:hAnsi="宋体"/>
          <w:color w:val="auto"/>
          <w:sz w:val="21"/>
          <w:szCs w:val="21"/>
        </w:rPr>
        <w:t>（10）法律法规和磋商文件规定的其他情形的。</w:t>
      </w:r>
    </w:p>
    <w:p w14:paraId="2362C9F4">
      <w:pPr>
        <w:widowControl/>
        <w:autoSpaceDE w:val="0"/>
        <w:autoSpaceDN w:val="0"/>
        <w:spacing w:before="120" w:beforeLines="50" w:after="120" w:afterLines="50" w:line="360" w:lineRule="auto"/>
        <w:ind w:right="51"/>
        <w:textAlignment w:val="bottom"/>
        <w:rPr>
          <w:rFonts w:ascii="宋体" w:hAnsi="宋体"/>
          <w:b/>
          <w:color w:val="auto"/>
          <w:sz w:val="30"/>
          <w:szCs w:val="30"/>
        </w:rPr>
      </w:pPr>
      <w:r>
        <w:rPr>
          <w:rFonts w:hint="eastAsia" w:ascii="宋体" w:hAnsi="宋体"/>
          <w:b/>
          <w:color w:val="auto"/>
          <w:sz w:val="30"/>
          <w:szCs w:val="30"/>
        </w:rPr>
        <w:t>2.4 特殊情况的处理</w:t>
      </w:r>
    </w:p>
    <w:p w14:paraId="09290055">
      <w:pPr>
        <w:widowControl/>
        <w:autoSpaceDE w:val="0"/>
        <w:autoSpaceDN w:val="0"/>
        <w:spacing w:line="360" w:lineRule="auto"/>
        <w:ind w:right="53" w:firstLine="420" w:firstLineChars="200"/>
        <w:textAlignment w:val="bottom"/>
        <w:rPr>
          <w:rFonts w:ascii="宋体" w:hAnsi="宋体"/>
          <w:color w:val="auto"/>
          <w:szCs w:val="21"/>
        </w:rPr>
      </w:pPr>
      <w:r>
        <w:rPr>
          <w:rFonts w:hint="eastAsia" w:ascii="宋体" w:hAnsi="宋体"/>
          <w:color w:val="auto"/>
          <w:szCs w:val="21"/>
        </w:rPr>
        <w:t>2.4.1 响应文件中如果出现</w:t>
      </w:r>
      <w:r>
        <w:rPr>
          <w:rFonts w:ascii="宋体" w:hAnsi="宋体"/>
          <w:color w:val="auto"/>
          <w:szCs w:val="21"/>
        </w:rPr>
        <w:t>前后不一致的，按照下列规定修正</w:t>
      </w:r>
      <w:r>
        <w:rPr>
          <w:rFonts w:hint="eastAsia" w:ascii="宋体" w:hAnsi="宋体"/>
          <w:color w:val="auto"/>
          <w:szCs w:val="21"/>
        </w:rPr>
        <w:t>：</w:t>
      </w:r>
    </w:p>
    <w:p w14:paraId="07EC8A90">
      <w:pPr>
        <w:spacing w:line="360" w:lineRule="auto"/>
        <w:ind w:firstLine="420" w:firstLineChars="200"/>
        <w:rPr>
          <w:rFonts w:ascii="宋体" w:hAnsi="宋体"/>
          <w:color w:val="auto"/>
          <w:szCs w:val="21"/>
        </w:rPr>
      </w:pPr>
      <w:r>
        <w:rPr>
          <w:rFonts w:hint="eastAsia" w:ascii="宋体" w:hAnsi="宋体"/>
          <w:color w:val="auto"/>
          <w:szCs w:val="21"/>
        </w:rPr>
        <w:t>（1）响应文件中的大写金额与小写金额不一致的，以大写金额为准；</w:t>
      </w:r>
    </w:p>
    <w:p w14:paraId="17DA8C6F">
      <w:pPr>
        <w:spacing w:line="360" w:lineRule="auto"/>
        <w:ind w:firstLine="420" w:firstLineChars="200"/>
        <w:rPr>
          <w:rFonts w:ascii="宋体" w:hAnsi="宋体"/>
          <w:color w:val="auto"/>
          <w:szCs w:val="21"/>
        </w:rPr>
      </w:pPr>
      <w:r>
        <w:rPr>
          <w:rFonts w:hint="eastAsia" w:ascii="宋体" w:hAnsi="宋体"/>
          <w:color w:val="auto"/>
          <w:szCs w:val="21"/>
        </w:rPr>
        <w:t>（2）响应文件中的总报价与按单价计算的汇总报价不一致的，以单价计算的汇总报价为准；</w:t>
      </w:r>
    </w:p>
    <w:p w14:paraId="10AA3770">
      <w:pPr>
        <w:spacing w:line="360" w:lineRule="auto"/>
        <w:ind w:firstLine="420" w:firstLineChars="200"/>
        <w:rPr>
          <w:rFonts w:ascii="宋体" w:hAnsi="宋体"/>
          <w:color w:val="auto"/>
          <w:szCs w:val="21"/>
        </w:rPr>
      </w:pPr>
      <w:r>
        <w:rPr>
          <w:rFonts w:hint="eastAsia" w:ascii="宋体" w:hAnsi="宋体"/>
          <w:color w:val="auto"/>
          <w:szCs w:val="21"/>
        </w:rPr>
        <w:t>（3）响应文件中的报价有明显小数点错误的，以总报价为准，并修改报价；</w:t>
      </w:r>
    </w:p>
    <w:p w14:paraId="2BC8FB3A">
      <w:pPr>
        <w:spacing w:line="360" w:lineRule="auto"/>
        <w:ind w:firstLine="420" w:firstLineChars="200"/>
        <w:rPr>
          <w:rFonts w:ascii="宋体" w:hAnsi="宋体"/>
          <w:color w:val="auto"/>
          <w:szCs w:val="21"/>
        </w:rPr>
      </w:pPr>
      <w:r>
        <w:rPr>
          <w:rFonts w:hint="eastAsia" w:ascii="宋体" w:hAnsi="宋体"/>
          <w:color w:val="auto"/>
          <w:szCs w:val="21"/>
        </w:rPr>
        <w:t>（4）响应文件中有关分项表内容与“磋商报价一览表”不一致的，以“磋商报价一览表”为准；</w:t>
      </w:r>
    </w:p>
    <w:p w14:paraId="27454D95">
      <w:pPr>
        <w:spacing w:line="360" w:lineRule="auto"/>
        <w:ind w:firstLine="420" w:firstLineChars="200"/>
        <w:rPr>
          <w:rFonts w:ascii="宋体" w:hAnsi="宋体"/>
          <w:color w:val="auto"/>
          <w:szCs w:val="21"/>
        </w:rPr>
      </w:pPr>
      <w:r>
        <w:rPr>
          <w:rFonts w:hint="eastAsia" w:ascii="宋体" w:hAnsi="宋体"/>
          <w:color w:val="auto"/>
          <w:szCs w:val="21"/>
        </w:rPr>
        <w:t>（5）响应文件中图表与文字表述不一致的，以文字表述为准；</w:t>
      </w:r>
    </w:p>
    <w:p w14:paraId="1AB70366">
      <w:pPr>
        <w:spacing w:line="360" w:lineRule="auto"/>
        <w:ind w:firstLine="420" w:firstLineChars="200"/>
        <w:rPr>
          <w:rFonts w:ascii="宋体" w:hAnsi="宋体"/>
          <w:color w:val="auto"/>
          <w:szCs w:val="21"/>
        </w:rPr>
      </w:pPr>
      <w:r>
        <w:rPr>
          <w:rFonts w:hint="eastAsia" w:ascii="宋体" w:hAnsi="宋体"/>
          <w:color w:val="auto"/>
          <w:szCs w:val="21"/>
        </w:rPr>
        <w:t>（6）响应文件正本与副本不一致的，以正本为准；</w:t>
      </w:r>
    </w:p>
    <w:p w14:paraId="4677CA89">
      <w:pPr>
        <w:spacing w:line="360" w:lineRule="auto"/>
        <w:ind w:firstLine="420" w:firstLineChars="200"/>
        <w:rPr>
          <w:rFonts w:ascii="宋体" w:hAnsi="宋体"/>
          <w:color w:val="auto"/>
          <w:szCs w:val="21"/>
        </w:rPr>
      </w:pPr>
      <w:r>
        <w:rPr>
          <w:rFonts w:hint="eastAsia" w:ascii="宋体" w:hAnsi="宋体"/>
          <w:color w:val="auto"/>
          <w:szCs w:val="21"/>
        </w:rPr>
        <w:t>（7）对不同文字文本响应文件的解释发生异议的，以中文文本为准。</w:t>
      </w:r>
    </w:p>
    <w:p w14:paraId="2CE4258B">
      <w:pPr>
        <w:spacing w:line="360" w:lineRule="auto"/>
        <w:ind w:firstLine="422" w:firstLineChars="200"/>
        <w:rPr>
          <w:rFonts w:ascii="宋体" w:hAnsi="宋体"/>
          <w:b/>
          <w:color w:val="auto"/>
          <w:szCs w:val="21"/>
        </w:rPr>
      </w:pPr>
      <w:r>
        <w:rPr>
          <w:rFonts w:hint="eastAsia" w:ascii="宋体" w:hAnsi="宋体"/>
          <w:b/>
          <w:color w:val="auto"/>
          <w:szCs w:val="21"/>
        </w:rPr>
        <w:t>按上述修正错误的方法调整的报价应对供应商具有约束力。如果供应商不接受修正后的价格，其响应文件将被拒绝。</w:t>
      </w:r>
    </w:p>
    <w:p w14:paraId="4E3C55D8">
      <w:pPr>
        <w:adjustRightInd w:val="0"/>
        <w:snapToGrid w:val="0"/>
        <w:spacing w:line="360" w:lineRule="auto"/>
        <w:ind w:firstLine="420" w:firstLineChars="200"/>
        <w:rPr>
          <w:color w:val="auto"/>
        </w:rPr>
      </w:pPr>
      <w:r>
        <w:rPr>
          <w:rFonts w:hint="eastAsia" w:ascii="宋体" w:hAnsi="宋体"/>
          <w:color w:val="auto"/>
          <w:szCs w:val="21"/>
        </w:rPr>
        <w:t>2.4.2</w:t>
      </w:r>
      <w:r>
        <w:rPr>
          <w:rFonts w:hint="eastAsia" w:ascii="宋体" w:hAnsi="宋体"/>
          <w:b/>
          <w:color w:val="auto"/>
          <w:szCs w:val="21"/>
        </w:rPr>
        <w:t>磋商</w:t>
      </w:r>
      <w:r>
        <w:rPr>
          <w:rFonts w:hint="eastAsia" w:ascii="宋体" w:hAnsi="宋体" w:cs="宋体"/>
          <w:b/>
          <w:color w:val="auto"/>
          <w:kern w:val="0"/>
          <w:szCs w:val="21"/>
        </w:rPr>
        <w:t>报价异常处理</w:t>
      </w:r>
    </w:p>
    <w:p w14:paraId="2B322379">
      <w:pPr>
        <w:widowControl/>
        <w:autoSpaceDE w:val="0"/>
        <w:autoSpaceDN w:val="0"/>
        <w:spacing w:line="360" w:lineRule="auto"/>
        <w:ind w:right="51" w:firstLine="420" w:firstLineChars="200"/>
        <w:textAlignment w:val="bottom"/>
        <w:rPr>
          <w:rFonts w:ascii="宋体" w:hAnsi="宋体"/>
          <w:color w:val="auto"/>
          <w:szCs w:val="21"/>
        </w:rPr>
      </w:pPr>
      <w:r>
        <w:rPr>
          <w:rFonts w:hint="eastAsia" w:ascii="宋体" w:hAnsi="宋体"/>
          <w:color w:val="auto"/>
          <w:szCs w:val="21"/>
        </w:rPr>
        <w:t>2.4.2.1 响应文件中，若某项有不合理报价（或零报价、漏报价）的，经磋商小组评审后，此项得分为零，不参与磋商报价分值的计算。</w:t>
      </w:r>
    </w:p>
    <w:p w14:paraId="41B42CB6">
      <w:pPr>
        <w:widowControl/>
        <w:autoSpaceDE w:val="0"/>
        <w:autoSpaceDN w:val="0"/>
        <w:spacing w:line="360" w:lineRule="auto"/>
        <w:ind w:right="51" w:firstLine="420" w:firstLineChars="200"/>
        <w:textAlignment w:val="bottom"/>
        <w:rPr>
          <w:color w:val="auto"/>
        </w:rPr>
      </w:pPr>
      <w:r>
        <w:rPr>
          <w:rFonts w:hint="eastAsia" w:ascii="宋体" w:hAnsi="宋体"/>
          <w:color w:val="auto"/>
          <w:szCs w:val="21"/>
        </w:rPr>
        <w:t>2.4.2.2</w:t>
      </w:r>
      <w:r>
        <w:rPr>
          <w:rFonts w:hint="eastAsia" w:ascii="宋体" w:hAnsi="宋体" w:cs="宋体"/>
          <w:color w:val="auto"/>
          <w:kern w:val="0"/>
          <w:szCs w:val="21"/>
        </w:rPr>
        <w:t>磋商小组认为供应商的最后报价明显低于其他通过资格性、符合性审查供应商的最后报价，有可能影响服务质量或者不能诚信履约的，应当要求其在评审现场合理的时间内提供书面说明，</w:t>
      </w:r>
      <w:r>
        <w:rPr>
          <w:rFonts w:hint="eastAsia" w:ascii="宋体" w:hAnsi="宋体" w:cs="宋体"/>
          <w:b/>
          <w:color w:val="auto"/>
          <w:kern w:val="0"/>
          <w:szCs w:val="21"/>
        </w:rPr>
        <w:t>必要时</w:t>
      </w:r>
      <w:r>
        <w:rPr>
          <w:rFonts w:hint="eastAsia" w:ascii="宋体" w:hAnsi="宋体" w:cs="宋体"/>
          <w:color w:val="auto"/>
          <w:kern w:val="0"/>
          <w:szCs w:val="21"/>
        </w:rPr>
        <w:t>提交相关证明材料；供应商不能证明其最后报价合理性的，磋商小组</w:t>
      </w:r>
      <w:r>
        <w:rPr>
          <w:rFonts w:hint="eastAsia" w:ascii="宋体" w:hAnsi="宋体" w:cs="宋体"/>
          <w:b/>
          <w:color w:val="auto"/>
          <w:kern w:val="0"/>
          <w:szCs w:val="21"/>
        </w:rPr>
        <w:t>应当</w:t>
      </w:r>
      <w:r>
        <w:rPr>
          <w:rFonts w:hint="eastAsia" w:ascii="宋体" w:hAnsi="宋体" w:cs="宋体"/>
          <w:color w:val="auto"/>
          <w:kern w:val="0"/>
          <w:szCs w:val="21"/>
        </w:rPr>
        <w:t>将其作为无效响应文件处理。</w:t>
      </w:r>
    </w:p>
    <w:p w14:paraId="21906CEC">
      <w:pPr>
        <w:widowControl/>
        <w:autoSpaceDE w:val="0"/>
        <w:autoSpaceDN w:val="0"/>
        <w:spacing w:line="360" w:lineRule="auto"/>
        <w:ind w:right="53" w:firstLine="420" w:firstLineChars="200"/>
        <w:textAlignment w:val="bottom"/>
        <w:rPr>
          <w:rFonts w:ascii="宋体" w:hAnsi="宋体"/>
          <w:color w:val="auto"/>
          <w:szCs w:val="21"/>
        </w:rPr>
      </w:pPr>
      <w:r>
        <w:rPr>
          <w:rFonts w:hint="eastAsia" w:ascii="宋体" w:hAnsi="宋体"/>
          <w:color w:val="auto"/>
          <w:szCs w:val="21"/>
        </w:rPr>
        <w:t>2.4.3 磋商小组成员打分超过得分界限或未按本办法赋分时，该成员的打分，按废票处理。</w:t>
      </w:r>
    </w:p>
    <w:p w14:paraId="4D2CE9DD">
      <w:pPr>
        <w:widowControl/>
        <w:autoSpaceDE w:val="0"/>
        <w:autoSpaceDN w:val="0"/>
        <w:spacing w:line="360" w:lineRule="auto"/>
        <w:ind w:right="53" w:firstLine="420" w:firstLineChars="200"/>
        <w:textAlignment w:val="bottom"/>
        <w:rPr>
          <w:rFonts w:ascii="宋体" w:hAnsi="宋体"/>
          <w:color w:val="auto"/>
          <w:szCs w:val="21"/>
        </w:rPr>
      </w:pPr>
      <w:r>
        <w:rPr>
          <w:rFonts w:hint="eastAsia" w:ascii="宋体" w:hAnsi="宋体"/>
          <w:color w:val="auto"/>
          <w:szCs w:val="21"/>
        </w:rPr>
        <w:t>2.4.4 评审过程中，各种数字的计算结果，均保留两位小数，第三位“四舍五入”。</w:t>
      </w:r>
    </w:p>
    <w:p w14:paraId="1B877BA8">
      <w:pPr>
        <w:pStyle w:val="19"/>
        <w:spacing w:before="0" w:beforeAutospacing="0" w:after="0" w:afterAutospacing="0" w:line="360" w:lineRule="auto"/>
        <w:ind w:firstLine="420" w:firstLineChars="200"/>
        <w:rPr>
          <w:color w:val="auto"/>
          <w:sz w:val="21"/>
          <w:szCs w:val="21"/>
        </w:rPr>
      </w:pPr>
      <w:r>
        <w:rPr>
          <w:rFonts w:hint="eastAsia"/>
          <w:color w:val="auto"/>
          <w:sz w:val="21"/>
          <w:szCs w:val="21"/>
        </w:rPr>
        <w:t>2.4.5 评审过程中，若出现本磋商办法以外的特殊情况时，将暂停评审，待磋商小组商榷后，再进行评审。</w:t>
      </w:r>
    </w:p>
    <w:p w14:paraId="1A43CFEA">
      <w:pPr>
        <w:pStyle w:val="8"/>
        <w:spacing w:line="360" w:lineRule="auto"/>
        <w:ind w:firstLine="422" w:firstLineChars="200"/>
        <w:rPr>
          <w:rFonts w:ascii="宋体" w:hAnsi="宋体"/>
          <w:b/>
          <w:color w:val="auto"/>
          <w:szCs w:val="21"/>
        </w:rPr>
      </w:pPr>
      <w:r>
        <w:rPr>
          <w:rFonts w:hint="eastAsia" w:ascii="宋体" w:hAnsi="宋体"/>
          <w:b/>
          <w:color w:val="auto"/>
          <w:szCs w:val="21"/>
        </w:rPr>
        <w:t>2.4.6 合格供应商少于3家的处理</w:t>
      </w:r>
    </w:p>
    <w:p w14:paraId="63456DEC">
      <w:pPr>
        <w:pStyle w:val="8"/>
        <w:spacing w:line="360" w:lineRule="auto"/>
        <w:ind w:firstLine="422" w:firstLineChars="200"/>
        <w:rPr>
          <w:rFonts w:ascii="宋体" w:hAnsi="宋体"/>
          <w:b/>
          <w:color w:val="auto"/>
          <w:szCs w:val="21"/>
        </w:rPr>
      </w:pPr>
      <w:r>
        <w:rPr>
          <w:rFonts w:hint="eastAsia" w:ascii="宋体" w:hAnsi="宋体"/>
          <w:b/>
          <w:color w:val="auto"/>
          <w:szCs w:val="21"/>
        </w:rPr>
        <w:t>2.4.6 .1评审过程中，若出现合格供应商只有2家时，符合《政府采购竞争性磋商采购方式管理暂行办法》第3条第4项情形的，</w:t>
      </w:r>
      <w:r>
        <w:rPr>
          <w:rFonts w:hint="eastAsia" w:ascii="宋体" w:hAnsi="宋体" w:cs="宋体"/>
          <w:b/>
          <w:snapToGrid w:val="0"/>
          <w:color w:val="auto"/>
          <w:kern w:val="0"/>
          <w:szCs w:val="21"/>
        </w:rPr>
        <w:t>或者本项目为政府购买服务指导性目录中的，</w:t>
      </w:r>
      <w:r>
        <w:rPr>
          <w:rFonts w:hint="eastAsia" w:ascii="宋体" w:hAnsi="宋体"/>
          <w:b/>
          <w:color w:val="auto"/>
          <w:szCs w:val="21"/>
        </w:rPr>
        <w:t>可以继续进行；只有1家时，采购人将依法重新组织采购活动。</w:t>
      </w:r>
    </w:p>
    <w:p w14:paraId="44A753D6">
      <w:pPr>
        <w:widowControl/>
        <w:autoSpaceDE w:val="0"/>
        <w:autoSpaceDN w:val="0"/>
        <w:spacing w:line="360" w:lineRule="auto"/>
        <w:ind w:right="53" w:firstLine="420" w:firstLineChars="200"/>
        <w:textAlignment w:val="bottom"/>
        <w:rPr>
          <w:rFonts w:ascii="宋体" w:hAnsi="宋体"/>
          <w:color w:val="auto"/>
          <w:szCs w:val="21"/>
        </w:rPr>
      </w:pPr>
      <w:r>
        <w:rPr>
          <w:rFonts w:hint="eastAsia" w:ascii="宋体" w:hAnsi="宋体"/>
          <w:color w:val="auto"/>
          <w:szCs w:val="21"/>
        </w:rPr>
        <w:t>2.4.7 评审过程中，除符合本章第2.4.6.1条款规定情形外，若出现合格供应商少于3家时，采购人将依法重新组织采购活动。</w:t>
      </w:r>
    </w:p>
    <w:p w14:paraId="01C51853">
      <w:pPr>
        <w:pStyle w:val="19"/>
        <w:spacing w:before="0" w:beforeAutospacing="0" w:after="0" w:afterAutospacing="0" w:line="360" w:lineRule="auto"/>
        <w:ind w:firstLine="420" w:firstLineChars="200"/>
        <w:rPr>
          <w:color w:val="auto"/>
          <w:kern w:val="2"/>
          <w:sz w:val="21"/>
          <w:szCs w:val="21"/>
        </w:rPr>
      </w:pPr>
      <w:r>
        <w:rPr>
          <w:rFonts w:hint="eastAsia"/>
          <w:color w:val="auto"/>
          <w:kern w:val="2"/>
          <w:sz w:val="21"/>
          <w:szCs w:val="21"/>
        </w:rPr>
        <w:t xml:space="preserve">2.4.8 </w:t>
      </w:r>
      <w:r>
        <w:rPr>
          <w:color w:val="auto"/>
          <w:kern w:val="2"/>
          <w:sz w:val="21"/>
          <w:szCs w:val="21"/>
        </w:rPr>
        <w:t>评</w:t>
      </w:r>
      <w:r>
        <w:rPr>
          <w:rFonts w:hint="eastAsia"/>
          <w:color w:val="auto"/>
          <w:kern w:val="2"/>
          <w:sz w:val="21"/>
          <w:szCs w:val="21"/>
        </w:rPr>
        <w:t>审</w:t>
      </w:r>
      <w:r>
        <w:rPr>
          <w:color w:val="auto"/>
          <w:kern w:val="2"/>
          <w:sz w:val="21"/>
          <w:szCs w:val="21"/>
        </w:rPr>
        <w:t>报告签署后，采购人或者采购代理机构发现存在</w:t>
      </w:r>
      <w:r>
        <w:rPr>
          <w:rFonts w:hint="eastAsia"/>
          <w:color w:val="auto"/>
          <w:kern w:val="2"/>
          <w:sz w:val="21"/>
          <w:szCs w:val="21"/>
        </w:rPr>
        <w:t>本章第1.7.2条款情形</w:t>
      </w:r>
      <w:r>
        <w:rPr>
          <w:color w:val="auto"/>
          <w:kern w:val="2"/>
          <w:sz w:val="21"/>
          <w:szCs w:val="21"/>
        </w:rPr>
        <w:t>之一的，应当组织原</w:t>
      </w:r>
      <w:r>
        <w:rPr>
          <w:rFonts w:hint="eastAsia"/>
          <w:color w:val="auto"/>
          <w:kern w:val="2"/>
          <w:sz w:val="21"/>
          <w:szCs w:val="21"/>
        </w:rPr>
        <w:t>磋商小组</w:t>
      </w:r>
      <w:r>
        <w:rPr>
          <w:color w:val="auto"/>
          <w:kern w:val="2"/>
          <w:sz w:val="21"/>
          <w:szCs w:val="21"/>
        </w:rPr>
        <w:t>进行重新评审，重新评审改变</w:t>
      </w:r>
      <w:r>
        <w:rPr>
          <w:rFonts w:hint="eastAsia"/>
          <w:color w:val="auto"/>
          <w:kern w:val="2"/>
          <w:sz w:val="21"/>
          <w:szCs w:val="21"/>
        </w:rPr>
        <w:t>成交</w:t>
      </w:r>
      <w:r>
        <w:rPr>
          <w:color w:val="auto"/>
          <w:kern w:val="2"/>
          <w:sz w:val="21"/>
          <w:szCs w:val="21"/>
        </w:rPr>
        <w:t>结果的，书面报</w:t>
      </w:r>
      <w:r>
        <w:rPr>
          <w:rFonts w:hint="eastAsia"/>
          <w:color w:val="auto"/>
          <w:kern w:val="2"/>
          <w:sz w:val="21"/>
          <w:szCs w:val="21"/>
        </w:rPr>
        <w:t>告</w:t>
      </w:r>
      <w:r>
        <w:rPr>
          <w:color w:val="auto"/>
          <w:kern w:val="2"/>
          <w:sz w:val="21"/>
          <w:szCs w:val="21"/>
        </w:rPr>
        <w:t>本级财政部门。</w:t>
      </w:r>
    </w:p>
    <w:p w14:paraId="3F11E192">
      <w:pPr>
        <w:widowControl/>
        <w:spacing w:line="360" w:lineRule="auto"/>
        <w:ind w:firstLine="428" w:firstLineChars="200"/>
        <w:rPr>
          <w:rFonts w:ascii="宋体" w:hAnsi="宋体" w:cs="宋体"/>
          <w:snapToGrid w:val="0"/>
          <w:color w:val="auto"/>
          <w:kern w:val="0"/>
          <w:szCs w:val="21"/>
        </w:rPr>
      </w:pPr>
      <w:r>
        <w:rPr>
          <w:rFonts w:hint="eastAsia" w:ascii="宋体" w:hAnsi="宋体"/>
          <w:color w:val="auto"/>
          <w:spacing w:val="2"/>
          <w:szCs w:val="21"/>
        </w:rPr>
        <w:t xml:space="preserve">2.4.9 </w:t>
      </w:r>
      <w:r>
        <w:rPr>
          <w:rFonts w:hint="eastAsia" w:ascii="宋体" w:hAnsi="宋体" w:cs="宋体"/>
          <w:snapToGrid w:val="0"/>
          <w:color w:val="auto"/>
          <w:kern w:val="0"/>
          <w:szCs w:val="21"/>
        </w:rPr>
        <w:t>采购人、采购代理机构发现磋商小组未按照磋商文件规定的评审标准进行评审的，应当重新开展采购活动，并同时书面报告本级财政部门。</w:t>
      </w:r>
    </w:p>
    <w:p w14:paraId="12849AD5">
      <w:pPr>
        <w:pStyle w:val="8"/>
        <w:spacing w:line="360" w:lineRule="auto"/>
        <w:ind w:firstLineChars="200"/>
        <w:rPr>
          <w:rFonts w:ascii="宋体" w:hAnsi="宋体"/>
          <w:color w:val="auto"/>
          <w:szCs w:val="21"/>
        </w:rPr>
      </w:pPr>
      <w:r>
        <w:rPr>
          <w:rFonts w:hint="eastAsia" w:ascii="宋体" w:hAnsi="宋体"/>
          <w:color w:val="auto"/>
          <w:szCs w:val="21"/>
        </w:rPr>
        <w:t>2.4.10评审争议处理原则</w:t>
      </w:r>
    </w:p>
    <w:p w14:paraId="05A8650D">
      <w:pPr>
        <w:pStyle w:val="10"/>
        <w:tabs>
          <w:tab w:val="left" w:pos="600"/>
        </w:tabs>
        <w:spacing w:line="360" w:lineRule="auto"/>
        <w:ind w:firstLine="420" w:firstLineChars="200"/>
        <w:rPr>
          <w:rFonts w:ascii="宋体" w:hAnsi="宋体"/>
          <w:color w:val="auto"/>
          <w:sz w:val="21"/>
          <w:szCs w:val="21"/>
        </w:rPr>
      </w:pPr>
      <w:r>
        <w:rPr>
          <w:rFonts w:hint="eastAsia" w:ascii="宋体" w:hAnsi="宋体"/>
          <w:color w:val="auto"/>
          <w:sz w:val="21"/>
          <w:szCs w:val="21"/>
        </w:rPr>
        <w:t>磋商小组在评审过程中，对响应文件资格性、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磋商文件规定的，应当及时向采购人书面反映，采购人收到书面反映后，应当及时向同级财政部门报告依法处理。</w:t>
      </w:r>
    </w:p>
    <w:p w14:paraId="04741FF9">
      <w:pPr>
        <w:pStyle w:val="8"/>
        <w:spacing w:line="360" w:lineRule="auto"/>
        <w:ind w:firstLine="422" w:firstLineChars="200"/>
        <w:rPr>
          <w:rFonts w:ascii="宋体" w:hAnsi="宋体"/>
          <w:b/>
          <w:color w:val="auto"/>
          <w:szCs w:val="21"/>
        </w:rPr>
      </w:pPr>
      <w:bookmarkStart w:id="94" w:name="_Toc20651224"/>
      <w:r>
        <w:rPr>
          <w:rFonts w:hint="eastAsia" w:ascii="宋体" w:hAnsi="宋体"/>
          <w:b/>
          <w:color w:val="auto"/>
          <w:szCs w:val="21"/>
        </w:rPr>
        <w:t>2.4.11停止评</w:t>
      </w:r>
      <w:bookmarkEnd w:id="94"/>
      <w:r>
        <w:rPr>
          <w:rFonts w:hint="eastAsia" w:ascii="宋体" w:hAnsi="宋体"/>
          <w:b/>
          <w:color w:val="auto"/>
          <w:szCs w:val="21"/>
        </w:rPr>
        <w:t>审</w:t>
      </w:r>
    </w:p>
    <w:p w14:paraId="121CCA14">
      <w:pPr>
        <w:pStyle w:val="10"/>
        <w:tabs>
          <w:tab w:val="left" w:pos="600"/>
        </w:tabs>
        <w:spacing w:line="360" w:lineRule="auto"/>
        <w:ind w:firstLine="420" w:firstLineChars="200"/>
        <w:rPr>
          <w:rFonts w:ascii="宋体" w:hAnsi="宋体"/>
          <w:b/>
          <w:color w:val="auto"/>
          <w:sz w:val="21"/>
          <w:szCs w:val="21"/>
        </w:rPr>
      </w:pPr>
      <w:r>
        <w:rPr>
          <w:rFonts w:hint="eastAsia" w:ascii="宋体" w:hAnsi="宋体"/>
          <w:color w:val="auto"/>
          <w:sz w:val="21"/>
          <w:szCs w:val="21"/>
        </w:rPr>
        <w:t>磋商小组发现磋商文件存在歧义、重大缺陷导致评审工作无法进行，或者磋商文件内容违反国家有关强制性规定的，应当停止评审工作，与采购人、采购代理机构沟通并作书面记录。</w:t>
      </w:r>
      <w:r>
        <w:rPr>
          <w:rFonts w:hint="eastAsia" w:ascii="宋体" w:hAnsi="宋体"/>
          <w:b/>
          <w:color w:val="auto"/>
          <w:sz w:val="21"/>
          <w:szCs w:val="21"/>
        </w:rPr>
        <w:t>采购人、采购代理机构应当确认和修改磋商文件后，重新组织采购活动。</w:t>
      </w:r>
    </w:p>
    <w:p w14:paraId="258EDB8F">
      <w:pPr>
        <w:widowControl/>
        <w:spacing w:line="360" w:lineRule="auto"/>
        <w:ind w:firstLine="420" w:firstLineChars="200"/>
        <w:rPr>
          <w:rFonts w:ascii="宋体" w:hAnsi="宋体"/>
          <w:color w:val="auto"/>
          <w:szCs w:val="21"/>
        </w:rPr>
      </w:pPr>
      <w:bookmarkStart w:id="95" w:name="_Toc20651225"/>
      <w:r>
        <w:rPr>
          <w:rFonts w:hint="eastAsia" w:ascii="宋体" w:hAnsi="宋体"/>
          <w:color w:val="auto"/>
          <w:szCs w:val="21"/>
        </w:rPr>
        <w:t>2.4.12采购人、采购代理机构发现磋商小组未按照磋商文件规定的评审标准进行评审的，应当重新开展采购活动，并同时书面报告本级财政部门。</w:t>
      </w:r>
    </w:p>
    <w:bookmarkEnd w:id="95"/>
    <w:p w14:paraId="5265B617">
      <w:pPr>
        <w:pStyle w:val="3"/>
        <w:keepNext/>
        <w:keepLines/>
        <w:pageBreakBefore w:val="0"/>
        <w:widowControl w:val="0"/>
        <w:kinsoku/>
        <w:wordWrap/>
        <w:overflowPunct/>
        <w:topLinePunct w:val="0"/>
        <w:autoSpaceDE/>
        <w:autoSpaceDN/>
        <w:bidi w:val="0"/>
        <w:adjustRightInd/>
        <w:snapToGrid w:val="0"/>
        <w:spacing w:before="0" w:after="0" w:line="480" w:lineRule="auto"/>
        <w:jc w:val="center"/>
        <w:textAlignment w:val="auto"/>
        <w:rPr>
          <w:rFonts w:ascii="黑体" w:hAnsi="宋体"/>
          <w:color w:val="auto"/>
          <w:sz w:val="44"/>
          <w:szCs w:val="44"/>
        </w:rPr>
      </w:pPr>
      <w:r>
        <w:rPr>
          <w:rFonts w:ascii="宋体" w:hAnsi="宋体"/>
          <w:color w:val="auto"/>
          <w:spacing w:val="2"/>
          <w:szCs w:val="21"/>
        </w:rPr>
        <w:br w:type="page"/>
      </w:r>
      <w:bookmarkEnd w:id="91"/>
      <w:bookmarkStart w:id="96" w:name="_Toc29814"/>
      <w:bookmarkStart w:id="97" w:name="_Toc15882"/>
      <w:bookmarkStart w:id="98" w:name="_Toc18074970"/>
      <w:r>
        <w:rPr>
          <w:rFonts w:hint="eastAsia" w:ascii="宋体" w:hAnsi="宋体"/>
          <w:color w:val="auto"/>
          <w:sz w:val="44"/>
          <w:szCs w:val="44"/>
        </w:rPr>
        <w:t>第四章 采购内容及</w:t>
      </w:r>
      <w:r>
        <w:rPr>
          <w:rFonts w:hint="eastAsia" w:ascii="宋体" w:hAnsi="宋体"/>
          <w:color w:val="auto"/>
          <w:sz w:val="44"/>
          <w:szCs w:val="44"/>
          <w:lang w:val="en-US" w:eastAsia="zh-CN"/>
        </w:rPr>
        <w:t>商务</w:t>
      </w:r>
      <w:r>
        <w:rPr>
          <w:rFonts w:hint="eastAsia" w:ascii="宋体" w:hAnsi="宋体"/>
          <w:color w:val="auto"/>
          <w:sz w:val="44"/>
          <w:szCs w:val="44"/>
        </w:rPr>
        <w:t>要求</w:t>
      </w:r>
      <w:bookmarkEnd w:id="96"/>
      <w:bookmarkEnd w:id="97"/>
      <w:bookmarkEnd w:id="98"/>
    </w:p>
    <w:p w14:paraId="7F3EC1D4">
      <w:pPr>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宋体"/>
          <w:b/>
          <w:color w:val="auto"/>
          <w:sz w:val="21"/>
          <w:szCs w:val="21"/>
          <w:highlight w:val="none"/>
          <w:lang w:eastAsia="zh-CN"/>
        </w:rPr>
      </w:pPr>
      <w:bookmarkStart w:id="99" w:name="_Toc3304"/>
      <w:r>
        <w:rPr>
          <w:rFonts w:hint="eastAsia" w:ascii="宋体" w:hAnsi="宋体" w:eastAsia="宋体" w:cs="宋体"/>
          <w:b/>
          <w:color w:val="auto"/>
          <w:sz w:val="21"/>
          <w:szCs w:val="21"/>
          <w:highlight w:val="none"/>
          <w:lang w:eastAsia="zh-CN"/>
        </w:rPr>
        <w:t>一、工程概况</w:t>
      </w:r>
    </w:p>
    <w:p w14:paraId="0B38CB6F">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项目</w:t>
      </w:r>
      <w:r>
        <w:rPr>
          <w:rFonts w:hint="eastAsia" w:ascii="宋体" w:hAnsi="宋体" w:eastAsia="宋体" w:cs="宋体"/>
          <w:color w:val="auto"/>
          <w:sz w:val="21"/>
          <w:szCs w:val="21"/>
          <w:highlight w:val="none"/>
        </w:rPr>
        <w:t>名称：</w:t>
      </w:r>
      <w:r>
        <w:rPr>
          <w:rFonts w:hint="eastAsia" w:ascii="宋体" w:hAnsi="宋体" w:cs="宋体"/>
          <w:color w:val="auto"/>
          <w:sz w:val="21"/>
          <w:szCs w:val="21"/>
          <w:highlight w:val="none"/>
          <w:lang w:val="en-US" w:eastAsia="zh-CN"/>
        </w:rPr>
        <w:t>旬邑县土桥镇地质灾害风险调查评价项目。</w:t>
      </w:r>
    </w:p>
    <w:p w14:paraId="287B3EB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2、预算金额：</w:t>
      </w:r>
      <w:r>
        <w:rPr>
          <w:rFonts w:hint="eastAsia" w:ascii="宋体" w:hAnsi="宋体" w:cs="宋体"/>
          <w:color w:val="auto"/>
          <w:sz w:val="21"/>
          <w:szCs w:val="21"/>
          <w:highlight w:val="none"/>
          <w:lang w:val="en-US" w:eastAsia="zh-CN"/>
        </w:rPr>
        <w:t>1100000.00</w:t>
      </w:r>
      <w:r>
        <w:rPr>
          <w:rFonts w:hint="eastAsia" w:ascii="宋体" w:hAnsi="宋体" w:eastAsia="宋体" w:cs="宋体"/>
          <w:color w:val="auto"/>
          <w:sz w:val="21"/>
          <w:szCs w:val="21"/>
          <w:highlight w:val="none"/>
          <w:lang w:val="en-US" w:eastAsia="zh-CN"/>
        </w:rPr>
        <w:t>元</w:t>
      </w:r>
      <w:r>
        <w:rPr>
          <w:rFonts w:hint="eastAsia" w:ascii="宋体" w:hAnsi="宋体" w:cs="宋体"/>
          <w:color w:val="000000"/>
          <w:kern w:val="0"/>
          <w:szCs w:val="21"/>
          <w:lang w:val="en-US" w:eastAsia="zh-CN" w:bidi="ar"/>
        </w:rPr>
        <w:t>。</w:t>
      </w:r>
    </w:p>
    <w:p w14:paraId="72C382D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项目</w:t>
      </w: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采购人指定地点。</w:t>
      </w:r>
    </w:p>
    <w:p w14:paraId="702D2D30">
      <w:pPr>
        <w:pStyle w:val="2"/>
        <w:rPr>
          <w:rFonts w:hint="default"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w:t>二、采购内容</w:t>
      </w:r>
    </w:p>
    <w:p w14:paraId="1B1EBCF4">
      <w:pPr>
        <w:pStyle w:val="2"/>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jc w:val="both"/>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按照相关要求，</w:t>
      </w:r>
      <w:r>
        <w:rPr>
          <w:rFonts w:hint="eastAsia" w:ascii="宋体" w:hAnsi="宋体" w:cs="宋体"/>
          <w:color w:val="000000"/>
          <w:kern w:val="0"/>
          <w:sz w:val="21"/>
          <w:szCs w:val="21"/>
          <w:lang w:val="en-US" w:eastAsia="zh-CN" w:bidi="ar"/>
        </w:rPr>
        <w:t>完成</w:t>
      </w:r>
      <w:r>
        <w:rPr>
          <w:rFonts w:hint="eastAsia" w:ascii="宋体" w:hAnsi="宋体" w:eastAsia="宋体" w:cs="宋体"/>
          <w:color w:val="000000"/>
          <w:kern w:val="0"/>
          <w:sz w:val="21"/>
          <w:szCs w:val="21"/>
          <w:lang w:val="en-US" w:eastAsia="zh-CN" w:bidi="ar"/>
        </w:rPr>
        <w:t>1:1</w:t>
      </w:r>
      <w:r>
        <w:rPr>
          <w:rFonts w:hint="eastAsia" w:ascii="宋体" w:hAnsi="宋体" w:cs="宋体"/>
          <w:color w:val="000000"/>
          <w:kern w:val="0"/>
          <w:sz w:val="21"/>
          <w:szCs w:val="21"/>
          <w:lang w:val="en-US" w:eastAsia="zh-CN" w:bidi="ar"/>
        </w:rPr>
        <w:t>0000</w:t>
      </w:r>
      <w:r>
        <w:rPr>
          <w:rFonts w:hint="eastAsia" w:ascii="宋体" w:hAnsi="宋体" w:eastAsia="宋体" w:cs="宋体"/>
          <w:color w:val="000000"/>
          <w:kern w:val="0"/>
          <w:sz w:val="21"/>
          <w:szCs w:val="21"/>
          <w:lang w:val="en-US" w:eastAsia="zh-CN" w:bidi="ar"/>
        </w:rPr>
        <w:t>在册隐患点核查、遥感解译点核查、调查区孕灾地质条件调查等野外工作，以及室内资料整理分析、地质灾害风险调查评价工作</w:t>
      </w:r>
      <w:r>
        <w:rPr>
          <w:rFonts w:hint="eastAsia" w:ascii="宋体" w:hAnsi="宋体" w:cs="宋体"/>
          <w:color w:val="000000"/>
          <w:kern w:val="0"/>
          <w:sz w:val="21"/>
          <w:szCs w:val="21"/>
          <w:lang w:val="en-US" w:eastAsia="zh-CN" w:bidi="ar"/>
        </w:rPr>
        <w:t>。</w:t>
      </w:r>
    </w:p>
    <w:p w14:paraId="56D8622F">
      <w:pPr>
        <w:pStyle w:val="2"/>
        <w:keepNext w:val="0"/>
        <w:keepLines w:val="0"/>
        <w:pageBreakBefore w:val="0"/>
        <w:widowControl w:val="0"/>
        <w:kinsoku/>
        <w:wordWrap/>
        <w:overflowPunct/>
        <w:topLinePunct w:val="0"/>
        <w:autoSpaceDE/>
        <w:autoSpaceDN/>
        <w:bidi w:val="0"/>
        <w:adjustRightInd/>
        <w:snapToGrid w:val="0"/>
        <w:spacing w:after="0" w:line="360" w:lineRule="auto"/>
        <w:jc w:val="both"/>
        <w:textAlignment w:val="auto"/>
        <w:rPr>
          <w:rFonts w:hint="eastAsia" w:ascii="宋体" w:hAnsi="宋体" w:cs="宋体"/>
          <w:b/>
          <w:bCs/>
          <w:color w:val="auto"/>
          <w:sz w:val="21"/>
          <w:szCs w:val="21"/>
          <w:highlight w:val="none"/>
          <w:lang w:val="en-US" w:eastAsia="zh-CN"/>
        </w:rPr>
      </w:pPr>
      <w:r>
        <w:rPr>
          <w:rFonts w:hint="eastAsia" w:ascii="宋体" w:hAnsi="宋体" w:eastAsia="宋体" w:cs="宋体"/>
          <w:b/>
          <w:color w:val="auto"/>
          <w:kern w:val="2"/>
          <w:sz w:val="21"/>
          <w:szCs w:val="21"/>
          <w:highlight w:val="none"/>
          <w:lang w:val="en-US" w:eastAsia="zh-CN" w:bidi="ar-SA"/>
        </w:rPr>
        <w:t>三、质量标准及技术要求：</w:t>
      </w:r>
      <w:r>
        <w:rPr>
          <w:rFonts w:hint="eastAsia" w:ascii="宋体" w:hAnsi="宋体" w:eastAsia="宋体" w:cs="宋体"/>
          <w:b w:val="0"/>
          <w:bCs w:val="0"/>
          <w:color w:val="auto"/>
          <w:sz w:val="21"/>
          <w:szCs w:val="21"/>
          <w:highlight w:val="none"/>
          <w:lang w:eastAsia="zh-CN"/>
        </w:rPr>
        <w:t>符合国家、行业标准以及有关技术规范</w:t>
      </w:r>
      <w:r>
        <w:rPr>
          <w:rFonts w:hint="eastAsia" w:ascii="宋体" w:hAnsi="宋体" w:cs="宋体"/>
          <w:b w:val="0"/>
          <w:bCs w:val="0"/>
          <w:color w:val="auto"/>
          <w:sz w:val="21"/>
          <w:szCs w:val="21"/>
          <w:highlight w:val="none"/>
          <w:lang w:val="en-US" w:eastAsia="zh-CN"/>
        </w:rPr>
        <w:t>及采购人</w:t>
      </w:r>
      <w:r>
        <w:rPr>
          <w:rFonts w:hint="eastAsia" w:ascii="宋体" w:hAnsi="宋体" w:eastAsia="宋体" w:cs="宋体"/>
          <w:b w:val="0"/>
          <w:bCs w:val="0"/>
          <w:color w:val="auto"/>
          <w:sz w:val="21"/>
          <w:szCs w:val="21"/>
          <w:highlight w:val="none"/>
          <w:lang w:eastAsia="zh-CN"/>
        </w:rPr>
        <w:t>要求</w:t>
      </w:r>
      <w:r>
        <w:rPr>
          <w:rFonts w:hint="eastAsia" w:ascii="宋体" w:hAnsi="宋体" w:cs="宋体"/>
          <w:b w:val="0"/>
          <w:bCs w:val="0"/>
          <w:color w:val="auto"/>
          <w:sz w:val="21"/>
          <w:szCs w:val="21"/>
          <w:highlight w:val="none"/>
          <w:lang w:eastAsia="zh-CN"/>
        </w:rPr>
        <w:t>，</w:t>
      </w:r>
      <w:r>
        <w:rPr>
          <w:rFonts w:hint="eastAsia" w:ascii="宋体" w:hAnsi="宋体" w:eastAsia="宋体" w:cs="宋体"/>
          <w:color w:val="000000"/>
          <w:kern w:val="0"/>
          <w:sz w:val="21"/>
          <w:szCs w:val="21"/>
          <w:lang w:val="en-US" w:eastAsia="zh-CN" w:bidi="ar"/>
        </w:rPr>
        <w:t>并通过</w:t>
      </w:r>
      <w:r>
        <w:rPr>
          <w:rFonts w:hint="eastAsia" w:ascii="宋体" w:hAnsi="宋体" w:cs="宋体"/>
          <w:color w:val="000000"/>
          <w:kern w:val="0"/>
          <w:sz w:val="21"/>
          <w:szCs w:val="21"/>
          <w:lang w:val="en-US" w:eastAsia="zh-CN" w:bidi="ar"/>
        </w:rPr>
        <w:t>省市级验收</w:t>
      </w:r>
      <w:r>
        <w:rPr>
          <w:rFonts w:hint="eastAsia" w:ascii="宋体" w:hAnsi="宋体" w:eastAsia="宋体" w:cs="宋体"/>
          <w:color w:val="000000"/>
          <w:kern w:val="0"/>
          <w:sz w:val="21"/>
          <w:szCs w:val="21"/>
          <w:lang w:val="en-US" w:eastAsia="zh-CN" w:bidi="ar"/>
        </w:rPr>
        <w:t>。</w:t>
      </w:r>
    </w:p>
    <w:p w14:paraId="6B86FD8F">
      <w:pPr>
        <w:pStyle w:val="2"/>
        <w:keepNext w:val="0"/>
        <w:keepLines w:val="0"/>
        <w:pageBreakBefore w:val="0"/>
        <w:widowControl w:val="0"/>
        <w:kinsoku/>
        <w:wordWrap/>
        <w:overflowPunct/>
        <w:topLinePunct w:val="0"/>
        <w:autoSpaceDE/>
        <w:autoSpaceDN/>
        <w:bidi w:val="0"/>
        <w:adjustRightInd/>
        <w:snapToGrid w:val="0"/>
        <w:spacing w:after="0" w:line="360" w:lineRule="auto"/>
        <w:jc w:val="both"/>
        <w:textAlignment w:val="auto"/>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四、成果文件：</w:t>
      </w:r>
    </w:p>
    <w:p w14:paraId="7A24A62F">
      <w:pPr>
        <w:pStyle w:val="2"/>
        <w:keepNext w:val="0"/>
        <w:keepLines w:val="0"/>
        <w:pageBreakBefore w:val="0"/>
        <w:widowControl w:val="0"/>
        <w:kinsoku/>
        <w:wordWrap/>
        <w:overflowPunct/>
        <w:topLinePunct w:val="0"/>
        <w:autoSpaceDE/>
        <w:autoSpaceDN/>
        <w:bidi w:val="0"/>
        <w:adjustRightInd/>
        <w:snapToGrid w:val="0"/>
        <w:spacing w:after="0" w:line="360" w:lineRule="auto"/>
        <w:ind w:firstLine="420" w:firstLineChars="200"/>
        <w:jc w:val="both"/>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aps w:val="0"/>
          <w:color w:val="333333"/>
          <w:spacing w:val="0"/>
          <w:kern w:val="0"/>
          <w:sz w:val="21"/>
          <w:szCs w:val="21"/>
          <w:lang w:val="en-US" w:eastAsia="zh-CN" w:bidi="ar"/>
        </w:rPr>
        <w:t>包括但不限于：</w:t>
      </w:r>
      <w:r>
        <w:rPr>
          <w:rFonts w:hint="eastAsia" w:ascii="宋体" w:hAnsi="宋体" w:cs="宋体"/>
          <w:i w:val="0"/>
          <w:iCs w:val="0"/>
          <w:caps w:val="0"/>
          <w:color w:val="333333"/>
          <w:spacing w:val="0"/>
          <w:kern w:val="0"/>
          <w:sz w:val="21"/>
          <w:szCs w:val="21"/>
          <w:lang w:val="en-US" w:eastAsia="zh-CN" w:bidi="ar"/>
        </w:rPr>
        <w:t>勘察、测量</w:t>
      </w:r>
      <w:r>
        <w:rPr>
          <w:rFonts w:hint="eastAsia" w:ascii="宋体" w:hAnsi="宋体" w:eastAsia="宋体" w:cs="宋体"/>
          <w:i w:val="0"/>
          <w:iCs w:val="0"/>
          <w:caps w:val="0"/>
          <w:color w:val="333333"/>
          <w:spacing w:val="0"/>
          <w:kern w:val="0"/>
          <w:sz w:val="21"/>
          <w:szCs w:val="21"/>
          <w:lang w:val="en-US" w:eastAsia="zh-CN" w:bidi="ar"/>
        </w:rPr>
        <w:t>报告、</w:t>
      </w:r>
      <w:r>
        <w:rPr>
          <w:rFonts w:hint="eastAsia" w:ascii="宋体" w:hAnsi="宋体" w:eastAsia="宋体" w:cs="宋体"/>
          <w:color w:val="000000"/>
          <w:kern w:val="0"/>
          <w:sz w:val="21"/>
          <w:szCs w:val="21"/>
          <w:lang w:val="en-US" w:eastAsia="zh-CN" w:bidi="ar"/>
        </w:rPr>
        <w:t>初步设计报</w:t>
      </w:r>
      <w:r>
        <w:rPr>
          <w:rFonts w:hint="eastAsia" w:ascii="宋体" w:hAnsi="宋体" w:eastAsia="宋体" w:cs="宋体"/>
          <w:b w:val="0"/>
          <w:bCs w:val="0"/>
          <w:color w:val="auto"/>
          <w:sz w:val="21"/>
          <w:szCs w:val="21"/>
          <w:highlight w:val="none"/>
          <w:lang w:val="en-US" w:eastAsia="zh-CN"/>
        </w:rPr>
        <w:t>告等</w:t>
      </w:r>
      <w:r>
        <w:rPr>
          <w:rFonts w:hint="eastAsia" w:ascii="宋体" w:hAnsi="宋体" w:eastAsia="宋体" w:cs="宋体"/>
          <w:i w:val="0"/>
          <w:iCs w:val="0"/>
          <w:caps w:val="0"/>
          <w:color w:val="333333"/>
          <w:spacing w:val="0"/>
          <w:kern w:val="0"/>
          <w:sz w:val="21"/>
          <w:szCs w:val="21"/>
          <w:lang w:val="en-US" w:eastAsia="zh-CN" w:bidi="ar"/>
        </w:rPr>
        <w:t>。</w:t>
      </w:r>
    </w:p>
    <w:p w14:paraId="16FB1D17">
      <w:pPr>
        <w:pStyle w:val="2"/>
        <w:keepNext w:val="0"/>
        <w:keepLines w:val="0"/>
        <w:pageBreakBefore w:val="0"/>
        <w:widowControl w:val="0"/>
        <w:kinsoku/>
        <w:wordWrap/>
        <w:overflowPunct/>
        <w:topLinePunct w:val="0"/>
        <w:autoSpaceDE/>
        <w:autoSpaceDN/>
        <w:bidi w:val="0"/>
        <w:adjustRightInd/>
        <w:snapToGrid w:val="0"/>
        <w:spacing w:after="0" w:line="360" w:lineRule="auto"/>
        <w:jc w:val="both"/>
        <w:textAlignment w:val="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五、商务要求：</w:t>
      </w:r>
    </w:p>
    <w:p w14:paraId="300E9D0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bookmarkStart w:id="100" w:name="_Toc167714037"/>
      <w:bookmarkStart w:id="101" w:name="_Toc167715234"/>
      <w:bookmarkStart w:id="102" w:name="_Toc167712839"/>
      <w:r>
        <w:rPr>
          <w:rFonts w:hint="eastAsia" w:ascii="宋体" w:hAnsi="宋体" w:eastAsia="宋体" w:cs="宋体"/>
          <w:b w:val="0"/>
          <w:bCs w:val="0"/>
          <w:color w:val="auto"/>
          <w:sz w:val="21"/>
          <w:szCs w:val="21"/>
          <w:highlight w:val="none"/>
          <w:lang w:val="en-US" w:eastAsia="zh-CN"/>
        </w:rPr>
        <w:t>1</w:t>
      </w:r>
      <w:bookmarkEnd w:id="100"/>
      <w:bookmarkEnd w:id="101"/>
      <w:bookmarkEnd w:id="102"/>
      <w:r>
        <w:rPr>
          <w:rFonts w:hint="eastAsia" w:ascii="宋体" w:hAnsi="宋体" w:eastAsia="宋体" w:cs="宋体"/>
          <w:b w:val="0"/>
          <w:bCs w:val="0"/>
          <w:color w:val="auto"/>
          <w:sz w:val="21"/>
          <w:szCs w:val="21"/>
          <w:highlight w:val="none"/>
          <w:lang w:val="en-US" w:eastAsia="zh-CN"/>
        </w:rPr>
        <w:t>.服务期限：</w:t>
      </w:r>
      <w:r>
        <w:rPr>
          <w:rFonts w:hint="eastAsia" w:ascii="宋体" w:hAnsi="宋体" w:cs="宋体"/>
          <w:b w:val="0"/>
          <w:bCs w:val="0"/>
          <w:color w:val="auto"/>
          <w:sz w:val="21"/>
          <w:szCs w:val="21"/>
          <w:highlight w:val="none"/>
          <w:lang w:eastAsia="zh-CN"/>
        </w:rPr>
        <w:t>合同签订之日起</w:t>
      </w:r>
      <w:r>
        <w:rPr>
          <w:rFonts w:hint="eastAsia" w:ascii="宋体" w:hAnsi="宋体" w:cs="宋体"/>
          <w:b w:val="0"/>
          <w:bCs w:val="0"/>
          <w:color w:val="auto"/>
          <w:sz w:val="21"/>
          <w:szCs w:val="21"/>
          <w:highlight w:val="none"/>
          <w:lang w:val="en-US" w:eastAsia="zh-CN"/>
        </w:rPr>
        <w:t>两个月内</w:t>
      </w:r>
      <w:r>
        <w:rPr>
          <w:rFonts w:hint="eastAsia" w:ascii="宋体" w:hAnsi="宋体" w:eastAsia="宋体" w:cs="宋体"/>
          <w:b w:val="0"/>
          <w:bCs w:val="0"/>
          <w:color w:val="auto"/>
          <w:sz w:val="21"/>
          <w:szCs w:val="21"/>
          <w:highlight w:val="none"/>
          <w:lang w:val="en-US" w:eastAsia="zh-CN"/>
        </w:rPr>
        <w:t>。</w:t>
      </w:r>
    </w:p>
    <w:p w14:paraId="484769D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2、付款方式：</w:t>
      </w:r>
    </w:p>
    <w:p w14:paraId="2108545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color w:val="000000"/>
          <w:kern w:val="0"/>
          <w:sz w:val="21"/>
          <w:szCs w:val="21"/>
          <w:lang w:val="en-US" w:eastAsia="zh-CN" w:bidi="ar"/>
        </w:rPr>
        <w:t>合同签订后，乙方向甲方提交评审通过后的成果报告及与合同等额的增值税发票后，甲方15日内一次性付</w:t>
      </w:r>
      <w:r>
        <w:rPr>
          <w:rFonts w:hint="eastAsia" w:ascii="宋体" w:hAnsi="宋体" w:cs="宋体"/>
          <w:color w:val="000000"/>
          <w:kern w:val="0"/>
          <w:sz w:val="21"/>
          <w:szCs w:val="21"/>
          <w:lang w:val="en-US" w:eastAsia="zh-CN" w:bidi="ar"/>
        </w:rPr>
        <w:t>合同价款的100%。</w:t>
      </w:r>
    </w:p>
    <w:p w14:paraId="3C9D3F07">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质量要求：符合国家、行业标准以及有关技术规范</w:t>
      </w:r>
      <w:r>
        <w:rPr>
          <w:rFonts w:hint="eastAsia" w:ascii="宋体" w:hAnsi="宋体" w:cs="宋体"/>
          <w:b w:val="0"/>
          <w:bCs w:val="0"/>
          <w:color w:val="auto"/>
          <w:sz w:val="21"/>
          <w:szCs w:val="21"/>
          <w:highlight w:val="none"/>
          <w:lang w:val="en-US" w:eastAsia="zh-CN"/>
        </w:rPr>
        <w:t>及采购人要求</w:t>
      </w:r>
      <w:r>
        <w:rPr>
          <w:rFonts w:hint="eastAsia" w:ascii="宋体" w:hAnsi="宋体" w:eastAsia="宋体" w:cs="宋体"/>
          <w:b w:val="0"/>
          <w:bCs w:val="0"/>
          <w:color w:val="auto"/>
          <w:sz w:val="21"/>
          <w:szCs w:val="21"/>
          <w:highlight w:val="none"/>
          <w:lang w:eastAsia="zh-CN"/>
        </w:rPr>
        <w:t>。</w:t>
      </w:r>
    </w:p>
    <w:p w14:paraId="025EEEB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eastAsia="zh-CN"/>
        </w:rPr>
        <w:t>、验收</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eastAsia="zh-CN"/>
        </w:rPr>
        <w:t>由采购人组织有关专家进行项目评审，专家评审会评审通过即为合格。</w:t>
      </w:r>
    </w:p>
    <w:p w14:paraId="7B8D80B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color w:val="auto"/>
          <w:sz w:val="21"/>
          <w:szCs w:val="21"/>
          <w:highlight w:val="none"/>
          <w:lang w:eastAsia="zh-CN"/>
        </w:rPr>
        <w:t>、其他事项</w:t>
      </w:r>
    </w:p>
    <w:p w14:paraId="3CE5A2D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5.1</w:t>
      </w:r>
      <w:r>
        <w:rPr>
          <w:rFonts w:hint="eastAsia" w:ascii="宋体" w:hAnsi="宋体" w:eastAsia="宋体" w:cs="宋体"/>
          <w:b w:val="0"/>
          <w:bCs w:val="0"/>
          <w:color w:val="auto"/>
          <w:sz w:val="21"/>
          <w:szCs w:val="21"/>
          <w:highlight w:val="none"/>
          <w:lang w:eastAsia="zh-CN"/>
        </w:rPr>
        <w:t>采购活动受国家法律保护和约束。双方遵守法律、法规和职业道德，凡在磋商过程中弄虚作假，一经查出，追究责任方的法律、经济责任。</w:t>
      </w:r>
    </w:p>
    <w:p w14:paraId="472A0EB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5.2</w:t>
      </w:r>
      <w:r>
        <w:rPr>
          <w:rFonts w:hint="eastAsia" w:ascii="宋体" w:hAnsi="宋体" w:eastAsia="宋体" w:cs="宋体"/>
          <w:b w:val="0"/>
          <w:bCs w:val="0"/>
          <w:color w:val="auto"/>
          <w:sz w:val="21"/>
          <w:szCs w:val="21"/>
          <w:highlight w:val="none"/>
          <w:lang w:eastAsia="zh-CN"/>
        </w:rPr>
        <w:t>双方发生合同争议时，应友好协商解决，不能达成协议时，及时向有关部门要求调解、仲裁或诉讼，发生索赔按现行法律、法规和合同执行。</w:t>
      </w:r>
    </w:p>
    <w:p w14:paraId="217B9A1A">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5.3</w:t>
      </w:r>
      <w:r>
        <w:rPr>
          <w:rFonts w:hint="eastAsia" w:ascii="宋体" w:hAnsi="宋体" w:eastAsia="宋体" w:cs="宋体"/>
          <w:b w:val="0"/>
          <w:bCs w:val="0"/>
          <w:color w:val="auto"/>
          <w:sz w:val="21"/>
          <w:szCs w:val="21"/>
          <w:highlight w:val="none"/>
          <w:lang w:eastAsia="zh-CN"/>
        </w:rPr>
        <w:t>本文件未尽事宜按《中华人民共和国政府采购法》、《中华人民共和国政府采购法实施条例》及有关规定执行。</w:t>
      </w:r>
    </w:p>
    <w:p w14:paraId="2B2A16D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5.4</w:t>
      </w:r>
      <w:r>
        <w:rPr>
          <w:rFonts w:hint="eastAsia" w:ascii="宋体" w:hAnsi="宋体" w:eastAsia="宋体" w:cs="宋体"/>
          <w:b w:val="0"/>
          <w:bCs w:val="0"/>
          <w:color w:val="auto"/>
          <w:sz w:val="21"/>
          <w:szCs w:val="21"/>
          <w:highlight w:val="none"/>
          <w:lang w:eastAsia="zh-CN"/>
        </w:rPr>
        <w:t>成交单位不得对服务业务分包或转包。否则采购人有权终止合同，成交单位要承担由此造成的一切经济损失。</w:t>
      </w:r>
    </w:p>
    <w:p w14:paraId="3958A454">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5.5</w:t>
      </w:r>
      <w:r>
        <w:rPr>
          <w:rFonts w:hint="eastAsia" w:ascii="宋体" w:hAnsi="宋体" w:eastAsia="宋体" w:cs="宋体"/>
          <w:b w:val="0"/>
          <w:bCs w:val="0"/>
          <w:color w:val="auto"/>
          <w:sz w:val="21"/>
          <w:szCs w:val="21"/>
          <w:highlight w:val="none"/>
          <w:lang w:eastAsia="zh-CN"/>
        </w:rPr>
        <w:t xml:space="preserve">成交单位不得在服务期间对项目管理人员进行更换，如遇特殊情况须经采购人同意；采购人发现项目管理人员工作不力时，有权提出更换人员，更换的人员必须及时到场。                                                                                           </w:t>
      </w:r>
    </w:p>
    <w:p w14:paraId="7FC7EC8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lang w:eastAsia="zh-CN"/>
        </w:rPr>
        <w:t>、违约责任</w:t>
      </w:r>
    </w:p>
    <w:p w14:paraId="7B732342">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1</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eastAsia="zh-CN"/>
        </w:rPr>
        <w:t>按《中华人民共和国民法典》中的相关条款执行。</w:t>
      </w:r>
    </w:p>
    <w:p w14:paraId="282C1519">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2</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eastAsia="zh-CN"/>
        </w:rPr>
        <w:t>未按合同要求提供服务或服务质量不能满足技术要求，采购人有权终止合同，并对供方违约行为进行追究，同时按《中华人民共和国政府采购法》的有关规定进行处罚。</w:t>
      </w:r>
    </w:p>
    <w:p w14:paraId="5349A4DC">
      <w:pPr>
        <w:spacing w:line="480" w:lineRule="exact"/>
        <w:ind w:firstLine="482" w:firstLineChars="200"/>
        <w:rPr>
          <w:rFonts w:hint="eastAsia" w:ascii="宋体" w:hAnsi="宋体" w:eastAsia="宋体" w:cs="宋体"/>
          <w:b/>
          <w:color w:val="auto"/>
          <w:sz w:val="24"/>
          <w:highlight w:val="none"/>
        </w:rPr>
      </w:pPr>
    </w:p>
    <w:p w14:paraId="1EF1EC93">
      <w:pPr>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Times New Roman"/>
          <w:b/>
          <w:color w:val="auto"/>
          <w:kern w:val="44"/>
          <w:sz w:val="44"/>
          <w:szCs w:val="44"/>
          <w:lang w:val="en-US" w:eastAsia="zh-CN"/>
        </w:rPr>
      </w:pPr>
      <w:r>
        <w:rPr>
          <w:rFonts w:hint="eastAsia" w:ascii="宋体" w:hAnsi="宋体" w:eastAsia="宋体" w:cs="宋体"/>
          <w:b/>
          <w:color w:val="auto"/>
          <w:sz w:val="24"/>
          <w:highlight w:val="none"/>
        </w:rPr>
        <w:t>注：商务要求为实质性要求，不得负偏离。</w:t>
      </w:r>
    </w:p>
    <w:p w14:paraId="56B7A0CE">
      <w:pPr>
        <w:rPr>
          <w:rFonts w:hint="eastAsia" w:ascii="宋体" w:hAnsi="宋体" w:eastAsia="宋体" w:cs="Times New Roman"/>
          <w:b/>
          <w:color w:val="auto"/>
          <w:kern w:val="44"/>
          <w:sz w:val="44"/>
          <w:szCs w:val="44"/>
          <w:lang w:val="en-US" w:eastAsia="zh-CN"/>
        </w:rPr>
      </w:pPr>
      <w:r>
        <w:rPr>
          <w:rFonts w:hint="eastAsia" w:ascii="宋体" w:hAnsi="宋体" w:eastAsia="宋体" w:cs="Times New Roman"/>
          <w:b/>
          <w:color w:val="auto"/>
          <w:kern w:val="44"/>
          <w:sz w:val="44"/>
          <w:szCs w:val="44"/>
          <w:lang w:val="en-US" w:eastAsia="zh-CN"/>
        </w:rPr>
        <w:br w:type="page"/>
      </w:r>
    </w:p>
    <w:p w14:paraId="3C5266A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2761" w:leftChars="0"/>
        <w:jc w:val="both"/>
        <w:textAlignment w:val="auto"/>
        <w:outlineLvl w:val="0"/>
        <w:rPr>
          <w:rFonts w:hint="eastAsia" w:ascii="宋体" w:hAnsi="宋体"/>
          <w:b/>
          <w:color w:val="auto"/>
          <w:kern w:val="44"/>
          <w:sz w:val="44"/>
          <w:szCs w:val="44"/>
        </w:rPr>
      </w:pPr>
      <w:bookmarkStart w:id="103" w:name="_Toc24367"/>
      <w:r>
        <w:rPr>
          <w:rFonts w:hint="eastAsia" w:ascii="宋体" w:hAnsi="宋体" w:eastAsia="宋体" w:cs="Times New Roman"/>
          <w:b/>
          <w:color w:val="auto"/>
          <w:kern w:val="44"/>
          <w:sz w:val="44"/>
          <w:szCs w:val="44"/>
          <w:lang w:val="en-US" w:eastAsia="zh-CN"/>
        </w:rPr>
        <w:t>第五章 主</w:t>
      </w:r>
      <w:r>
        <w:rPr>
          <w:rFonts w:hint="eastAsia" w:ascii="宋体" w:hAnsi="宋体"/>
          <w:b/>
          <w:color w:val="auto"/>
          <w:kern w:val="44"/>
          <w:sz w:val="44"/>
          <w:szCs w:val="44"/>
          <w:lang w:val="en-US" w:eastAsia="zh-CN"/>
        </w:rPr>
        <w:t>要</w:t>
      </w:r>
      <w:r>
        <w:rPr>
          <w:rFonts w:hint="eastAsia" w:ascii="宋体" w:hAnsi="宋体"/>
          <w:b/>
          <w:color w:val="auto"/>
          <w:kern w:val="44"/>
          <w:sz w:val="44"/>
          <w:szCs w:val="44"/>
        </w:rPr>
        <w:t>合同主要条款</w:t>
      </w:r>
      <w:bookmarkEnd w:id="99"/>
      <w:bookmarkEnd w:id="103"/>
      <w:bookmarkStart w:id="104" w:name="_Toc15056"/>
    </w:p>
    <w:p w14:paraId="3AF9B615">
      <w:pPr>
        <w:pStyle w:val="39"/>
        <w:numPr>
          <w:ilvl w:val="0"/>
          <w:numId w:val="0"/>
        </w:numPr>
        <w:jc w:val="center"/>
        <w:rPr>
          <w:rFonts w:hint="eastAsia" w:eastAsia="仿宋_GB2312"/>
          <w:sz w:val="28"/>
          <w:szCs w:val="36"/>
          <w:lang w:eastAsia="zh-CN"/>
        </w:rPr>
      </w:pPr>
      <w:r>
        <w:rPr>
          <w:rFonts w:hint="eastAsia"/>
          <w:sz w:val="28"/>
          <w:szCs w:val="36"/>
          <w:lang w:eastAsia="zh-CN"/>
        </w:rPr>
        <w:t>（</w:t>
      </w:r>
      <w:r>
        <w:rPr>
          <w:rFonts w:hint="eastAsia"/>
          <w:sz w:val="28"/>
          <w:szCs w:val="36"/>
          <w:lang w:val="en-US" w:eastAsia="zh-CN"/>
        </w:rPr>
        <w:t>参考格式</w:t>
      </w:r>
      <w:r>
        <w:rPr>
          <w:rFonts w:hint="eastAsia"/>
          <w:sz w:val="28"/>
          <w:szCs w:val="36"/>
          <w:lang w:eastAsia="zh-CN"/>
        </w:rPr>
        <w:t>）</w:t>
      </w:r>
    </w:p>
    <w:p w14:paraId="484DF287">
      <w:pPr>
        <w:jc w:val="center"/>
        <w:rPr>
          <w:rFonts w:hint="eastAsia" w:ascii="宋体" w:hAnsi="宋体" w:eastAsia="宋体" w:cs="宋体"/>
          <w:color w:val="auto"/>
          <w:sz w:val="24"/>
          <w:szCs w:val="24"/>
          <w:highlight w:val="none"/>
          <w:lang w:eastAsia="zh-CN"/>
        </w:rPr>
      </w:pPr>
      <w:r>
        <w:rPr>
          <w:rFonts w:hint="eastAsia" w:ascii="宋体" w:hAnsi="宋体"/>
          <w:b/>
          <w:sz w:val="40"/>
          <w:szCs w:val="40"/>
          <w:lang w:eastAsia="zh-CN"/>
        </w:rPr>
        <w:t>旬邑县土桥镇地质灾害风险调查评价项目</w:t>
      </w:r>
    </w:p>
    <w:p w14:paraId="2C20EBBF">
      <w:pPr>
        <w:rPr>
          <w:rFonts w:hint="eastAsia" w:ascii="宋体" w:hAnsi="宋体" w:eastAsia="宋体" w:cs="宋体"/>
          <w:color w:val="auto"/>
          <w:sz w:val="24"/>
          <w:szCs w:val="24"/>
          <w:highlight w:val="none"/>
        </w:rPr>
      </w:pPr>
    </w:p>
    <w:p w14:paraId="6C93232A">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p w14:paraId="65885FB2">
      <w:pPr>
        <w:spacing w:line="480" w:lineRule="auto"/>
        <w:rPr>
          <w:rFonts w:hint="eastAsia" w:ascii="宋体" w:hAnsi="宋体" w:eastAsia="宋体" w:cs="宋体"/>
          <w:b/>
          <w:color w:val="auto"/>
          <w:sz w:val="24"/>
          <w:szCs w:val="24"/>
          <w:highlight w:val="none"/>
        </w:rPr>
      </w:pPr>
    </w:p>
    <w:p w14:paraId="73B5AFDB">
      <w:pPr>
        <w:spacing w:line="480" w:lineRule="auto"/>
        <w:rPr>
          <w:rFonts w:hint="eastAsia" w:ascii="宋体" w:hAnsi="宋体" w:eastAsia="宋体" w:cs="宋体"/>
          <w:b/>
          <w:color w:val="auto"/>
          <w:sz w:val="24"/>
          <w:szCs w:val="24"/>
          <w:highlight w:val="none"/>
        </w:rPr>
      </w:pPr>
    </w:p>
    <w:p w14:paraId="3D172A16">
      <w:pPr>
        <w:spacing w:line="480" w:lineRule="auto"/>
        <w:rPr>
          <w:rFonts w:hint="eastAsia" w:ascii="宋体" w:hAnsi="宋体" w:eastAsia="宋体" w:cs="宋体"/>
          <w:b/>
          <w:color w:val="auto"/>
          <w:sz w:val="24"/>
          <w:szCs w:val="24"/>
          <w:highlight w:val="none"/>
        </w:rPr>
      </w:pPr>
    </w:p>
    <w:p w14:paraId="371CA0BD">
      <w:pPr>
        <w:spacing w:line="480" w:lineRule="auto"/>
        <w:rPr>
          <w:rFonts w:hint="eastAsia" w:ascii="宋体" w:hAnsi="宋体" w:eastAsia="宋体" w:cs="宋体"/>
          <w:b/>
          <w:color w:val="auto"/>
          <w:sz w:val="24"/>
          <w:szCs w:val="24"/>
          <w:highlight w:val="none"/>
        </w:rPr>
      </w:pPr>
    </w:p>
    <w:p w14:paraId="761FB631">
      <w:pPr>
        <w:spacing w:line="480" w:lineRule="auto"/>
        <w:rPr>
          <w:rFonts w:hint="eastAsia" w:ascii="宋体" w:hAnsi="宋体" w:eastAsia="宋体" w:cs="宋体"/>
          <w:b/>
          <w:color w:val="auto"/>
          <w:sz w:val="24"/>
          <w:szCs w:val="24"/>
          <w:highlight w:val="none"/>
        </w:rPr>
      </w:pPr>
    </w:p>
    <w:p w14:paraId="0D7926B7">
      <w:pPr>
        <w:spacing w:line="480" w:lineRule="auto"/>
        <w:rPr>
          <w:rFonts w:hint="eastAsia" w:ascii="宋体" w:hAnsi="宋体" w:eastAsia="宋体" w:cs="宋体"/>
          <w:b/>
          <w:color w:val="auto"/>
          <w:sz w:val="24"/>
          <w:szCs w:val="24"/>
          <w:highlight w:val="none"/>
        </w:rPr>
      </w:pPr>
    </w:p>
    <w:p w14:paraId="3BC2BEDE">
      <w:pPr>
        <w:spacing w:line="480" w:lineRule="auto"/>
        <w:rPr>
          <w:rFonts w:hint="eastAsia" w:ascii="宋体" w:hAnsi="宋体" w:eastAsia="宋体" w:cs="宋体"/>
          <w:b/>
          <w:color w:val="auto"/>
          <w:sz w:val="24"/>
          <w:szCs w:val="24"/>
          <w:highlight w:val="none"/>
        </w:rPr>
      </w:pPr>
    </w:p>
    <w:p w14:paraId="6E7F7196">
      <w:pPr>
        <w:pStyle w:val="8"/>
        <w:rPr>
          <w:rFonts w:hint="eastAsia"/>
        </w:rPr>
      </w:pPr>
    </w:p>
    <w:p w14:paraId="591371DB">
      <w:pPr>
        <w:spacing w:line="480" w:lineRule="auto"/>
        <w:rPr>
          <w:rFonts w:hint="eastAsia" w:ascii="宋体" w:hAnsi="宋体" w:eastAsia="宋体" w:cs="宋体"/>
          <w:b/>
          <w:color w:val="auto"/>
          <w:sz w:val="24"/>
          <w:szCs w:val="24"/>
          <w:highlight w:val="none"/>
        </w:rPr>
      </w:pPr>
    </w:p>
    <w:p w14:paraId="76FD5FE9">
      <w:pPr>
        <w:spacing w:line="48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p>
    <w:p w14:paraId="4603BAB0">
      <w:pPr>
        <w:autoSpaceDE w:val="0"/>
        <w:autoSpaceDN w:val="0"/>
        <w:adjustRightInd w:val="0"/>
        <w:spacing w:before="57" w:line="480" w:lineRule="auto"/>
        <w:ind w:firstLine="960" w:firstLineChars="400"/>
        <w:rPr>
          <w:rFonts w:hint="default" w:ascii="宋体" w:hAnsi="宋体" w:eastAsia="宋体" w:cs="宋体"/>
          <w:color w:val="auto"/>
          <w:kern w:val="24"/>
          <w:sz w:val="24"/>
          <w:szCs w:val="24"/>
          <w:highlight w:val="none"/>
          <w:u w:val="single"/>
          <w:lang w:val="en-US" w:eastAsia="zh-CN"/>
        </w:rPr>
      </w:pPr>
      <w:r>
        <w:rPr>
          <w:rFonts w:hint="eastAsia" w:ascii="宋体" w:hAnsi="宋体" w:eastAsia="宋体" w:cs="宋体"/>
          <w:color w:val="auto"/>
          <w:kern w:val="24"/>
          <w:sz w:val="24"/>
          <w:szCs w:val="24"/>
          <w:highlight w:val="none"/>
          <w:lang w:val="en-US" w:eastAsia="zh-CN"/>
        </w:rPr>
        <w:t>甲       方</w:t>
      </w:r>
      <w:r>
        <w:rPr>
          <w:rFonts w:hint="eastAsia" w:ascii="宋体" w:hAnsi="宋体" w:eastAsia="宋体" w:cs="宋体"/>
          <w:color w:val="auto"/>
          <w:kern w:val="24"/>
          <w:sz w:val="24"/>
          <w:szCs w:val="24"/>
          <w:highlight w:val="none"/>
        </w:rPr>
        <w:t>：</w:t>
      </w:r>
      <w:r>
        <w:rPr>
          <w:rFonts w:hint="eastAsia" w:ascii="宋体" w:hAnsi="宋体" w:cs="宋体"/>
          <w:color w:val="auto"/>
          <w:kern w:val="24"/>
          <w:sz w:val="24"/>
          <w:szCs w:val="24"/>
          <w:highlight w:val="none"/>
          <w:u w:val="single"/>
          <w:lang w:val="en-US" w:eastAsia="zh-CN"/>
        </w:rPr>
        <w:t xml:space="preserve">旬邑县自然资源局 </w:t>
      </w:r>
    </w:p>
    <w:p w14:paraId="32E023BF">
      <w:pPr>
        <w:autoSpaceDE w:val="0"/>
        <w:autoSpaceDN w:val="0"/>
        <w:adjustRightInd w:val="0"/>
        <w:spacing w:before="57" w:line="480" w:lineRule="auto"/>
        <w:ind w:firstLine="960" w:firstLineChars="400"/>
        <w:rPr>
          <w:rFonts w:hint="default" w:ascii="宋体" w:hAnsi="宋体" w:eastAsia="宋体" w:cs="宋体"/>
          <w:color w:val="auto"/>
          <w:kern w:val="24"/>
          <w:sz w:val="24"/>
          <w:szCs w:val="24"/>
          <w:highlight w:val="none"/>
          <w:lang w:val="en-US" w:eastAsia="zh-CN"/>
        </w:rPr>
      </w:pPr>
      <w:r>
        <w:rPr>
          <w:rFonts w:hint="eastAsia" w:ascii="宋体" w:hAnsi="宋体" w:eastAsia="宋体" w:cs="宋体"/>
          <w:color w:val="auto"/>
          <w:kern w:val="24"/>
          <w:sz w:val="24"/>
          <w:szCs w:val="24"/>
          <w:highlight w:val="none"/>
          <w:lang w:val="en-US" w:eastAsia="zh-CN"/>
        </w:rPr>
        <w:t>乙       方</w:t>
      </w:r>
      <w:r>
        <w:rPr>
          <w:rFonts w:hint="eastAsia" w:ascii="宋体" w:hAnsi="宋体" w:eastAsia="宋体" w:cs="宋体"/>
          <w:color w:val="auto"/>
          <w:kern w:val="24"/>
          <w:sz w:val="24"/>
          <w:szCs w:val="24"/>
          <w:highlight w:val="none"/>
        </w:rPr>
        <w:t>：</w:t>
      </w:r>
      <w:r>
        <w:rPr>
          <w:rFonts w:hint="eastAsia" w:ascii="宋体" w:hAnsi="宋体" w:eastAsia="宋体" w:cs="宋体"/>
          <w:color w:val="auto"/>
          <w:kern w:val="24"/>
          <w:sz w:val="24"/>
          <w:szCs w:val="24"/>
          <w:highlight w:val="none"/>
          <w:u w:val="single"/>
        </w:rPr>
        <w:t xml:space="preserve">                         </w:t>
      </w:r>
      <w:r>
        <w:rPr>
          <w:rFonts w:hint="eastAsia" w:ascii="宋体" w:hAnsi="宋体" w:eastAsia="宋体" w:cs="宋体"/>
          <w:color w:val="auto"/>
          <w:kern w:val="24"/>
          <w:sz w:val="24"/>
          <w:szCs w:val="24"/>
          <w:highlight w:val="none"/>
          <w:u w:val="single"/>
          <w:lang w:val="en-US" w:eastAsia="zh-CN"/>
        </w:rPr>
        <w:t xml:space="preserve">       </w:t>
      </w:r>
    </w:p>
    <w:p w14:paraId="72EFACC6">
      <w:pPr>
        <w:autoSpaceDE w:val="0"/>
        <w:autoSpaceDN w:val="0"/>
        <w:adjustRightInd w:val="0"/>
        <w:spacing w:before="57" w:line="480" w:lineRule="auto"/>
        <w:ind w:firstLine="960" w:firstLineChars="400"/>
        <w:rPr>
          <w:rFonts w:hint="eastAsia" w:ascii="宋体" w:hAnsi="宋体" w:eastAsia="宋体" w:cs="Times New Roman"/>
          <w:b w:val="0"/>
          <w:bCs w:val="0"/>
          <w:sz w:val="24"/>
          <w:highlight w:val="none"/>
        </w:rPr>
      </w:pPr>
      <w:r>
        <w:rPr>
          <w:rFonts w:hint="eastAsia" w:ascii="宋体" w:hAnsi="宋体" w:eastAsia="宋体" w:cs="宋体"/>
          <w:color w:val="auto"/>
          <w:kern w:val="24"/>
          <w:sz w:val="24"/>
          <w:szCs w:val="24"/>
          <w:highlight w:val="none"/>
        </w:rPr>
        <w:t>签 订 日 期：</w:t>
      </w:r>
      <w:r>
        <w:rPr>
          <w:rFonts w:hint="eastAsia" w:ascii="宋体" w:hAnsi="宋体" w:eastAsia="宋体" w:cs="宋体"/>
          <w:color w:val="auto"/>
          <w:kern w:val="24"/>
          <w:sz w:val="24"/>
          <w:szCs w:val="24"/>
          <w:highlight w:val="none"/>
          <w:u w:val="single"/>
        </w:rPr>
        <w:t xml:space="preserve">                         </w:t>
      </w:r>
      <w:r>
        <w:rPr>
          <w:rFonts w:hint="eastAsia" w:ascii="宋体" w:hAnsi="宋体" w:eastAsia="宋体" w:cs="宋体"/>
          <w:color w:val="auto"/>
          <w:kern w:val="24"/>
          <w:sz w:val="24"/>
          <w:szCs w:val="24"/>
          <w:highlight w:val="none"/>
          <w:u w:val="single"/>
          <w:lang w:val="en-US" w:eastAsia="zh-CN"/>
        </w:rPr>
        <w:t xml:space="preserve">       </w:t>
      </w:r>
      <w:r>
        <w:rPr>
          <w:rFonts w:hint="eastAsia" w:ascii="宋体" w:hAnsi="宋体" w:eastAsia="宋体" w:cs="宋体"/>
          <w:color w:val="auto"/>
          <w:sz w:val="24"/>
          <w:szCs w:val="24"/>
          <w:highlight w:val="none"/>
        </w:rPr>
        <w:br w:type="page"/>
      </w:r>
      <w:r>
        <w:rPr>
          <w:rFonts w:hint="eastAsia" w:ascii="宋体" w:hAnsi="宋体" w:eastAsia="宋体" w:cs="Times New Roman"/>
          <w:b w:val="0"/>
          <w:bCs w:val="0"/>
          <w:sz w:val="24"/>
          <w:highlight w:val="none"/>
          <w:lang w:eastAsia="zh-CN"/>
        </w:rPr>
        <w:t>甲方</w:t>
      </w:r>
      <w:r>
        <w:rPr>
          <w:rFonts w:hint="eastAsia" w:ascii="宋体" w:hAnsi="宋体" w:eastAsia="宋体" w:cs="Times New Roman"/>
          <w:b w:val="0"/>
          <w:bCs w:val="0"/>
          <w:sz w:val="24"/>
          <w:highlight w:val="none"/>
        </w:rPr>
        <w:t>：</w:t>
      </w:r>
      <w:r>
        <w:rPr>
          <w:rFonts w:hint="eastAsia" w:ascii="宋体" w:hAnsi="宋体" w:eastAsia="宋体" w:cs="Times New Roman"/>
          <w:b w:val="0"/>
          <w:bCs w:val="0"/>
          <w:sz w:val="24"/>
          <w:highlight w:val="none"/>
          <w:u w:val="single"/>
          <w:lang w:val="en-US" w:eastAsia="zh-CN"/>
        </w:rPr>
        <w:t xml:space="preserve">                               </w:t>
      </w:r>
      <w:r>
        <w:rPr>
          <w:rFonts w:hint="eastAsia" w:ascii="宋体" w:hAnsi="宋体" w:eastAsia="宋体" w:cs="Times New Roman"/>
          <w:b w:val="0"/>
          <w:bCs w:val="0"/>
          <w:sz w:val="24"/>
          <w:highlight w:val="none"/>
        </w:rPr>
        <w:t xml:space="preserve">     </w:t>
      </w:r>
      <w:r>
        <w:rPr>
          <w:rFonts w:hint="eastAsia" w:ascii="宋体" w:hAnsi="宋体" w:eastAsia="宋体" w:cs="Times New Roman"/>
          <w:b w:val="0"/>
          <w:bCs w:val="0"/>
          <w:sz w:val="24"/>
          <w:highlight w:val="none"/>
          <w:lang w:val="en-US" w:eastAsia="zh-CN"/>
        </w:rPr>
        <w:t xml:space="preserve">                          </w:t>
      </w:r>
      <w:r>
        <w:rPr>
          <w:rFonts w:hint="eastAsia" w:ascii="宋体" w:hAnsi="宋体" w:eastAsia="宋体" w:cs="Times New Roman"/>
          <w:b w:val="0"/>
          <w:bCs w:val="0"/>
          <w:sz w:val="24"/>
          <w:highlight w:val="none"/>
        </w:rPr>
        <w:t xml:space="preserve">        </w:t>
      </w:r>
    </w:p>
    <w:p w14:paraId="0787515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sz w:val="24"/>
          <w:highlight w:val="none"/>
        </w:rPr>
      </w:pPr>
      <w:r>
        <w:rPr>
          <w:rFonts w:hint="eastAsia" w:ascii="宋体" w:hAnsi="宋体" w:eastAsia="宋体" w:cs="Times New Roman"/>
          <w:b w:val="0"/>
          <w:bCs w:val="0"/>
          <w:sz w:val="24"/>
          <w:highlight w:val="none"/>
          <w:lang w:eastAsia="zh-CN"/>
        </w:rPr>
        <w:t>乙方</w:t>
      </w:r>
      <w:r>
        <w:rPr>
          <w:rFonts w:hint="eastAsia" w:ascii="宋体" w:hAnsi="宋体" w:eastAsia="宋体" w:cs="Times New Roman"/>
          <w:b w:val="0"/>
          <w:bCs w:val="0"/>
          <w:sz w:val="24"/>
          <w:highlight w:val="none"/>
        </w:rPr>
        <w:t>：</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 xml:space="preserve">                              </w:t>
      </w:r>
      <w:r>
        <w:rPr>
          <w:rFonts w:hint="eastAsia" w:ascii="宋体" w:hAnsi="宋体" w:eastAsia="宋体" w:cs="Times New Roman"/>
          <w:sz w:val="24"/>
          <w:highlight w:val="none"/>
        </w:rPr>
        <w:t xml:space="preserve">         </w:t>
      </w:r>
    </w:p>
    <w:p w14:paraId="338798A8">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center"/>
        <w:rPr>
          <w:rFonts w:hint="eastAsia" w:ascii="宋体" w:hAnsi="宋体" w:eastAsia="宋体" w:cs="Times New Roman"/>
          <w:kern w:val="2"/>
          <w:sz w:val="24"/>
          <w:szCs w:val="21"/>
          <w:highlight w:val="none"/>
          <w:lang w:val="en-US" w:eastAsia="zh-CN" w:bidi="ar-SA"/>
        </w:rPr>
      </w:pPr>
      <w:r>
        <w:rPr>
          <w:rFonts w:hint="eastAsia" w:ascii="宋体" w:hAnsi="宋体" w:eastAsia="宋体" w:cs="Times New Roman"/>
          <w:kern w:val="2"/>
          <w:sz w:val="24"/>
          <w:szCs w:val="21"/>
          <w:highlight w:val="none"/>
          <w:lang w:val="en-US" w:eastAsia="zh-CN" w:bidi="ar-SA"/>
        </w:rPr>
        <w:t>按照《中华人民共和国民法典》《中华人民共和国政府采购法》《中华人民共和国政府采购实施条例》等规定，依据</w:t>
      </w:r>
      <w:r>
        <w:rPr>
          <w:rFonts w:hint="eastAsia" w:ascii="宋体" w:hAnsi="宋体" w:eastAsia="宋体" w:cs="Times New Roman"/>
          <w:kern w:val="2"/>
          <w:sz w:val="24"/>
          <w:szCs w:val="21"/>
          <w:highlight w:val="none"/>
          <w:u w:val="single"/>
          <w:lang w:val="en-US" w:eastAsia="zh-CN" w:bidi="ar-SA"/>
        </w:rPr>
        <w:t xml:space="preserve">      </w:t>
      </w:r>
      <w:r>
        <w:rPr>
          <w:rFonts w:hint="eastAsia" w:ascii="宋体" w:hAnsi="宋体" w:eastAsia="宋体" w:cs="Times New Roman"/>
          <w:kern w:val="2"/>
          <w:sz w:val="24"/>
          <w:szCs w:val="21"/>
          <w:highlight w:val="none"/>
          <w:lang w:val="en-US" w:eastAsia="zh-CN" w:bidi="ar-SA"/>
        </w:rPr>
        <w:t>年</w:t>
      </w:r>
      <w:r>
        <w:rPr>
          <w:rFonts w:hint="eastAsia" w:ascii="宋体" w:hAnsi="宋体" w:eastAsia="宋体" w:cs="Times New Roman"/>
          <w:kern w:val="2"/>
          <w:sz w:val="24"/>
          <w:szCs w:val="21"/>
          <w:highlight w:val="none"/>
          <w:u w:val="single"/>
          <w:lang w:val="en-US" w:eastAsia="zh-CN" w:bidi="ar-SA"/>
        </w:rPr>
        <w:t xml:space="preserve">      </w:t>
      </w:r>
      <w:r>
        <w:rPr>
          <w:rFonts w:hint="eastAsia" w:ascii="宋体" w:hAnsi="宋体" w:eastAsia="宋体" w:cs="Times New Roman"/>
          <w:kern w:val="2"/>
          <w:sz w:val="24"/>
          <w:szCs w:val="21"/>
          <w:highlight w:val="none"/>
          <w:lang w:val="en-US" w:eastAsia="zh-CN" w:bidi="ar-SA"/>
        </w:rPr>
        <w:t>月政府采购完成的《</w:t>
      </w:r>
      <w:r>
        <w:rPr>
          <w:rFonts w:hint="eastAsia" w:ascii="宋体" w:hAnsi="宋体" w:cs="Times New Roman"/>
          <w:kern w:val="2"/>
          <w:sz w:val="24"/>
          <w:szCs w:val="21"/>
          <w:highlight w:val="none"/>
          <w:lang w:val="en-US" w:eastAsia="zh-CN" w:bidi="ar-SA"/>
        </w:rPr>
        <w:t>旬邑县土桥镇地质灾害风险调查评价项目</w:t>
      </w:r>
      <w:r>
        <w:rPr>
          <w:rFonts w:hint="eastAsia" w:ascii="宋体" w:hAnsi="宋体" w:eastAsia="宋体" w:cs="Times New Roman"/>
          <w:kern w:val="2"/>
          <w:sz w:val="24"/>
          <w:szCs w:val="21"/>
          <w:highlight w:val="none"/>
          <w:lang w:val="en-US" w:eastAsia="zh-CN" w:bidi="ar-SA"/>
        </w:rPr>
        <w:t>》《响应文件》《成交通知书》，甲方委托乙方编制</w:t>
      </w:r>
      <w:r>
        <w:rPr>
          <w:rFonts w:hint="eastAsia" w:ascii="宋体" w:hAnsi="宋体" w:cs="Times New Roman"/>
          <w:kern w:val="2"/>
          <w:sz w:val="24"/>
          <w:szCs w:val="21"/>
          <w:highlight w:val="none"/>
          <w:lang w:val="en-US" w:eastAsia="zh-CN" w:bidi="ar-SA"/>
        </w:rPr>
        <w:t>旬邑县土桥镇地质灾害风险调查评价项目</w:t>
      </w:r>
      <w:r>
        <w:rPr>
          <w:rFonts w:hint="eastAsia" w:ascii="宋体" w:hAnsi="宋体" w:eastAsia="宋体" w:cs="Times New Roman"/>
          <w:kern w:val="2"/>
          <w:sz w:val="24"/>
          <w:szCs w:val="21"/>
          <w:highlight w:val="none"/>
          <w:lang w:val="en-US" w:eastAsia="zh-CN" w:bidi="ar-SA"/>
        </w:rPr>
        <w:t>。经甲、乙双方充分协商，在平等自愿、诚实信用的基础上，达成如下合同条款，以兹共同遵守：</w:t>
      </w:r>
    </w:p>
    <w:p w14:paraId="3F040C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sz w:val="24"/>
          <w:highlight w:val="none"/>
          <w:lang w:val="en-US" w:eastAsia="zh-CN"/>
        </w:rPr>
      </w:pPr>
      <w:r>
        <w:rPr>
          <w:rFonts w:hint="eastAsia" w:ascii="宋体" w:hAnsi="宋体" w:eastAsia="宋体" w:cs="Times New Roman"/>
          <w:b/>
          <w:bCs/>
          <w:sz w:val="24"/>
          <w:highlight w:val="none"/>
          <w:lang w:val="en-US" w:eastAsia="zh-CN"/>
        </w:rPr>
        <w:t>一、服务内容及要求</w:t>
      </w:r>
    </w:p>
    <w:p w14:paraId="395EC1C0">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center"/>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1.1 服务内容：</w:t>
      </w:r>
      <w:r>
        <w:rPr>
          <w:rFonts w:hint="eastAsia" w:ascii="宋体" w:hAnsi="宋体" w:eastAsia="宋体" w:cs="Times New Roman"/>
          <w:b w:val="0"/>
          <w:bCs w:val="0"/>
          <w:sz w:val="24"/>
          <w:szCs w:val="24"/>
          <w:highlight w:val="none"/>
          <w:lang w:eastAsia="zh-CN"/>
        </w:rPr>
        <w:t>根据</w:t>
      </w:r>
      <w:r>
        <w:rPr>
          <w:rFonts w:hint="eastAsia" w:ascii="宋体" w:hAnsi="宋体" w:cs="Times New Roman"/>
          <w:b w:val="0"/>
          <w:bCs w:val="0"/>
          <w:sz w:val="24"/>
          <w:szCs w:val="24"/>
          <w:highlight w:val="none"/>
          <w:lang w:val="en-US" w:eastAsia="zh-CN"/>
        </w:rPr>
        <w:t>甲方要</w:t>
      </w:r>
      <w:r>
        <w:rPr>
          <w:rFonts w:hint="eastAsia" w:ascii="宋体" w:hAnsi="宋体" w:eastAsia="宋体" w:cs="Times New Roman"/>
          <w:kern w:val="2"/>
          <w:sz w:val="24"/>
          <w:szCs w:val="21"/>
          <w:highlight w:val="none"/>
          <w:lang w:val="en-US" w:eastAsia="zh-CN" w:bidi="ar-SA"/>
        </w:rPr>
        <w:t>求进行</w:t>
      </w:r>
      <w:r>
        <w:rPr>
          <w:rFonts w:hint="eastAsia" w:ascii="宋体" w:hAnsi="宋体" w:cs="Times New Roman"/>
          <w:kern w:val="2"/>
          <w:sz w:val="24"/>
          <w:szCs w:val="21"/>
          <w:highlight w:val="none"/>
          <w:lang w:val="en-US" w:eastAsia="zh-CN" w:bidi="ar-SA"/>
        </w:rPr>
        <w:t>旬邑县土桥镇地质灾害风险调查评价项目</w:t>
      </w:r>
      <w:r>
        <w:rPr>
          <w:rFonts w:hint="eastAsia" w:ascii="宋体" w:hAnsi="宋体" w:eastAsia="宋体" w:cs="Times New Roman"/>
          <w:b w:val="0"/>
          <w:bCs w:val="0"/>
          <w:sz w:val="24"/>
          <w:szCs w:val="24"/>
          <w:highlight w:val="none"/>
          <w:lang w:eastAsia="zh-CN"/>
        </w:rPr>
        <w:t>的编制工作</w:t>
      </w:r>
      <w:r>
        <w:rPr>
          <w:rFonts w:hint="eastAsia" w:ascii="宋体" w:hAnsi="宋体" w:eastAsia="宋体" w:cs="Times New Roman"/>
          <w:sz w:val="24"/>
          <w:highlight w:val="none"/>
          <w:lang w:val="en-US" w:eastAsia="zh-CN"/>
        </w:rPr>
        <w:t>。</w:t>
      </w:r>
    </w:p>
    <w:p w14:paraId="5138DF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Times New Roman"/>
          <w:kern w:val="2"/>
          <w:sz w:val="24"/>
          <w:szCs w:val="21"/>
          <w:highlight w:val="none"/>
          <w:lang w:val="en-US" w:eastAsia="zh-CN" w:bidi="ar-SA"/>
        </w:rPr>
      </w:pPr>
      <w:r>
        <w:rPr>
          <w:rFonts w:hint="eastAsia" w:ascii="宋体" w:hAnsi="宋体" w:eastAsia="宋体" w:cs="Times New Roman"/>
          <w:kern w:val="2"/>
          <w:sz w:val="24"/>
          <w:szCs w:val="21"/>
          <w:highlight w:val="none"/>
          <w:lang w:val="en-US" w:eastAsia="zh-CN" w:bidi="ar-SA"/>
        </w:rPr>
        <w:t>1.2 服务要求：</w:t>
      </w:r>
    </w:p>
    <w:p w14:paraId="696BA8AE">
      <w:pPr>
        <w:keepNext w:val="0"/>
        <w:keepLines w:val="0"/>
        <w:pageBreakBefore w:val="0"/>
        <w:widowControl/>
        <w:kinsoku/>
        <w:wordWrap/>
        <w:overflowPunct/>
        <w:topLinePunct w:val="0"/>
        <w:autoSpaceDE/>
        <w:autoSpaceDN/>
        <w:bidi w:val="0"/>
        <w:adjustRightInd/>
        <w:snapToGrid w:val="0"/>
        <w:spacing w:line="360" w:lineRule="auto"/>
        <w:ind w:firstLine="480" w:firstLineChars="200"/>
        <w:jc w:val="left"/>
        <w:textAlignment w:val="center"/>
        <w:rPr>
          <w:rFonts w:hint="eastAsia" w:ascii="宋体" w:hAnsi="宋体" w:eastAsia="宋体" w:cs="Times New Roman"/>
          <w:kern w:val="2"/>
          <w:sz w:val="24"/>
          <w:szCs w:val="21"/>
          <w:highlight w:val="none"/>
          <w:lang w:val="en-US" w:eastAsia="zh-CN" w:bidi="ar-SA"/>
        </w:rPr>
      </w:pPr>
      <w:r>
        <w:rPr>
          <w:rFonts w:hint="eastAsia" w:ascii="宋体" w:hAnsi="宋体" w:eastAsia="宋体" w:cs="Times New Roman"/>
          <w:kern w:val="2"/>
          <w:sz w:val="24"/>
          <w:szCs w:val="21"/>
          <w:highlight w:val="none"/>
          <w:lang w:val="en-US" w:eastAsia="zh-CN" w:bidi="ar-SA"/>
        </w:rPr>
        <w:t>按照相关要求，完成1:10000在册隐患点核查、遥感解译点核查、调查区孕灾地质条件调查等野外工作，以及室内资料整理分析、地质灾害风险调查评价工作。</w:t>
      </w:r>
    </w:p>
    <w:p w14:paraId="59B3A0B7">
      <w:pPr>
        <w:keepNext w:val="0"/>
        <w:keepLines w:val="0"/>
        <w:pageBreakBefore w:val="0"/>
        <w:widowControl/>
        <w:kinsoku/>
        <w:wordWrap/>
        <w:overflowPunct/>
        <w:topLinePunct w:val="0"/>
        <w:autoSpaceDE/>
        <w:autoSpaceDN/>
        <w:bidi w:val="0"/>
        <w:adjustRightInd/>
        <w:snapToGrid w:val="0"/>
        <w:spacing w:line="360" w:lineRule="auto"/>
        <w:ind w:firstLine="482" w:firstLineChars="200"/>
        <w:jc w:val="left"/>
        <w:textAlignment w:val="center"/>
        <w:rPr>
          <w:rFonts w:hint="default" w:ascii="宋体" w:hAnsi="宋体" w:eastAsia="宋体" w:cs="Times New Roman"/>
          <w:b/>
          <w:bCs/>
          <w:sz w:val="24"/>
          <w:highlight w:val="none"/>
          <w:u w:val="single"/>
          <w:lang w:val="en-US" w:eastAsia="zh-CN"/>
        </w:rPr>
      </w:pPr>
      <w:r>
        <w:rPr>
          <w:rFonts w:hint="eastAsia" w:ascii="宋体" w:hAnsi="宋体" w:eastAsia="宋体" w:cs="Times New Roman"/>
          <w:b/>
          <w:bCs/>
          <w:sz w:val="24"/>
          <w:highlight w:val="none"/>
          <w:lang w:val="en-US" w:eastAsia="zh-CN"/>
        </w:rPr>
        <w:t>二、服务期限：</w:t>
      </w:r>
      <w:r>
        <w:rPr>
          <w:rFonts w:hint="eastAsia" w:ascii="宋体" w:hAnsi="宋体" w:eastAsia="宋体" w:cs="Times New Roman"/>
          <w:b/>
          <w:bCs/>
          <w:sz w:val="24"/>
          <w:highlight w:val="none"/>
          <w:u w:val="single"/>
          <w:lang w:val="en-US" w:eastAsia="zh-CN"/>
        </w:rPr>
        <w:t xml:space="preserve">                                 </w:t>
      </w:r>
    </w:p>
    <w:p w14:paraId="0379651F">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三</w:t>
      </w:r>
      <w:r>
        <w:rPr>
          <w:rFonts w:hint="eastAsia" w:ascii="宋体" w:hAnsi="宋体" w:eastAsia="宋体" w:cs="宋体"/>
          <w:b/>
          <w:bCs/>
          <w:color w:val="auto"/>
          <w:sz w:val="24"/>
          <w:szCs w:val="24"/>
          <w:highlight w:val="none"/>
        </w:rPr>
        <w:t>、甲方的权利及义务</w:t>
      </w:r>
    </w:p>
    <w:p w14:paraId="7C561F4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甲方的权利</w:t>
      </w:r>
    </w:p>
    <w:p w14:paraId="016A947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1甲方有权向乙方询问工作进展情况及相关的内容。</w:t>
      </w:r>
    </w:p>
    <w:p w14:paraId="06071B6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3.1.2</w:t>
      </w:r>
      <w:r>
        <w:rPr>
          <w:rFonts w:hint="eastAsia" w:ascii="宋体" w:hAnsi="宋体" w:eastAsia="宋体" w:cs="宋体"/>
          <w:color w:val="auto"/>
          <w:sz w:val="24"/>
          <w:szCs w:val="24"/>
          <w:highlight w:val="none"/>
        </w:rPr>
        <w:t>甲方有权阐述对具体问题的意见和建议。</w:t>
      </w:r>
    </w:p>
    <w:p w14:paraId="659D58F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3.1.3</w:t>
      </w:r>
      <w:r>
        <w:rPr>
          <w:rFonts w:hint="eastAsia" w:ascii="宋体" w:hAnsi="宋体" w:eastAsia="宋体" w:cs="宋体"/>
          <w:color w:val="auto"/>
          <w:sz w:val="24"/>
          <w:szCs w:val="24"/>
          <w:highlight w:val="none"/>
        </w:rPr>
        <w:t>当甲方认定专业人员不按合同履行其职责，或与第三人串通给甲方造成经济损失的，甲方有权要求更换专业人员，直至终止合同并要求乙方承担相应的赔偿责任。</w:t>
      </w:r>
    </w:p>
    <w:p w14:paraId="0BC53C7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甲方的义务</w:t>
      </w:r>
    </w:p>
    <w:p w14:paraId="1E0B953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甲方应当在约定的时间内，向乙方提供与本项目服务有关的资料。</w:t>
      </w:r>
    </w:p>
    <w:p w14:paraId="2247006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甲方应当在约定的时间内就乙方书面提交并要求做出答复的事宜做出书面答复。</w:t>
      </w:r>
    </w:p>
    <w:p w14:paraId="0DDB4A07">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、乙方的权利及义务</w:t>
      </w:r>
    </w:p>
    <w:p w14:paraId="12A76D3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乙方的权利</w:t>
      </w:r>
    </w:p>
    <w:p w14:paraId="5DFB605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4.1.1</w:t>
      </w:r>
      <w:r>
        <w:rPr>
          <w:rFonts w:hint="eastAsia" w:ascii="宋体" w:hAnsi="宋体" w:eastAsia="宋体" w:cs="宋体"/>
          <w:color w:val="auto"/>
          <w:sz w:val="24"/>
          <w:szCs w:val="24"/>
          <w:highlight w:val="none"/>
        </w:rPr>
        <w:t>乙方在服务过程中，如甲方提供的资料不明确时可向甲方提出书面报告。</w:t>
      </w:r>
    </w:p>
    <w:p w14:paraId="7E363C3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4.1.2</w:t>
      </w:r>
      <w:r>
        <w:rPr>
          <w:rFonts w:hint="eastAsia" w:ascii="宋体" w:hAnsi="宋体" w:eastAsia="宋体" w:cs="宋体"/>
          <w:color w:val="auto"/>
          <w:sz w:val="24"/>
          <w:szCs w:val="24"/>
          <w:highlight w:val="none"/>
        </w:rPr>
        <w:t>乙方在服务过程中，有权对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提出与本项目业务有关的问题进行核对或查问。</w:t>
      </w:r>
    </w:p>
    <w:p w14:paraId="3E850D0C">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乙方的义务</w:t>
      </w:r>
    </w:p>
    <w:p w14:paraId="0CBE0FA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4.2.1</w:t>
      </w:r>
      <w:r>
        <w:rPr>
          <w:rFonts w:hint="eastAsia" w:ascii="宋体" w:hAnsi="宋体" w:eastAsia="宋体" w:cs="宋体"/>
          <w:color w:val="auto"/>
          <w:sz w:val="24"/>
          <w:szCs w:val="24"/>
          <w:highlight w:val="none"/>
        </w:rPr>
        <w:t>向甲方提供与本项目有关的资料，包括项目人员的资质证书及承担本业务的专业人员名单、编制工作计划等，并按合同专用条件中约定的范围实施业务。</w:t>
      </w:r>
    </w:p>
    <w:p w14:paraId="1EAA3AB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4.2.2</w:t>
      </w:r>
      <w:r>
        <w:rPr>
          <w:rFonts w:hint="eastAsia" w:ascii="宋体" w:hAnsi="宋体" w:eastAsia="宋体" w:cs="宋体"/>
          <w:color w:val="auto"/>
          <w:sz w:val="24"/>
          <w:szCs w:val="24"/>
          <w:highlight w:val="none"/>
        </w:rPr>
        <w:t>在履行合同期间或合同规定期限内，不得泄露与本合同规定业务活动有关的保密资料。</w:t>
      </w:r>
    </w:p>
    <w:p w14:paraId="43A75F00">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rPr>
        <w:t>在项目服务期间，乙方应按照甲方的要求保证及时到项目现场。同时，针对项目出现较大争议的情况，乙方能有效提出解决争议的方案。</w:t>
      </w:r>
    </w:p>
    <w:p w14:paraId="5652728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五、双方确定，在本合同有效期内，甲方指定</w:t>
      </w:r>
      <w:r>
        <w:rPr>
          <w:rFonts w:hint="eastAsia" w:ascii="宋体" w:hAnsi="宋体" w:eastAsia="宋体" w:cs="Times New Roman"/>
          <w:b/>
          <w:bCs/>
          <w:sz w:val="24"/>
          <w:highlight w:val="none"/>
          <w:u w:val="single"/>
          <w:lang w:val="en-US" w:eastAsia="zh-CN"/>
        </w:rPr>
        <w:t xml:space="preserve">                </w:t>
      </w:r>
      <w:r>
        <w:rPr>
          <w:rFonts w:hint="eastAsia" w:ascii="宋体" w:hAnsi="宋体" w:eastAsia="宋体" w:cs="Times New Roman"/>
          <w:b/>
          <w:bCs/>
          <w:sz w:val="24"/>
          <w:highlight w:val="none"/>
          <w:lang w:val="en-US" w:eastAsia="zh-CN"/>
        </w:rPr>
        <w:t>为甲方项目联系人，乙方指定</w:t>
      </w:r>
      <w:r>
        <w:rPr>
          <w:rFonts w:hint="eastAsia" w:ascii="宋体" w:hAnsi="宋体" w:eastAsia="宋体" w:cs="Times New Roman"/>
          <w:b/>
          <w:bCs/>
          <w:sz w:val="24"/>
          <w:highlight w:val="none"/>
          <w:u w:val="single"/>
          <w:lang w:val="en-US" w:eastAsia="zh-CN"/>
        </w:rPr>
        <w:t xml:space="preserve">             </w:t>
      </w:r>
      <w:r>
        <w:rPr>
          <w:rFonts w:hint="eastAsia" w:ascii="宋体" w:hAnsi="宋体" w:eastAsia="宋体" w:cs="Times New Roman"/>
          <w:b/>
          <w:bCs/>
          <w:sz w:val="24"/>
          <w:highlight w:val="none"/>
          <w:lang w:val="en-US" w:eastAsia="zh-CN"/>
        </w:rPr>
        <w:t>为乙方项目联系人。</w:t>
      </w:r>
    </w:p>
    <w:p w14:paraId="4D02A73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highlight w:val="none"/>
        </w:rPr>
      </w:pPr>
      <w:r>
        <w:rPr>
          <w:rFonts w:hint="eastAsia" w:ascii="宋体" w:hAnsi="宋体" w:eastAsia="宋体" w:cs="Times New Roman"/>
          <w:sz w:val="24"/>
          <w:highlight w:val="none"/>
          <w:lang w:val="en-US" w:eastAsia="zh-CN"/>
        </w:rPr>
        <w:t>项目联系人负责及时和对方沟通有关该项目的事宜，准确落实。一方变更项目联系人的，应当及时以书面形式通知另一方。未及时通知并影响本合同履行或造成损失的，应承担相应的责任。</w:t>
      </w:r>
    </w:p>
    <w:p w14:paraId="61969BB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sz w:val="24"/>
          <w:highlight w:val="none"/>
          <w:lang w:val="en-US" w:eastAsia="zh-CN"/>
        </w:rPr>
      </w:pPr>
      <w:r>
        <w:rPr>
          <w:rFonts w:hint="eastAsia" w:ascii="宋体" w:hAnsi="宋体" w:eastAsia="宋体" w:cs="Times New Roman"/>
          <w:b/>
          <w:bCs/>
          <w:sz w:val="24"/>
          <w:highlight w:val="none"/>
          <w:lang w:val="en-US" w:eastAsia="zh-CN"/>
        </w:rPr>
        <w:t>六、</w:t>
      </w:r>
      <w:r>
        <w:rPr>
          <w:rFonts w:hint="eastAsia" w:ascii="宋体" w:hAnsi="宋体" w:eastAsia="宋体" w:cs="宋体"/>
          <w:b/>
          <w:color w:val="auto"/>
          <w:sz w:val="24"/>
          <w:szCs w:val="24"/>
          <w:highlight w:val="none"/>
          <w:lang w:val="en-US" w:eastAsia="zh-CN"/>
        </w:rPr>
        <w:t>收费标准及付费方式</w:t>
      </w:r>
    </w:p>
    <w:p w14:paraId="333987E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6.1 服务费总额为:</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元人民币（￥</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 xml:space="preserve"> 元）。</w:t>
      </w:r>
    </w:p>
    <w:p w14:paraId="6AD37B2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u w:val="single"/>
          <w:lang w:val="en-US" w:eastAsia="zh-CN"/>
        </w:rPr>
      </w:pPr>
      <w:r>
        <w:rPr>
          <w:rFonts w:hint="eastAsia" w:ascii="宋体" w:hAnsi="宋体" w:eastAsia="宋体" w:cs="Times New Roman"/>
          <w:sz w:val="24"/>
          <w:highlight w:val="none"/>
          <w:lang w:val="en-US" w:eastAsia="zh-CN"/>
        </w:rPr>
        <w:t>6.2 付款方式：</w:t>
      </w:r>
      <w:r>
        <w:rPr>
          <w:rFonts w:hint="eastAsia" w:ascii="宋体" w:hAnsi="宋体" w:eastAsia="宋体" w:cs="Times New Roman"/>
          <w:sz w:val="24"/>
          <w:highlight w:val="none"/>
          <w:u w:val="single"/>
          <w:lang w:val="en-US" w:eastAsia="zh-CN"/>
        </w:rPr>
        <w:t xml:space="preserve">                             </w:t>
      </w:r>
    </w:p>
    <w:p w14:paraId="11045F8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将款项付至</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指定账户视为履行了付款义务。</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指定账户为：</w:t>
      </w:r>
    </w:p>
    <w:p w14:paraId="7101715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开户名称： </w:t>
      </w:r>
      <w:r>
        <w:rPr>
          <w:rFonts w:hint="eastAsia" w:ascii="宋体" w:hAnsi="宋体" w:eastAsia="宋体" w:cs="宋体"/>
          <w:color w:val="auto"/>
          <w:sz w:val="24"/>
          <w:szCs w:val="24"/>
          <w:highlight w:val="none"/>
          <w:u w:val="single"/>
        </w:rPr>
        <w:t xml:space="preserve">                               </w:t>
      </w:r>
    </w:p>
    <w:p w14:paraId="7982519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w:t>
      </w:r>
      <w:r>
        <w:rPr>
          <w:rFonts w:hint="eastAsia" w:ascii="宋体" w:hAnsi="宋体" w:eastAsia="宋体" w:cs="宋体"/>
          <w:color w:val="auto"/>
          <w:sz w:val="24"/>
          <w:szCs w:val="24"/>
          <w:highlight w:val="none"/>
          <w:u w:val="single"/>
        </w:rPr>
        <w:t xml:space="preserve">                               </w:t>
      </w:r>
    </w:p>
    <w:p w14:paraId="01CC31D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highlight w:val="none"/>
          <w:lang w:val="en-US" w:eastAsia="zh-CN"/>
        </w:rPr>
      </w:pPr>
      <w:r>
        <w:rPr>
          <w:rFonts w:hint="eastAsia" w:ascii="宋体" w:hAnsi="宋体" w:eastAsia="宋体" w:cs="宋体"/>
          <w:color w:val="auto"/>
          <w:sz w:val="24"/>
          <w:szCs w:val="24"/>
          <w:highlight w:val="none"/>
        </w:rPr>
        <w:t xml:space="preserve">账    号： </w:t>
      </w:r>
      <w:r>
        <w:rPr>
          <w:rFonts w:hint="eastAsia" w:ascii="宋体" w:hAnsi="宋体" w:eastAsia="宋体" w:cs="宋体"/>
          <w:color w:val="auto"/>
          <w:sz w:val="24"/>
          <w:szCs w:val="24"/>
          <w:highlight w:val="none"/>
          <w:u w:val="single"/>
        </w:rPr>
        <w:t xml:space="preserve">                               </w:t>
      </w:r>
    </w:p>
    <w:p w14:paraId="7DC8C997">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七、知识产权：</w:t>
      </w:r>
    </w:p>
    <w:p w14:paraId="09D926F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6.1本项目所涉及到的所有成果的知识产权归甲方所有。 </w:t>
      </w:r>
    </w:p>
    <w:p w14:paraId="3D404DD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 xml:space="preserve">6.2乙方无论出于任何目的如在其他地方使用该成果，必须经甲方同意方可使用。否则，贵甲方有权要求终止涉及到该中标知识产权的任何使用活动并保留追究卖方相应的法律责任的权利。 </w:t>
      </w:r>
    </w:p>
    <w:p w14:paraId="350D16F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6.3乙方为执行本合同而提供的技术资料使用权归甲方所有。</w:t>
      </w:r>
    </w:p>
    <w:p w14:paraId="1B46E76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八、验收标准及方式：</w:t>
      </w:r>
    </w:p>
    <w:p w14:paraId="26FB463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8.1符合国家相关标准</w:t>
      </w:r>
    </w:p>
    <w:p w14:paraId="47C01D1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u w:val="single"/>
          <w:lang w:val="en-US" w:eastAsia="zh-CN"/>
        </w:rPr>
      </w:pPr>
      <w:r>
        <w:rPr>
          <w:rFonts w:hint="eastAsia" w:ascii="宋体" w:hAnsi="宋体" w:eastAsia="宋体" w:cs="Times New Roman"/>
          <w:sz w:val="24"/>
          <w:highlight w:val="none"/>
          <w:lang w:val="en-US" w:eastAsia="zh-CN"/>
        </w:rPr>
        <w:t>8.2成果文件的包括：</w:t>
      </w:r>
      <w:r>
        <w:rPr>
          <w:rFonts w:hint="eastAsia" w:ascii="宋体" w:hAnsi="宋体" w:eastAsia="宋体" w:cs="Times New Roman"/>
          <w:sz w:val="24"/>
          <w:highlight w:val="none"/>
          <w:u w:val="single"/>
          <w:lang w:val="en-US" w:eastAsia="zh-CN"/>
        </w:rPr>
        <w:t xml:space="preserve">                 </w:t>
      </w:r>
    </w:p>
    <w:p w14:paraId="0817714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u w:val="none"/>
          <w:lang w:val="en-US" w:eastAsia="zh-CN"/>
        </w:rPr>
      </w:pPr>
      <w:r>
        <w:rPr>
          <w:rFonts w:hint="eastAsia" w:ascii="宋体" w:hAnsi="宋体" w:eastAsia="宋体" w:cs="Times New Roman"/>
          <w:sz w:val="24"/>
          <w:highlight w:val="none"/>
          <w:u w:val="none"/>
          <w:lang w:val="en-US" w:eastAsia="zh-CN"/>
        </w:rPr>
        <w:t>8.3成果文件的份数要求：</w:t>
      </w:r>
    </w:p>
    <w:p w14:paraId="3D633E8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8.3.1纸质版的要求：</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 xml:space="preserve">                 </w:t>
      </w:r>
    </w:p>
    <w:p w14:paraId="12E57F8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cs="Times New Roman"/>
          <w:kern w:val="2"/>
          <w:sz w:val="24"/>
          <w:szCs w:val="24"/>
          <w:highlight w:val="none"/>
          <w:lang w:val="en-US" w:eastAsia="zh-CN" w:bidi="ar-SA"/>
        </w:rPr>
      </w:pPr>
      <w:r>
        <w:rPr>
          <w:rFonts w:hint="eastAsia" w:ascii="宋体" w:hAnsi="宋体" w:eastAsia="宋体" w:cs="Times New Roman"/>
          <w:sz w:val="24"/>
          <w:highlight w:val="none"/>
          <w:lang w:val="en-US" w:eastAsia="zh-CN"/>
        </w:rPr>
        <w:t>8.3.2电子版的要求：</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 xml:space="preserve">                     </w:t>
      </w:r>
      <w:r>
        <w:rPr>
          <w:rFonts w:hint="eastAsia" w:ascii="宋体" w:hAnsi="宋体" w:eastAsia="宋体" w:cs="Times New Roman"/>
          <w:kern w:val="2"/>
          <w:sz w:val="24"/>
          <w:szCs w:val="24"/>
          <w:highlight w:val="none"/>
          <w:lang w:val="en-US" w:eastAsia="zh-CN" w:bidi="ar-SA"/>
        </w:rPr>
        <w:t xml:space="preserve">                   </w:t>
      </w:r>
    </w:p>
    <w:p w14:paraId="0FE643A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8.4 验收标准：</w:t>
      </w:r>
      <w:r>
        <w:rPr>
          <w:rFonts w:hint="eastAsia" w:ascii="宋体" w:hAnsi="宋体" w:eastAsia="宋体" w:cs="Times New Roman"/>
          <w:b w:val="0"/>
          <w:bCs w:val="0"/>
          <w:color w:val="auto"/>
          <w:kern w:val="2"/>
          <w:sz w:val="24"/>
          <w:szCs w:val="24"/>
          <w:highlight w:val="none"/>
          <w:lang w:val="en-US" w:eastAsia="zh-CN" w:bidi="ar-SA"/>
        </w:rPr>
        <w:t>编制</w:t>
      </w:r>
      <w:r>
        <w:rPr>
          <w:rFonts w:hint="eastAsia" w:ascii="宋体" w:hAnsi="宋体" w:eastAsia="宋体" w:cs="宋体"/>
          <w:color w:val="auto"/>
          <w:sz w:val="24"/>
          <w:szCs w:val="24"/>
          <w:highlight w:val="none"/>
          <w:lang w:val="zh-CN"/>
        </w:rPr>
        <w:t>工作结束后，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提交</w:t>
      </w:r>
      <w:r>
        <w:rPr>
          <w:rFonts w:hint="eastAsia" w:ascii="宋体" w:hAnsi="宋体" w:cs="宋体"/>
          <w:color w:val="auto"/>
          <w:sz w:val="24"/>
          <w:szCs w:val="24"/>
          <w:highlight w:val="none"/>
          <w:lang w:val="en-US" w:eastAsia="zh-CN"/>
        </w:rPr>
        <w:t>成果文件</w:t>
      </w:r>
      <w:r>
        <w:rPr>
          <w:rFonts w:hint="eastAsia" w:ascii="宋体" w:hAnsi="宋体" w:eastAsia="宋体" w:cs="宋体"/>
          <w:color w:val="auto"/>
          <w:sz w:val="24"/>
          <w:szCs w:val="24"/>
          <w:highlight w:val="none"/>
          <w:lang w:val="zh-CN"/>
        </w:rPr>
        <w:t>，经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最终审定通过后即为合格。</w:t>
      </w:r>
    </w:p>
    <w:p w14:paraId="6375921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sz w:val="24"/>
          <w:highlight w:val="none"/>
          <w:lang w:val="en-US" w:eastAsia="zh-CN"/>
        </w:rPr>
      </w:pPr>
      <w:r>
        <w:rPr>
          <w:rFonts w:hint="eastAsia" w:ascii="宋体" w:hAnsi="宋体" w:eastAsia="宋体" w:cs="Times New Roman"/>
          <w:b/>
          <w:bCs/>
          <w:sz w:val="24"/>
          <w:highlight w:val="none"/>
          <w:lang w:val="en-US" w:eastAsia="zh-CN"/>
        </w:rPr>
        <w:t>九、违约责任：</w:t>
      </w:r>
    </w:p>
    <w:p w14:paraId="251A7F5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9.1甲乙双方必须遵守本合同并执行合同中的各项规定，保证本合同的正常履行。</w:t>
      </w:r>
    </w:p>
    <w:p w14:paraId="4CCAC47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9.2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2912727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十、不可抗力事件处理</w:t>
      </w:r>
    </w:p>
    <w:p w14:paraId="3A7CC33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10.1在合同有效期内，任何一方因不可抗力事件导致不能履行合同，则合同履行期可延长，其延长期与不可抗力影响期相同。</w:t>
      </w:r>
    </w:p>
    <w:p w14:paraId="57BCDDA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10.2不可抗力事件发生后，应立即通知对方，并寄送有关权威机构出具的证明。</w:t>
      </w:r>
    </w:p>
    <w:p w14:paraId="01D5808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十一、合同的变更和终止</w:t>
      </w:r>
    </w:p>
    <w:p w14:paraId="4E27AF03">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val="0"/>
          <w:bCs w:val="0"/>
          <w:sz w:val="24"/>
          <w:highlight w:val="none"/>
          <w:lang w:val="en-US" w:eastAsia="zh-CN"/>
        </w:rPr>
      </w:pPr>
      <w:r>
        <w:rPr>
          <w:rFonts w:hint="eastAsia" w:ascii="宋体" w:hAnsi="宋体" w:eastAsia="宋体" w:cs="Times New Roman"/>
          <w:b w:val="0"/>
          <w:bCs w:val="0"/>
          <w:sz w:val="24"/>
          <w:highlight w:val="none"/>
          <w:lang w:val="en-US" w:eastAsia="zh-CN"/>
        </w:rPr>
        <w:t>除《中华人民共和国政府采购法》第49条、第50条第二款规定的情形外，本合同一经签订，甲乙双方不得擅自变更、中止或终止合同。</w:t>
      </w:r>
    </w:p>
    <w:p w14:paraId="6EE2909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十二、解决合同纠纷的方式</w:t>
      </w:r>
    </w:p>
    <w:p w14:paraId="2CB7529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val="0"/>
          <w:bCs w:val="0"/>
          <w:sz w:val="24"/>
          <w:highlight w:val="none"/>
          <w:lang w:val="en-US" w:eastAsia="zh-CN"/>
        </w:rPr>
        <w:t xml:space="preserve">本合同发生争议,甲方、乙方应及时协商解决，协商或调解不成时，甲方、乙方同意由 </w:t>
      </w:r>
      <w:r>
        <w:rPr>
          <w:rFonts w:hint="eastAsia" w:ascii="宋体" w:hAnsi="宋体" w:eastAsia="宋体" w:cs="Times New Roman"/>
          <w:b w:val="0"/>
          <w:bCs w:val="0"/>
          <w:sz w:val="24"/>
          <w:highlight w:val="none"/>
          <w:u w:val="single"/>
          <w:lang w:val="en-US" w:eastAsia="zh-CN"/>
        </w:rPr>
        <w:t>咸阳</w:t>
      </w:r>
      <w:r>
        <w:rPr>
          <w:rFonts w:hint="eastAsia" w:ascii="宋体" w:hAnsi="宋体" w:eastAsia="宋体" w:cs="Times New Roman"/>
          <w:b w:val="0"/>
          <w:bCs w:val="0"/>
          <w:sz w:val="24"/>
          <w:highlight w:val="none"/>
          <w:lang w:val="en-US" w:eastAsia="zh-CN"/>
        </w:rPr>
        <w:t>仲裁委员会仲裁。甲方、乙方未在本合同中约定仲裁机构，事后又来达成书面仲裁协议的，可向人民法院起诉。</w:t>
      </w:r>
    </w:p>
    <w:p w14:paraId="0346AEB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十三、合同生效</w:t>
      </w:r>
    </w:p>
    <w:p w14:paraId="7AE0F57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13.1本合同须经甲、乙双方的法定代表人（授权代理人）在合同书上签字并加盖本单位公章后正式生效。</w:t>
      </w:r>
    </w:p>
    <w:p w14:paraId="4D5E853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13.2合同生效后，甲、乙双方须严格执行本合同条款的规定，全面履行合同，违者按《中华人民共和国民法典》的有关规定承担相应责任。</w:t>
      </w:r>
    </w:p>
    <w:p w14:paraId="7324E51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13.3本合同一式</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份，甲乙双方各执</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highlight w:val="none"/>
          <w:lang w:val="en-US" w:eastAsia="zh-CN"/>
        </w:rPr>
        <w:t>份。</w:t>
      </w:r>
    </w:p>
    <w:p w14:paraId="3A65C20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13.4本合同如有未尽事宜，甲、乙双方协商解决。</w:t>
      </w:r>
    </w:p>
    <w:p w14:paraId="7CCED935">
      <w:pPr>
        <w:pStyle w:val="39"/>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b/>
          <w:bCs/>
          <w:lang w:val="en-US" w:eastAsia="zh-CN"/>
        </w:rPr>
      </w:pPr>
      <w:r>
        <w:rPr>
          <w:rFonts w:hint="eastAsia" w:ascii="宋体" w:hAnsi="宋体" w:eastAsia="宋体" w:cs="Times New Roman"/>
          <w:b/>
          <w:bCs/>
          <w:sz w:val="24"/>
          <w:highlight w:val="none"/>
          <w:lang w:val="en-US" w:eastAsia="zh-CN"/>
        </w:rPr>
        <w:t>十四、</w:t>
      </w:r>
      <w:r>
        <w:rPr>
          <w:rFonts w:ascii="宋体" w:hAnsi="宋体" w:eastAsia="宋体" w:cs="宋体"/>
          <w:b/>
          <w:bCs/>
          <w:sz w:val="24"/>
          <w:szCs w:val="24"/>
        </w:rPr>
        <w:t>政府采购信用担保及信用融资政策</w:t>
      </w:r>
    </w:p>
    <w:p w14:paraId="6605C8B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r>
        <w:rPr>
          <w:rFonts w:ascii="宋体" w:hAnsi="宋体" w:eastAsia="宋体" w:cs="宋体"/>
          <w:sz w:val="24"/>
          <w:szCs w:val="24"/>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乙方如果需要融资贷款服务需求的，可凭成交通知书、政府采购合同等相关资料，按照文件规定的相关政策、业务流程申请办理，具体规定可登陆陕西省政府采购信用融资平台（http://www.ccgp-shaanxi.gov.cn/zcdservice/zcd/shanxi/）查询了解。</w:t>
      </w:r>
    </w:p>
    <w:p w14:paraId="034450B4">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sz w:val="24"/>
          <w:highlight w:val="none"/>
          <w:lang w:val="en-US" w:eastAsia="zh-CN"/>
        </w:rPr>
      </w:pPr>
    </w:p>
    <w:p w14:paraId="5F1AD5B2">
      <w:pPr>
        <w:pStyle w:val="39"/>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sz w:val="24"/>
          <w:highlight w:val="none"/>
          <w:lang w:val="en-US" w:eastAsia="zh-CN"/>
        </w:rPr>
      </w:pPr>
    </w:p>
    <w:p w14:paraId="57B74F7B">
      <w:pPr>
        <w:pStyle w:val="39"/>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Times New Roman"/>
          <w:sz w:val="24"/>
          <w:highlight w:val="none"/>
          <w:lang w:val="en-US" w:eastAsia="zh-CN"/>
        </w:rPr>
      </w:pPr>
    </w:p>
    <w:p w14:paraId="063FCF96">
      <w:pPr>
        <w:pStyle w:val="39"/>
        <w:keepNext w:val="0"/>
        <w:keepLines w:val="0"/>
        <w:pageBreakBefore w:val="0"/>
        <w:widowControl w:val="0"/>
        <w:kinsoku/>
        <w:wordWrap/>
        <w:overflowPunct/>
        <w:topLinePunct w:val="0"/>
        <w:autoSpaceDE/>
        <w:autoSpaceDN/>
        <w:bidi w:val="0"/>
        <w:adjustRightInd/>
        <w:snapToGrid/>
        <w:spacing w:line="480" w:lineRule="exact"/>
        <w:ind w:left="0" w:leftChars="0" w:firstLine="0" w:firstLineChars="0"/>
        <w:textAlignment w:val="auto"/>
        <w:rPr>
          <w:rFonts w:hint="eastAsia" w:ascii="宋体" w:hAnsi="宋体" w:eastAsia="宋体" w:cs="Times New Roman"/>
          <w:sz w:val="24"/>
          <w:highlight w:val="none"/>
          <w:lang w:val="en-US" w:eastAsia="zh-CN"/>
        </w:rPr>
      </w:pPr>
    </w:p>
    <w:p w14:paraId="01BB2E1F">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    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乙    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3947D4A3">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0FCCD665">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5C941A34">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（代理人）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A3AF5CB">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656293B3">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14:paraId="112FFA7E">
      <w:pPr>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帐    号：</w:t>
      </w:r>
      <w:r>
        <w:rPr>
          <w:rFonts w:hint="eastAsia" w:ascii="宋体" w:hAnsi="宋体" w:eastAsia="宋体" w:cs="宋体"/>
          <w:color w:val="auto"/>
          <w:sz w:val="24"/>
          <w:szCs w:val="24"/>
          <w:highlight w:val="none"/>
          <w:u w:val="single"/>
        </w:rPr>
        <w:t xml:space="preserve">                       </w:t>
      </w:r>
    </w:p>
    <w:p w14:paraId="4848F57B">
      <w:pPr>
        <w:autoSpaceDE w:val="0"/>
        <w:autoSpaceDN w:val="0"/>
        <w:adjustRightInd w:val="0"/>
        <w:jc w:val="center"/>
        <w:rPr>
          <w:rFonts w:eastAsia="仿宋_GB2312"/>
          <w:b/>
          <w:bCs/>
          <w:color w:val="auto"/>
          <w:sz w:val="28"/>
          <w:szCs w:val="28"/>
          <w:lang w:val="zh-CN"/>
        </w:rPr>
      </w:pPr>
    </w:p>
    <w:p w14:paraId="728A3F54">
      <w:pPr>
        <w:numPr>
          <w:ilvl w:val="0"/>
          <w:numId w:val="0"/>
        </w:numPr>
        <w:jc w:val="both"/>
        <w:outlineLvl w:val="9"/>
        <w:rPr>
          <w:rFonts w:hint="eastAsia" w:ascii="宋体" w:hAnsi="宋体" w:cs="宋体"/>
          <w:b/>
          <w:color w:val="auto"/>
          <w:kern w:val="44"/>
          <w:sz w:val="21"/>
          <w:szCs w:val="21"/>
          <w:lang w:eastAsia="zh-CN"/>
        </w:rPr>
      </w:pPr>
      <w:bookmarkStart w:id="105" w:name="_Toc7033"/>
      <w:r>
        <w:rPr>
          <w:rFonts w:hint="eastAsia" w:ascii="宋体" w:hAnsi="宋体" w:cs="宋体"/>
          <w:b/>
          <w:color w:val="auto"/>
          <w:kern w:val="44"/>
          <w:sz w:val="21"/>
          <w:szCs w:val="21"/>
          <w:lang w:eastAsia="zh-CN"/>
        </w:rPr>
        <w:t>注：本合同未定事宜，双方可根据具体情况结合有关规定另行</w:t>
      </w:r>
      <w:r>
        <w:rPr>
          <w:rFonts w:hint="eastAsia" w:ascii="宋体" w:hAnsi="宋体" w:cs="宋体"/>
          <w:b/>
          <w:color w:val="auto"/>
          <w:kern w:val="44"/>
          <w:sz w:val="21"/>
          <w:szCs w:val="21"/>
          <w:lang w:val="en-US" w:eastAsia="zh-CN"/>
        </w:rPr>
        <w:t>增加或</w:t>
      </w:r>
      <w:r>
        <w:rPr>
          <w:rFonts w:hint="eastAsia" w:ascii="宋体" w:hAnsi="宋体" w:cs="宋体"/>
          <w:b/>
          <w:color w:val="auto"/>
          <w:kern w:val="44"/>
          <w:sz w:val="21"/>
          <w:szCs w:val="21"/>
          <w:lang w:eastAsia="zh-CN"/>
        </w:rPr>
        <w:t>签订补充协议，补充协议与本合同具有同等法律效力。</w:t>
      </w:r>
      <w:bookmarkEnd w:id="105"/>
    </w:p>
    <w:p w14:paraId="18CCFFBE">
      <w:pPr>
        <w:spacing w:line="480" w:lineRule="exact"/>
        <w:ind w:firstLine="422" w:firstLineChars="200"/>
        <w:rPr>
          <w:rFonts w:ascii="宋体" w:hAnsi="宋体" w:cs="宋体"/>
          <w:b/>
          <w:bCs/>
          <w:color w:val="auto"/>
          <w:szCs w:val="21"/>
        </w:rPr>
      </w:pPr>
    </w:p>
    <w:p w14:paraId="36C3FD80">
      <w:pPr>
        <w:pStyle w:val="8"/>
        <w:rPr>
          <w:rFonts w:hint="eastAsia" w:ascii="宋体" w:hAnsi="宋体" w:eastAsia="宋体" w:cs="宋体"/>
          <w:b/>
          <w:bCs w:val="0"/>
          <w:color w:val="auto"/>
          <w:kern w:val="0"/>
          <w:sz w:val="52"/>
          <w:szCs w:val="52"/>
          <w:highlight w:val="none"/>
        </w:rPr>
      </w:pPr>
    </w:p>
    <w:p w14:paraId="6F03BB48">
      <w:pPr>
        <w:rPr>
          <w:rFonts w:hint="eastAsia" w:ascii="宋体" w:hAnsi="宋体"/>
          <w:color w:val="auto"/>
          <w:sz w:val="44"/>
          <w:szCs w:val="44"/>
        </w:rPr>
      </w:pPr>
      <w:r>
        <w:rPr>
          <w:rFonts w:hint="eastAsia" w:ascii="宋体" w:hAnsi="宋体"/>
          <w:color w:val="auto"/>
          <w:sz w:val="44"/>
          <w:szCs w:val="44"/>
        </w:rPr>
        <w:br w:type="page"/>
      </w:r>
    </w:p>
    <w:p w14:paraId="511A58FA">
      <w:pPr>
        <w:pStyle w:val="3"/>
        <w:keepNext/>
        <w:keepLines/>
        <w:pageBreakBefore w:val="0"/>
        <w:widowControl w:val="0"/>
        <w:kinsoku/>
        <w:wordWrap/>
        <w:overflowPunct/>
        <w:topLinePunct w:val="0"/>
        <w:autoSpaceDE/>
        <w:autoSpaceDN/>
        <w:bidi w:val="0"/>
        <w:adjustRightInd/>
        <w:snapToGrid w:val="0"/>
        <w:spacing w:before="0" w:after="0" w:line="360" w:lineRule="auto"/>
        <w:jc w:val="center"/>
        <w:textAlignment w:val="auto"/>
        <w:rPr>
          <w:rFonts w:ascii="仿宋_GB2312" w:eastAsia="仿宋_GB2312"/>
          <w:color w:val="auto"/>
          <w:szCs w:val="32"/>
        </w:rPr>
      </w:pPr>
      <w:bookmarkStart w:id="106" w:name="_Toc20353"/>
      <w:r>
        <w:rPr>
          <w:rFonts w:hint="eastAsia" w:ascii="宋体" w:hAnsi="宋体"/>
          <w:color w:val="auto"/>
          <w:sz w:val="44"/>
          <w:szCs w:val="44"/>
        </w:rPr>
        <w:t>第六章 响应文件格式</w:t>
      </w:r>
      <w:bookmarkEnd w:id="84"/>
      <w:bookmarkEnd w:id="104"/>
      <w:bookmarkEnd w:id="106"/>
    </w:p>
    <w:p w14:paraId="46216E6D">
      <w:pPr>
        <w:spacing w:line="360" w:lineRule="auto"/>
        <w:ind w:firstLine="411" w:firstLineChars="196"/>
        <w:rPr>
          <w:rFonts w:ascii="仿宋_GB2312" w:hAnsi="宋体" w:eastAsia="仿宋_GB2312"/>
          <w:b/>
          <w:color w:val="auto"/>
          <w:sz w:val="28"/>
          <w:szCs w:val="28"/>
        </w:rPr>
      </w:pPr>
      <w:r>
        <w:rPr>
          <w:rFonts w:hint="eastAsia" w:ascii="宋体" w:hAnsi="宋体"/>
          <w:color w:val="auto"/>
          <w:szCs w:val="21"/>
        </w:rPr>
        <w:t>响应文件格式是供应商的部分响应文件格式，供应商应当严格按照这些格式编制响应文件。编制响应文件前，请详细阅读磋商文件，理解文件中的每一项要求，做出逐一实质性响应，认为有必要，可做补充说明。</w:t>
      </w:r>
    </w:p>
    <w:p w14:paraId="070163DE">
      <w:pPr>
        <w:spacing w:line="400" w:lineRule="exact"/>
        <w:jc w:val="center"/>
        <w:rPr>
          <w:rFonts w:ascii="仿宋_GB2312" w:hAnsi="宋体" w:eastAsia="仿宋_GB2312"/>
          <w:b/>
          <w:color w:val="auto"/>
          <w:sz w:val="28"/>
          <w:szCs w:val="28"/>
        </w:rPr>
      </w:pPr>
    </w:p>
    <w:p w14:paraId="7CD386F7">
      <w:pPr>
        <w:spacing w:line="400" w:lineRule="exact"/>
        <w:ind w:firstLine="570"/>
        <w:rPr>
          <w:rFonts w:ascii="仿宋_GB2312" w:hAnsi="宋体" w:eastAsia="仿宋_GB2312"/>
          <w:color w:val="auto"/>
          <w:sz w:val="28"/>
          <w:szCs w:val="28"/>
        </w:rPr>
      </w:pPr>
    </w:p>
    <w:p w14:paraId="137ADB9A">
      <w:pPr>
        <w:spacing w:line="400" w:lineRule="exact"/>
        <w:ind w:firstLine="570"/>
        <w:rPr>
          <w:rFonts w:ascii="仿宋_GB2312" w:hAnsi="宋体" w:eastAsia="仿宋_GB2312"/>
          <w:color w:val="auto"/>
          <w:sz w:val="28"/>
          <w:szCs w:val="28"/>
        </w:rPr>
      </w:pPr>
    </w:p>
    <w:p w14:paraId="203A7FDD">
      <w:pPr>
        <w:spacing w:line="400" w:lineRule="exact"/>
        <w:ind w:firstLine="570"/>
        <w:rPr>
          <w:rFonts w:ascii="仿宋_GB2312" w:hAnsi="宋体" w:eastAsia="仿宋_GB2312"/>
          <w:color w:val="auto"/>
          <w:sz w:val="28"/>
          <w:szCs w:val="28"/>
        </w:rPr>
      </w:pPr>
    </w:p>
    <w:p w14:paraId="6973982F">
      <w:pPr>
        <w:spacing w:line="400" w:lineRule="exact"/>
        <w:ind w:firstLine="570"/>
        <w:rPr>
          <w:rFonts w:ascii="仿宋_GB2312" w:hAnsi="宋体" w:eastAsia="仿宋_GB2312"/>
          <w:color w:val="auto"/>
          <w:sz w:val="28"/>
          <w:szCs w:val="28"/>
        </w:rPr>
      </w:pPr>
    </w:p>
    <w:p w14:paraId="57A888EA">
      <w:pPr>
        <w:spacing w:line="400" w:lineRule="exact"/>
        <w:ind w:firstLine="570"/>
        <w:rPr>
          <w:rFonts w:ascii="仿宋_GB2312" w:hAnsi="宋体" w:eastAsia="仿宋_GB2312"/>
          <w:color w:val="auto"/>
          <w:sz w:val="28"/>
          <w:szCs w:val="28"/>
        </w:rPr>
      </w:pPr>
    </w:p>
    <w:p w14:paraId="38A5FED9">
      <w:pPr>
        <w:spacing w:line="400" w:lineRule="exact"/>
        <w:ind w:firstLine="570"/>
        <w:rPr>
          <w:rFonts w:ascii="仿宋_GB2312" w:hAnsi="宋体" w:eastAsia="仿宋_GB2312"/>
          <w:color w:val="auto"/>
          <w:sz w:val="28"/>
          <w:szCs w:val="28"/>
        </w:rPr>
      </w:pPr>
    </w:p>
    <w:p w14:paraId="4084038D">
      <w:pPr>
        <w:spacing w:line="400" w:lineRule="exact"/>
        <w:ind w:firstLine="570"/>
        <w:rPr>
          <w:rFonts w:ascii="仿宋_GB2312" w:hAnsi="宋体" w:eastAsia="仿宋_GB2312"/>
          <w:color w:val="auto"/>
          <w:sz w:val="28"/>
          <w:szCs w:val="28"/>
        </w:rPr>
      </w:pPr>
    </w:p>
    <w:p w14:paraId="5ED1DE29">
      <w:pPr>
        <w:spacing w:line="400" w:lineRule="exact"/>
        <w:ind w:firstLine="570"/>
        <w:rPr>
          <w:rFonts w:ascii="仿宋_GB2312" w:hAnsi="宋体" w:eastAsia="仿宋_GB2312"/>
          <w:color w:val="auto"/>
          <w:sz w:val="28"/>
          <w:szCs w:val="28"/>
        </w:rPr>
      </w:pPr>
    </w:p>
    <w:p w14:paraId="4AE1ACBA">
      <w:pPr>
        <w:spacing w:line="400" w:lineRule="exact"/>
        <w:ind w:firstLine="570"/>
        <w:rPr>
          <w:rFonts w:ascii="仿宋_GB2312" w:hAnsi="宋体" w:eastAsia="仿宋_GB2312"/>
          <w:color w:val="auto"/>
          <w:sz w:val="28"/>
          <w:szCs w:val="28"/>
        </w:rPr>
      </w:pPr>
    </w:p>
    <w:p w14:paraId="2A4097E9">
      <w:pPr>
        <w:spacing w:line="400" w:lineRule="exact"/>
        <w:ind w:firstLine="570"/>
        <w:rPr>
          <w:rFonts w:ascii="仿宋_GB2312" w:hAnsi="宋体" w:eastAsia="仿宋_GB2312"/>
          <w:color w:val="auto"/>
          <w:sz w:val="28"/>
          <w:szCs w:val="28"/>
        </w:rPr>
      </w:pPr>
    </w:p>
    <w:p w14:paraId="24A0E923">
      <w:pPr>
        <w:spacing w:line="400" w:lineRule="exact"/>
        <w:ind w:firstLine="570"/>
        <w:rPr>
          <w:rFonts w:ascii="仿宋_GB2312" w:hAnsi="宋体" w:eastAsia="仿宋_GB2312"/>
          <w:color w:val="auto"/>
          <w:sz w:val="28"/>
          <w:szCs w:val="28"/>
        </w:rPr>
      </w:pPr>
    </w:p>
    <w:p w14:paraId="712335E3">
      <w:pPr>
        <w:wordWrap w:val="0"/>
        <w:jc w:val="right"/>
        <w:rPr>
          <w:rFonts w:ascii="宋体" w:hAnsi="宋体" w:cs="宋体"/>
          <w:color w:val="auto"/>
          <w:sz w:val="24"/>
        </w:rPr>
      </w:pPr>
      <w:r>
        <w:rPr>
          <w:rFonts w:ascii="仿宋_GB2312" w:hAnsi="宋体" w:eastAsia="仿宋_GB2312"/>
          <w:color w:val="auto"/>
          <w:sz w:val="28"/>
          <w:szCs w:val="28"/>
        </w:rPr>
        <w:br w:type="page"/>
      </w:r>
      <w:bookmarkStart w:id="107" w:name="_Toc217446082"/>
      <w:r>
        <w:rPr>
          <w:rFonts w:hint="eastAsia" w:ascii="宋体" w:hAnsi="宋体"/>
          <w:color w:val="auto"/>
          <w:sz w:val="24"/>
        </w:rPr>
        <w:t>正本/副本</w:t>
      </w:r>
    </w:p>
    <w:p w14:paraId="525DFB5E">
      <w:pPr>
        <w:wordWrap w:val="0"/>
        <w:jc w:val="right"/>
        <w:rPr>
          <w:rFonts w:ascii="宋体" w:hAnsi="宋体" w:cs="宋体"/>
          <w:color w:val="auto"/>
          <w:sz w:val="24"/>
        </w:rPr>
      </w:pPr>
    </w:p>
    <w:p w14:paraId="2F269B0D">
      <w:pPr>
        <w:wordWrap w:val="0"/>
        <w:jc w:val="right"/>
        <w:rPr>
          <w:rFonts w:ascii="宋体" w:hAnsi="宋体"/>
          <w:color w:val="auto"/>
          <w:sz w:val="24"/>
        </w:rPr>
      </w:pPr>
      <w:bookmarkStart w:id="108" w:name="_Toc18074972"/>
      <w:r>
        <w:rPr>
          <w:rFonts w:hint="eastAsia" w:ascii="宋体" w:hAnsi="宋体"/>
          <w:color w:val="auto"/>
          <w:sz w:val="24"/>
        </w:rPr>
        <w:t xml:space="preserve"> </w:t>
      </w:r>
    </w:p>
    <w:bookmarkEnd w:id="108"/>
    <w:p w14:paraId="6072CA9E">
      <w:pPr>
        <w:snapToGrid w:val="0"/>
        <w:rPr>
          <w:rFonts w:ascii="宋体" w:hAnsi="宋体"/>
          <w:color w:val="auto"/>
          <w:sz w:val="24"/>
        </w:rPr>
      </w:pPr>
      <w:r>
        <w:rPr>
          <w:rFonts w:hint="eastAsia" w:ascii="宋体" w:hAnsi="宋体"/>
          <w:color w:val="auto"/>
          <w:sz w:val="24"/>
        </w:rPr>
        <w:t>政府采购项目</w:t>
      </w:r>
    </w:p>
    <w:p w14:paraId="4EAAB3F8">
      <w:pPr>
        <w:pStyle w:val="2"/>
        <w:jc w:val="left"/>
        <w:rPr>
          <w:color w:val="auto"/>
        </w:rPr>
      </w:pPr>
      <w:r>
        <w:rPr>
          <w:rFonts w:hint="eastAsia" w:ascii="宋体" w:hAnsi="宋体"/>
          <w:color w:val="auto"/>
          <w:sz w:val="24"/>
        </w:rPr>
        <w:t>采购项目编号：</w:t>
      </w:r>
      <w:r>
        <w:rPr>
          <w:rFonts w:hint="eastAsia" w:ascii="宋体" w:hAnsi="宋体"/>
          <w:color w:val="auto"/>
          <w:sz w:val="24"/>
          <w:lang w:eastAsia="zh-CN"/>
        </w:rPr>
        <w:t>YZ2026-ZB037</w:t>
      </w:r>
    </w:p>
    <w:p w14:paraId="6B02B647">
      <w:pPr>
        <w:keepNext w:val="0"/>
        <w:keepLines w:val="0"/>
        <w:pageBreakBefore w:val="0"/>
        <w:widowControl w:val="0"/>
        <w:kinsoku/>
        <w:wordWrap/>
        <w:overflowPunct/>
        <w:topLinePunct w:val="0"/>
        <w:autoSpaceDE/>
        <w:autoSpaceDN/>
        <w:bidi w:val="0"/>
        <w:adjustRightInd/>
        <w:snapToGrid w:val="0"/>
        <w:spacing w:line="312" w:lineRule="auto"/>
        <w:jc w:val="center"/>
        <w:textAlignment w:val="auto"/>
        <w:rPr>
          <w:rFonts w:hint="default" w:ascii="宋体" w:hAnsi="宋体" w:eastAsia="宋体" w:cs="宋体"/>
          <w:b/>
          <w:color w:val="auto"/>
          <w:sz w:val="22"/>
          <w:szCs w:val="22"/>
          <w:highlight w:val="none"/>
          <w:lang w:val="en-US"/>
        </w:rPr>
      </w:pPr>
      <w:r>
        <w:rPr>
          <w:rFonts w:hint="eastAsia" w:asciiTheme="majorEastAsia" w:hAnsiTheme="majorEastAsia" w:eastAsiaTheme="majorEastAsia" w:cstheme="majorEastAsia"/>
          <w:b/>
          <w:bCs/>
          <w:color w:val="auto"/>
          <w:sz w:val="48"/>
          <w:szCs w:val="48"/>
          <w:lang w:eastAsia="zh-CN"/>
        </w:rPr>
        <w:t>旬邑县土桥镇地质灾害风险调查评价项目</w:t>
      </w:r>
    </w:p>
    <w:p w14:paraId="4C6CC846">
      <w:pPr>
        <w:pStyle w:val="29"/>
        <w:rPr>
          <w:color w:val="auto"/>
        </w:rPr>
      </w:pPr>
    </w:p>
    <w:p w14:paraId="3E7D448E">
      <w:pPr>
        <w:rPr>
          <w:rFonts w:ascii="宋体" w:hAnsi="宋体"/>
          <w:b/>
          <w:color w:val="auto"/>
          <w:sz w:val="84"/>
          <w:szCs w:val="84"/>
        </w:rPr>
      </w:pPr>
      <w:bookmarkStart w:id="109" w:name="_Toc18074973"/>
    </w:p>
    <w:p w14:paraId="20FCBBE2">
      <w:pPr>
        <w:jc w:val="center"/>
        <w:rPr>
          <w:rFonts w:ascii="宋体" w:hAnsi="宋体"/>
          <w:b/>
          <w:color w:val="auto"/>
          <w:sz w:val="84"/>
          <w:szCs w:val="84"/>
        </w:rPr>
      </w:pPr>
      <w:r>
        <w:rPr>
          <w:rFonts w:hint="eastAsia" w:ascii="宋体" w:hAnsi="宋体"/>
          <w:b/>
          <w:color w:val="auto"/>
          <w:sz w:val="84"/>
          <w:szCs w:val="84"/>
        </w:rPr>
        <w:t>竞争性磋商响应文件</w:t>
      </w:r>
      <w:bookmarkEnd w:id="109"/>
    </w:p>
    <w:p w14:paraId="2B07F09E">
      <w:pPr>
        <w:pStyle w:val="8"/>
        <w:rPr>
          <w:color w:val="auto"/>
          <w:sz w:val="28"/>
          <w:szCs w:val="28"/>
        </w:rPr>
      </w:pPr>
    </w:p>
    <w:p w14:paraId="63D8078B">
      <w:pPr>
        <w:pStyle w:val="8"/>
        <w:rPr>
          <w:color w:val="auto"/>
          <w:sz w:val="28"/>
          <w:szCs w:val="28"/>
        </w:rPr>
      </w:pPr>
    </w:p>
    <w:p w14:paraId="30B6BF4E">
      <w:pPr>
        <w:pStyle w:val="8"/>
        <w:rPr>
          <w:color w:val="auto"/>
          <w:sz w:val="28"/>
          <w:szCs w:val="28"/>
        </w:rPr>
      </w:pPr>
    </w:p>
    <w:p w14:paraId="0E315B9A">
      <w:pPr>
        <w:pStyle w:val="8"/>
        <w:rPr>
          <w:color w:val="auto"/>
          <w:sz w:val="28"/>
          <w:szCs w:val="28"/>
        </w:rPr>
      </w:pPr>
    </w:p>
    <w:p w14:paraId="1FFCFF28">
      <w:pPr>
        <w:outlineLvl w:val="9"/>
        <w:rPr>
          <w:color w:val="auto"/>
        </w:rPr>
      </w:pPr>
    </w:p>
    <w:p w14:paraId="4AA953E7">
      <w:pPr>
        <w:rPr>
          <w:color w:val="auto"/>
        </w:rPr>
      </w:pPr>
    </w:p>
    <w:p w14:paraId="27A4A2C4">
      <w:pPr>
        <w:pStyle w:val="8"/>
        <w:spacing w:before="120" w:beforeLines="50"/>
        <w:ind w:firstLine="1630" w:firstLineChars="580"/>
        <w:rPr>
          <w:rFonts w:ascii="宋体" w:hAnsi="宋体"/>
          <w:b/>
          <w:color w:val="auto"/>
          <w:sz w:val="28"/>
          <w:szCs w:val="28"/>
        </w:rPr>
      </w:pPr>
    </w:p>
    <w:p w14:paraId="07017B09">
      <w:pPr>
        <w:rPr>
          <w:rFonts w:ascii="宋体" w:hAnsi="宋体"/>
          <w:b/>
          <w:color w:val="auto"/>
          <w:sz w:val="28"/>
          <w:szCs w:val="28"/>
        </w:rPr>
      </w:pPr>
    </w:p>
    <w:p w14:paraId="782D17C9">
      <w:pPr>
        <w:rPr>
          <w:rFonts w:ascii="宋体" w:hAnsi="宋体"/>
          <w:b/>
          <w:color w:val="auto"/>
          <w:sz w:val="28"/>
          <w:szCs w:val="28"/>
        </w:rPr>
      </w:pPr>
    </w:p>
    <w:p w14:paraId="6B49C091">
      <w:pPr>
        <w:rPr>
          <w:rFonts w:ascii="宋体" w:hAnsi="宋体"/>
          <w:b/>
          <w:color w:val="auto"/>
          <w:sz w:val="28"/>
          <w:szCs w:val="28"/>
        </w:rPr>
      </w:pPr>
    </w:p>
    <w:p w14:paraId="380E7E60">
      <w:pPr>
        <w:rPr>
          <w:rFonts w:ascii="宋体" w:hAnsi="宋体"/>
          <w:b/>
          <w:color w:val="auto"/>
          <w:sz w:val="28"/>
          <w:szCs w:val="28"/>
        </w:rPr>
      </w:pPr>
    </w:p>
    <w:p w14:paraId="431B2A53">
      <w:pPr>
        <w:rPr>
          <w:rFonts w:ascii="宋体" w:hAnsi="宋体"/>
          <w:b/>
          <w:color w:val="auto"/>
          <w:sz w:val="28"/>
          <w:szCs w:val="28"/>
        </w:rPr>
      </w:pPr>
    </w:p>
    <w:p w14:paraId="61AF8303"/>
    <w:p w14:paraId="50FCF729">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供  应  商：</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 xml:space="preserve">（盖章） </w:t>
      </w:r>
    </w:p>
    <w:p w14:paraId="531259A3">
      <w:pPr>
        <w:spacing w:line="480" w:lineRule="auto"/>
        <w:ind w:firstLine="843" w:firstLineChars="300"/>
        <w:rPr>
          <w:rFonts w:ascii="宋体" w:hAnsi="宋体"/>
          <w:b/>
          <w:bCs/>
          <w:color w:val="auto"/>
          <w:sz w:val="28"/>
          <w:szCs w:val="28"/>
        </w:rPr>
      </w:pPr>
      <w:r>
        <w:rPr>
          <w:rFonts w:hint="eastAsia" w:ascii="宋体" w:hAnsi="宋体" w:cs="仿宋_GB2312"/>
          <w:b/>
          <w:bCs/>
          <w:color w:val="auto"/>
          <w:sz w:val="28"/>
          <w:szCs w:val="28"/>
        </w:rPr>
        <w:t>法定代表人或其委托代理人：</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（签字或盖章）</w:t>
      </w:r>
    </w:p>
    <w:p w14:paraId="58E9460C">
      <w:pPr>
        <w:spacing w:line="480" w:lineRule="auto"/>
        <w:ind w:firstLine="843" w:firstLineChars="300"/>
        <w:rPr>
          <w:rFonts w:ascii="宋体" w:hAnsi="宋体" w:cs="仿宋_GB2312"/>
          <w:b/>
          <w:bCs/>
          <w:color w:val="auto"/>
          <w:sz w:val="28"/>
          <w:szCs w:val="28"/>
        </w:rPr>
      </w:pPr>
      <w:r>
        <w:rPr>
          <w:rFonts w:hint="eastAsia" w:ascii="宋体" w:hAnsi="宋体" w:cs="仿宋_GB2312"/>
          <w:b/>
          <w:bCs/>
          <w:color w:val="auto"/>
          <w:sz w:val="28"/>
          <w:szCs w:val="28"/>
        </w:rPr>
        <w:t>日      期：</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年</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月</w:t>
      </w:r>
      <w:r>
        <w:rPr>
          <w:rFonts w:hint="eastAsia" w:ascii="宋体" w:hAnsi="宋体" w:cs="仿宋_GB2312"/>
          <w:b/>
          <w:bCs/>
          <w:color w:val="auto"/>
          <w:sz w:val="28"/>
          <w:szCs w:val="28"/>
          <w:u w:val="single"/>
        </w:rPr>
        <w:t xml:space="preserve">    </w:t>
      </w:r>
      <w:r>
        <w:rPr>
          <w:rFonts w:hint="eastAsia" w:ascii="宋体" w:hAnsi="宋体" w:cs="仿宋_GB2312"/>
          <w:b/>
          <w:bCs/>
          <w:color w:val="auto"/>
          <w:sz w:val="28"/>
          <w:szCs w:val="28"/>
        </w:rPr>
        <w:t>日</w:t>
      </w:r>
    </w:p>
    <w:p w14:paraId="6CDB1CDC">
      <w:pPr>
        <w:rPr>
          <w:rFonts w:hint="eastAsia" w:ascii="方正小标宋简体" w:eastAsia="方正小标宋简体"/>
          <w:color w:val="auto"/>
          <w:sz w:val="44"/>
          <w:szCs w:val="44"/>
        </w:rPr>
      </w:pPr>
      <w:r>
        <w:rPr>
          <w:rFonts w:hint="eastAsia" w:ascii="方正小标宋简体" w:eastAsia="方正小标宋简体"/>
          <w:color w:val="auto"/>
          <w:sz w:val="44"/>
          <w:szCs w:val="44"/>
        </w:rPr>
        <w:br w:type="page"/>
      </w:r>
    </w:p>
    <w:p w14:paraId="6DFACF86">
      <w:pPr>
        <w:pStyle w:val="8"/>
        <w:spacing w:before="120" w:beforeLines="50" w:after="120" w:afterLines="50"/>
        <w:ind w:firstLine="0"/>
        <w:jc w:val="center"/>
        <w:rPr>
          <w:rFonts w:ascii="方正小标宋简体" w:eastAsia="方正小标宋简体"/>
          <w:color w:val="auto"/>
          <w:sz w:val="44"/>
          <w:szCs w:val="44"/>
        </w:rPr>
      </w:pPr>
      <w:r>
        <w:rPr>
          <w:rFonts w:hint="eastAsia" w:ascii="方正小标宋简体" w:eastAsia="方正小标宋简体"/>
          <w:color w:val="auto"/>
          <w:sz w:val="44"/>
          <w:szCs w:val="44"/>
        </w:rPr>
        <w:t xml:space="preserve">目  </w:t>
      </w:r>
      <w:r>
        <w:rPr>
          <w:rFonts w:hint="eastAsia" w:ascii="方正小标宋简体" w:eastAsia="方正小标宋简体"/>
          <w:b/>
          <w:bCs/>
          <w:color w:val="auto"/>
          <w:sz w:val="44"/>
          <w:szCs w:val="44"/>
        </w:rPr>
        <w:t>录</w:t>
      </w:r>
    </w:p>
    <w:p w14:paraId="537138B1">
      <w:pPr>
        <w:pStyle w:val="8"/>
        <w:spacing w:before="120" w:beforeLines="50"/>
        <w:ind w:firstLine="0"/>
        <w:rPr>
          <w:rFonts w:ascii="宋体" w:hAnsi="宋体" w:cs="宋体"/>
          <w:color w:val="auto"/>
          <w:szCs w:val="21"/>
        </w:rPr>
      </w:pPr>
      <w:r>
        <w:rPr>
          <w:rFonts w:hint="eastAsia" w:ascii="宋体" w:hAnsi="宋体" w:cs="宋体"/>
          <w:color w:val="auto"/>
          <w:szCs w:val="21"/>
        </w:rPr>
        <w:t>格式自拟，须编制页码</w:t>
      </w:r>
    </w:p>
    <w:p w14:paraId="038121A2">
      <w:pPr>
        <w:rPr>
          <w:rFonts w:ascii="宋体" w:hAnsi="宋体" w:cs="宋体"/>
          <w:color w:val="auto"/>
          <w:szCs w:val="21"/>
        </w:rPr>
      </w:pPr>
      <w:r>
        <w:rPr>
          <w:rFonts w:hint="eastAsia" w:ascii="宋体" w:hAnsi="宋体" w:cs="宋体"/>
          <w:color w:val="auto"/>
          <w:szCs w:val="21"/>
        </w:rPr>
        <w:br w:type="page"/>
      </w:r>
    </w:p>
    <w:p w14:paraId="7D4B5C0F">
      <w:pPr>
        <w:pStyle w:val="8"/>
        <w:spacing w:before="120" w:beforeLines="50"/>
        <w:ind w:firstLine="0"/>
        <w:rPr>
          <w:rFonts w:ascii="宋体" w:hAnsi="宋体" w:cs="宋体"/>
          <w:color w:val="auto"/>
          <w:szCs w:val="21"/>
        </w:rPr>
      </w:pPr>
    </w:p>
    <w:p w14:paraId="3A52F8B0">
      <w:pPr>
        <w:pStyle w:val="8"/>
        <w:spacing w:before="120" w:beforeLines="50"/>
        <w:ind w:firstLine="0"/>
        <w:rPr>
          <w:rFonts w:ascii="黑体" w:eastAsia="黑体"/>
          <w:color w:val="auto"/>
          <w:sz w:val="52"/>
          <w:szCs w:val="52"/>
        </w:rPr>
      </w:pPr>
    </w:p>
    <w:p w14:paraId="19EEEC3D">
      <w:pPr>
        <w:pStyle w:val="8"/>
        <w:spacing w:before="120" w:beforeLines="50"/>
        <w:ind w:firstLine="0"/>
        <w:rPr>
          <w:rFonts w:ascii="黑体" w:eastAsia="黑体"/>
          <w:color w:val="auto"/>
          <w:sz w:val="52"/>
          <w:szCs w:val="52"/>
        </w:rPr>
      </w:pPr>
    </w:p>
    <w:p w14:paraId="446F397B">
      <w:pPr>
        <w:pStyle w:val="8"/>
        <w:spacing w:before="120" w:beforeLines="50"/>
        <w:ind w:firstLine="0"/>
        <w:rPr>
          <w:rFonts w:ascii="黑体" w:eastAsia="黑体"/>
          <w:color w:val="auto"/>
          <w:sz w:val="52"/>
          <w:szCs w:val="52"/>
        </w:rPr>
      </w:pPr>
    </w:p>
    <w:p w14:paraId="2D15CD0F">
      <w:pPr>
        <w:pStyle w:val="8"/>
        <w:spacing w:before="120" w:beforeLines="50"/>
        <w:ind w:firstLine="0"/>
        <w:rPr>
          <w:rFonts w:ascii="黑体" w:eastAsia="黑体"/>
          <w:color w:val="auto"/>
          <w:sz w:val="52"/>
          <w:szCs w:val="52"/>
        </w:rPr>
      </w:pPr>
    </w:p>
    <w:p w14:paraId="6997FEF8">
      <w:pPr>
        <w:pStyle w:val="8"/>
        <w:spacing w:before="120" w:beforeLines="50"/>
        <w:ind w:firstLine="0"/>
        <w:rPr>
          <w:rFonts w:ascii="黑体" w:eastAsia="黑体"/>
          <w:color w:val="auto"/>
          <w:sz w:val="52"/>
          <w:szCs w:val="52"/>
        </w:rPr>
      </w:pPr>
    </w:p>
    <w:p w14:paraId="1981F502">
      <w:pPr>
        <w:pStyle w:val="8"/>
        <w:spacing w:before="120" w:beforeLines="50"/>
        <w:ind w:firstLine="0"/>
        <w:rPr>
          <w:rFonts w:ascii="黑体" w:eastAsia="黑体"/>
          <w:color w:val="auto"/>
          <w:sz w:val="52"/>
          <w:szCs w:val="52"/>
        </w:rPr>
      </w:pPr>
    </w:p>
    <w:p w14:paraId="6646537D">
      <w:pPr>
        <w:pStyle w:val="8"/>
        <w:spacing w:before="120" w:beforeLines="50"/>
        <w:ind w:firstLine="0"/>
        <w:jc w:val="center"/>
        <w:outlineLvl w:val="9"/>
        <w:rPr>
          <w:rFonts w:ascii="宋体" w:hAnsi="宋体"/>
          <w:b/>
          <w:color w:val="auto"/>
          <w:sz w:val="72"/>
          <w:szCs w:val="72"/>
        </w:rPr>
      </w:pPr>
      <w:bookmarkStart w:id="110" w:name="_Toc11648"/>
      <w:r>
        <w:rPr>
          <w:rFonts w:hint="eastAsia" w:ascii="宋体" w:hAnsi="宋体"/>
          <w:b/>
          <w:color w:val="auto"/>
          <w:sz w:val="72"/>
          <w:szCs w:val="72"/>
        </w:rPr>
        <w:t>资格审查部分</w:t>
      </w:r>
      <w:bookmarkEnd w:id="110"/>
    </w:p>
    <w:p w14:paraId="7A614BD9">
      <w:pPr>
        <w:pStyle w:val="8"/>
        <w:spacing w:before="120" w:beforeLines="50"/>
        <w:ind w:firstLine="0"/>
        <w:rPr>
          <w:rFonts w:ascii="仿宋_GB2312" w:eastAsia="仿宋_GB2312"/>
          <w:color w:val="auto"/>
          <w:sz w:val="36"/>
          <w:szCs w:val="36"/>
        </w:rPr>
      </w:pPr>
    </w:p>
    <w:p w14:paraId="5BAF1701">
      <w:pPr>
        <w:pStyle w:val="8"/>
        <w:spacing w:before="120" w:beforeLines="50"/>
        <w:ind w:firstLine="0"/>
        <w:rPr>
          <w:rFonts w:ascii="仿宋_GB2312" w:eastAsia="仿宋_GB2312"/>
          <w:color w:val="auto"/>
          <w:sz w:val="36"/>
          <w:szCs w:val="36"/>
        </w:rPr>
      </w:pPr>
    </w:p>
    <w:p w14:paraId="4D5DF511">
      <w:pPr>
        <w:pStyle w:val="8"/>
        <w:spacing w:before="120" w:beforeLines="50"/>
        <w:ind w:firstLine="0"/>
        <w:rPr>
          <w:rFonts w:ascii="仿宋_GB2312" w:eastAsia="仿宋_GB2312"/>
          <w:color w:val="auto"/>
          <w:sz w:val="36"/>
          <w:szCs w:val="36"/>
        </w:rPr>
      </w:pPr>
    </w:p>
    <w:p w14:paraId="4F1B81A5">
      <w:pPr>
        <w:pStyle w:val="8"/>
        <w:spacing w:before="120" w:beforeLines="50"/>
        <w:ind w:firstLine="0"/>
        <w:rPr>
          <w:rFonts w:ascii="仿宋_GB2312" w:eastAsia="仿宋_GB2312"/>
          <w:color w:val="auto"/>
          <w:sz w:val="36"/>
          <w:szCs w:val="36"/>
        </w:rPr>
      </w:pPr>
    </w:p>
    <w:p w14:paraId="2CB57782">
      <w:pPr>
        <w:pStyle w:val="8"/>
        <w:spacing w:before="120" w:beforeLines="50"/>
        <w:ind w:firstLine="0"/>
        <w:rPr>
          <w:rFonts w:ascii="仿宋_GB2312" w:eastAsia="仿宋_GB2312"/>
          <w:color w:val="auto"/>
          <w:sz w:val="36"/>
          <w:szCs w:val="36"/>
        </w:rPr>
      </w:pPr>
    </w:p>
    <w:p w14:paraId="122EAD53">
      <w:pPr>
        <w:pStyle w:val="8"/>
        <w:spacing w:before="120" w:beforeLines="50"/>
        <w:ind w:firstLine="0"/>
        <w:rPr>
          <w:rFonts w:ascii="仿宋_GB2312" w:eastAsia="仿宋_GB2312"/>
          <w:color w:val="auto"/>
          <w:sz w:val="36"/>
          <w:szCs w:val="36"/>
        </w:rPr>
      </w:pPr>
    </w:p>
    <w:bookmarkEnd w:id="107"/>
    <w:p w14:paraId="3DDF5DCA">
      <w:pPr>
        <w:adjustRightInd w:val="0"/>
        <w:snapToGrid w:val="0"/>
        <w:spacing w:line="360" w:lineRule="auto"/>
        <w:jc w:val="center"/>
        <w:rPr>
          <w:rFonts w:ascii="宋体" w:hAnsi="宋体"/>
          <w:b/>
          <w:color w:val="auto"/>
          <w:sz w:val="36"/>
          <w:szCs w:val="36"/>
        </w:rPr>
      </w:pPr>
      <w:r>
        <w:rPr>
          <w:rFonts w:ascii="宋体" w:hAnsi="宋体"/>
          <w:b/>
          <w:color w:val="auto"/>
          <w:sz w:val="36"/>
          <w:szCs w:val="36"/>
        </w:rPr>
        <w:br w:type="page"/>
      </w:r>
      <w:r>
        <w:rPr>
          <w:rFonts w:hint="eastAsia" w:ascii="宋体" w:hAnsi="宋体"/>
          <w:b/>
          <w:color w:val="auto"/>
          <w:sz w:val="36"/>
          <w:szCs w:val="36"/>
        </w:rPr>
        <w:t>一、供应商基本情况表</w:t>
      </w:r>
    </w:p>
    <w:tbl>
      <w:tblPr>
        <w:tblStyle w:val="2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20"/>
        <w:gridCol w:w="946"/>
        <w:gridCol w:w="2230"/>
        <w:gridCol w:w="1275"/>
        <w:gridCol w:w="2755"/>
      </w:tblGrid>
      <w:tr w14:paraId="7E0F7D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4F6D3E41">
            <w:pPr>
              <w:topLinePunct/>
              <w:spacing w:line="440" w:lineRule="exact"/>
              <w:jc w:val="center"/>
              <w:rPr>
                <w:rFonts w:ascii="宋体" w:hAnsi="宋体"/>
                <w:color w:val="auto"/>
                <w:szCs w:val="21"/>
              </w:rPr>
            </w:pPr>
            <w:r>
              <w:rPr>
                <w:rFonts w:ascii="宋体" w:hAnsi="宋体"/>
                <w:color w:val="auto"/>
                <w:szCs w:val="21"/>
              </w:rPr>
              <w:t>供应商名称</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2330B17D">
            <w:pPr>
              <w:topLinePunct/>
              <w:spacing w:line="440" w:lineRule="exact"/>
              <w:jc w:val="center"/>
              <w:rPr>
                <w:rFonts w:ascii="宋体" w:hAnsi="宋体"/>
                <w:color w:val="auto"/>
                <w:szCs w:val="21"/>
              </w:rPr>
            </w:pPr>
          </w:p>
        </w:tc>
      </w:tr>
      <w:tr w14:paraId="7DF83A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2DA9AEC9">
            <w:pPr>
              <w:topLinePunct/>
              <w:spacing w:line="440" w:lineRule="exact"/>
              <w:jc w:val="center"/>
              <w:rPr>
                <w:rFonts w:ascii="宋体" w:hAnsi="宋体"/>
                <w:color w:val="auto"/>
                <w:szCs w:val="21"/>
              </w:rPr>
            </w:pPr>
            <w:r>
              <w:rPr>
                <w:rFonts w:ascii="宋体" w:hAnsi="宋体"/>
                <w:color w:val="auto"/>
                <w:szCs w:val="21"/>
              </w:rPr>
              <w:t>注册地址</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5FEC3F06">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5009EAAE">
            <w:pPr>
              <w:topLinePunct/>
              <w:spacing w:line="440" w:lineRule="exact"/>
              <w:jc w:val="center"/>
              <w:rPr>
                <w:rFonts w:ascii="宋体" w:hAnsi="宋体"/>
                <w:color w:val="auto"/>
                <w:szCs w:val="21"/>
              </w:rPr>
            </w:pPr>
            <w:r>
              <w:rPr>
                <w:rFonts w:ascii="宋体" w:hAnsi="宋体"/>
                <w:color w:val="auto"/>
                <w:szCs w:val="21"/>
              </w:rPr>
              <w:t>邮政编码</w:t>
            </w:r>
          </w:p>
        </w:tc>
        <w:tc>
          <w:tcPr>
            <w:tcW w:w="2755" w:type="dxa"/>
            <w:tcBorders>
              <w:top w:val="single" w:color="auto" w:sz="4" w:space="0"/>
              <w:left w:val="single" w:color="auto" w:sz="4" w:space="0"/>
              <w:bottom w:val="single" w:color="auto" w:sz="4" w:space="0"/>
              <w:right w:val="single" w:color="auto" w:sz="4" w:space="0"/>
            </w:tcBorders>
            <w:vAlign w:val="center"/>
          </w:tcPr>
          <w:p w14:paraId="5CB3F69A">
            <w:pPr>
              <w:topLinePunct/>
              <w:spacing w:line="440" w:lineRule="exact"/>
              <w:jc w:val="center"/>
              <w:rPr>
                <w:rFonts w:ascii="宋体" w:hAnsi="宋体"/>
                <w:color w:val="auto"/>
                <w:szCs w:val="21"/>
              </w:rPr>
            </w:pPr>
          </w:p>
        </w:tc>
      </w:tr>
      <w:tr w14:paraId="2D8944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820" w:type="dxa"/>
            <w:vMerge w:val="restart"/>
            <w:tcBorders>
              <w:top w:val="single" w:color="auto" w:sz="4" w:space="0"/>
              <w:left w:val="single" w:color="auto" w:sz="4" w:space="0"/>
              <w:bottom w:val="single" w:color="auto" w:sz="4" w:space="0"/>
              <w:right w:val="single" w:color="auto" w:sz="4" w:space="0"/>
            </w:tcBorders>
            <w:vAlign w:val="center"/>
          </w:tcPr>
          <w:p w14:paraId="62CCFBF0">
            <w:pPr>
              <w:topLinePunct/>
              <w:spacing w:line="440" w:lineRule="exact"/>
              <w:jc w:val="center"/>
              <w:rPr>
                <w:rFonts w:ascii="宋体" w:hAnsi="宋体"/>
                <w:color w:val="auto"/>
                <w:szCs w:val="21"/>
              </w:rPr>
            </w:pPr>
            <w:r>
              <w:rPr>
                <w:rFonts w:ascii="宋体" w:hAnsi="宋体"/>
                <w:color w:val="auto"/>
                <w:szCs w:val="21"/>
              </w:rPr>
              <w:t>联系方式</w:t>
            </w:r>
          </w:p>
        </w:tc>
        <w:tc>
          <w:tcPr>
            <w:tcW w:w="946" w:type="dxa"/>
            <w:tcBorders>
              <w:top w:val="single" w:color="auto" w:sz="4" w:space="0"/>
              <w:left w:val="single" w:color="auto" w:sz="4" w:space="0"/>
              <w:bottom w:val="single" w:color="auto" w:sz="4" w:space="0"/>
              <w:right w:val="single" w:color="auto" w:sz="4" w:space="0"/>
            </w:tcBorders>
            <w:vAlign w:val="center"/>
          </w:tcPr>
          <w:p w14:paraId="72205343">
            <w:pPr>
              <w:topLinePunct/>
              <w:spacing w:line="440" w:lineRule="exact"/>
              <w:jc w:val="center"/>
              <w:rPr>
                <w:rFonts w:ascii="宋体" w:hAnsi="宋体"/>
                <w:color w:val="auto"/>
                <w:szCs w:val="21"/>
              </w:rPr>
            </w:pPr>
            <w:r>
              <w:rPr>
                <w:rFonts w:ascii="宋体" w:hAnsi="宋体"/>
                <w:color w:val="auto"/>
                <w:szCs w:val="21"/>
              </w:rPr>
              <w:t>联系人</w:t>
            </w:r>
          </w:p>
        </w:tc>
        <w:tc>
          <w:tcPr>
            <w:tcW w:w="2230" w:type="dxa"/>
            <w:tcBorders>
              <w:top w:val="single" w:color="auto" w:sz="4" w:space="0"/>
              <w:left w:val="single" w:color="auto" w:sz="4" w:space="0"/>
              <w:bottom w:val="single" w:color="auto" w:sz="4" w:space="0"/>
              <w:right w:val="single" w:color="auto" w:sz="4" w:space="0"/>
            </w:tcBorders>
            <w:vAlign w:val="center"/>
          </w:tcPr>
          <w:p w14:paraId="22480E56">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13038624">
            <w:pPr>
              <w:topLinePunct/>
              <w:spacing w:line="440" w:lineRule="exact"/>
              <w:jc w:val="center"/>
              <w:rPr>
                <w:rFonts w:ascii="宋体" w:hAnsi="宋体"/>
                <w:color w:val="auto"/>
                <w:szCs w:val="21"/>
              </w:rPr>
            </w:pPr>
            <w:r>
              <w:rPr>
                <w:rFonts w:ascii="宋体" w:hAnsi="宋体"/>
                <w:color w:val="auto"/>
                <w:szCs w:val="21"/>
              </w:rPr>
              <w:t>电 话</w:t>
            </w:r>
          </w:p>
        </w:tc>
        <w:tc>
          <w:tcPr>
            <w:tcW w:w="2755" w:type="dxa"/>
            <w:tcBorders>
              <w:top w:val="single" w:color="auto" w:sz="4" w:space="0"/>
              <w:left w:val="single" w:color="auto" w:sz="4" w:space="0"/>
              <w:bottom w:val="single" w:color="auto" w:sz="4" w:space="0"/>
              <w:right w:val="single" w:color="auto" w:sz="4" w:space="0"/>
            </w:tcBorders>
            <w:vAlign w:val="center"/>
          </w:tcPr>
          <w:p w14:paraId="7F17ABBC">
            <w:pPr>
              <w:topLinePunct/>
              <w:spacing w:line="440" w:lineRule="exact"/>
              <w:jc w:val="center"/>
              <w:rPr>
                <w:rFonts w:ascii="宋体" w:hAnsi="宋体"/>
                <w:color w:val="auto"/>
                <w:szCs w:val="21"/>
              </w:rPr>
            </w:pPr>
          </w:p>
        </w:tc>
      </w:tr>
      <w:tr w14:paraId="55C5D3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4" w:hRule="atLeast"/>
          <w:jc w:val="center"/>
        </w:trPr>
        <w:tc>
          <w:tcPr>
            <w:tcW w:w="1820" w:type="dxa"/>
            <w:vMerge w:val="continue"/>
            <w:tcBorders>
              <w:top w:val="single" w:color="auto" w:sz="4" w:space="0"/>
              <w:left w:val="single" w:color="auto" w:sz="4" w:space="0"/>
              <w:bottom w:val="single" w:color="auto" w:sz="4" w:space="0"/>
              <w:right w:val="single" w:color="auto" w:sz="4" w:space="0"/>
            </w:tcBorders>
            <w:vAlign w:val="center"/>
          </w:tcPr>
          <w:p w14:paraId="514B3166">
            <w:pPr>
              <w:topLinePunct/>
              <w:spacing w:line="440" w:lineRule="exact"/>
              <w:jc w:val="center"/>
              <w:rPr>
                <w:rFonts w:ascii="宋体" w:hAnsi="宋体"/>
                <w:color w:val="auto"/>
                <w:szCs w:val="21"/>
              </w:rPr>
            </w:pPr>
          </w:p>
        </w:tc>
        <w:tc>
          <w:tcPr>
            <w:tcW w:w="946" w:type="dxa"/>
            <w:tcBorders>
              <w:top w:val="single" w:color="auto" w:sz="4" w:space="0"/>
              <w:left w:val="single" w:color="auto" w:sz="4" w:space="0"/>
              <w:bottom w:val="single" w:color="auto" w:sz="4" w:space="0"/>
              <w:right w:val="single" w:color="auto" w:sz="4" w:space="0"/>
            </w:tcBorders>
            <w:vAlign w:val="center"/>
          </w:tcPr>
          <w:p w14:paraId="3CDC2320">
            <w:pPr>
              <w:topLinePunct/>
              <w:spacing w:line="440" w:lineRule="exact"/>
              <w:jc w:val="center"/>
              <w:rPr>
                <w:rFonts w:ascii="宋体" w:hAnsi="宋体"/>
                <w:color w:val="auto"/>
                <w:szCs w:val="21"/>
              </w:rPr>
            </w:pPr>
            <w:r>
              <w:rPr>
                <w:rFonts w:ascii="宋体" w:hAnsi="宋体"/>
                <w:color w:val="auto"/>
                <w:szCs w:val="21"/>
              </w:rPr>
              <w:t>传  真</w:t>
            </w:r>
          </w:p>
        </w:tc>
        <w:tc>
          <w:tcPr>
            <w:tcW w:w="2230" w:type="dxa"/>
            <w:tcBorders>
              <w:top w:val="single" w:color="auto" w:sz="4" w:space="0"/>
              <w:left w:val="single" w:color="auto" w:sz="4" w:space="0"/>
              <w:bottom w:val="single" w:color="auto" w:sz="4" w:space="0"/>
              <w:right w:val="single" w:color="auto" w:sz="4" w:space="0"/>
            </w:tcBorders>
            <w:vAlign w:val="center"/>
          </w:tcPr>
          <w:p w14:paraId="709CF5D5">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4D16AA9E">
            <w:pPr>
              <w:topLinePunct/>
              <w:spacing w:line="440" w:lineRule="exact"/>
              <w:jc w:val="center"/>
              <w:rPr>
                <w:rFonts w:ascii="宋体" w:hAnsi="宋体"/>
                <w:color w:val="auto"/>
                <w:szCs w:val="21"/>
              </w:rPr>
            </w:pPr>
            <w:r>
              <w:rPr>
                <w:rFonts w:ascii="宋体" w:hAnsi="宋体"/>
                <w:color w:val="auto"/>
                <w:szCs w:val="21"/>
              </w:rPr>
              <w:t>网 址</w:t>
            </w:r>
          </w:p>
        </w:tc>
        <w:tc>
          <w:tcPr>
            <w:tcW w:w="2755" w:type="dxa"/>
            <w:tcBorders>
              <w:top w:val="single" w:color="auto" w:sz="4" w:space="0"/>
              <w:left w:val="single" w:color="auto" w:sz="4" w:space="0"/>
              <w:bottom w:val="single" w:color="auto" w:sz="4" w:space="0"/>
              <w:right w:val="single" w:color="auto" w:sz="4" w:space="0"/>
            </w:tcBorders>
            <w:vAlign w:val="center"/>
          </w:tcPr>
          <w:p w14:paraId="754C4B1F">
            <w:pPr>
              <w:topLinePunct/>
              <w:spacing w:line="440" w:lineRule="exact"/>
              <w:jc w:val="center"/>
              <w:rPr>
                <w:rFonts w:ascii="宋体" w:hAnsi="宋体"/>
                <w:color w:val="auto"/>
                <w:szCs w:val="21"/>
              </w:rPr>
            </w:pPr>
          </w:p>
        </w:tc>
      </w:tr>
      <w:tr w14:paraId="162EB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66C7CA96">
            <w:pPr>
              <w:topLinePunct/>
              <w:spacing w:line="440" w:lineRule="exact"/>
              <w:jc w:val="center"/>
              <w:rPr>
                <w:rFonts w:ascii="宋体" w:hAnsi="宋体"/>
                <w:color w:val="auto"/>
                <w:szCs w:val="21"/>
              </w:rPr>
            </w:pPr>
            <w:r>
              <w:rPr>
                <w:rFonts w:ascii="宋体" w:hAnsi="宋体"/>
                <w:color w:val="auto"/>
                <w:szCs w:val="21"/>
              </w:rPr>
              <w:t>企业类型</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0391EDB6">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28151945">
            <w:pPr>
              <w:topLinePunct/>
              <w:spacing w:line="440" w:lineRule="exact"/>
              <w:jc w:val="center"/>
              <w:rPr>
                <w:rFonts w:ascii="宋体" w:hAnsi="宋体"/>
                <w:color w:val="auto"/>
                <w:szCs w:val="21"/>
              </w:rPr>
            </w:pPr>
            <w:r>
              <w:rPr>
                <w:rFonts w:ascii="宋体" w:hAnsi="宋体"/>
                <w:color w:val="auto"/>
                <w:szCs w:val="21"/>
              </w:rPr>
              <w:t>企业规模</w:t>
            </w:r>
          </w:p>
        </w:tc>
        <w:tc>
          <w:tcPr>
            <w:tcW w:w="2755" w:type="dxa"/>
            <w:tcBorders>
              <w:top w:val="single" w:color="auto" w:sz="4" w:space="0"/>
              <w:left w:val="single" w:color="auto" w:sz="4" w:space="0"/>
              <w:bottom w:val="single" w:color="auto" w:sz="4" w:space="0"/>
              <w:right w:val="single" w:color="auto" w:sz="4" w:space="0"/>
            </w:tcBorders>
            <w:vAlign w:val="center"/>
          </w:tcPr>
          <w:p w14:paraId="35BF5894">
            <w:pPr>
              <w:topLinePunct/>
              <w:spacing w:line="440" w:lineRule="exact"/>
              <w:jc w:val="center"/>
              <w:rPr>
                <w:rFonts w:ascii="宋体" w:hAnsi="宋体"/>
                <w:color w:val="auto"/>
                <w:szCs w:val="21"/>
              </w:rPr>
            </w:pPr>
          </w:p>
        </w:tc>
      </w:tr>
      <w:tr w14:paraId="4F1EE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12D6D417">
            <w:pPr>
              <w:topLinePunct/>
              <w:spacing w:line="440" w:lineRule="exact"/>
              <w:jc w:val="center"/>
              <w:rPr>
                <w:rFonts w:ascii="宋体" w:hAnsi="宋体"/>
                <w:color w:val="auto"/>
                <w:szCs w:val="21"/>
              </w:rPr>
            </w:pPr>
            <w:r>
              <w:rPr>
                <w:rFonts w:ascii="宋体" w:hAnsi="宋体"/>
                <w:color w:val="auto"/>
                <w:szCs w:val="21"/>
              </w:rPr>
              <w:t>法定代表人</w:t>
            </w:r>
          </w:p>
        </w:tc>
        <w:tc>
          <w:tcPr>
            <w:tcW w:w="946" w:type="dxa"/>
            <w:tcBorders>
              <w:top w:val="single" w:color="auto" w:sz="4" w:space="0"/>
              <w:left w:val="single" w:color="auto" w:sz="4" w:space="0"/>
              <w:bottom w:val="single" w:color="auto" w:sz="4" w:space="0"/>
              <w:right w:val="single" w:color="auto" w:sz="4" w:space="0"/>
            </w:tcBorders>
            <w:vAlign w:val="center"/>
          </w:tcPr>
          <w:p w14:paraId="359D417E">
            <w:pPr>
              <w:topLinePunct/>
              <w:spacing w:line="440" w:lineRule="exact"/>
              <w:jc w:val="center"/>
              <w:rPr>
                <w:rFonts w:ascii="宋体" w:hAnsi="宋体"/>
                <w:color w:val="auto"/>
                <w:szCs w:val="21"/>
              </w:rPr>
            </w:pPr>
            <w:r>
              <w:rPr>
                <w:rFonts w:ascii="宋体" w:hAnsi="宋体"/>
                <w:color w:val="auto"/>
                <w:szCs w:val="21"/>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5DEF874C">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4BDF847F">
            <w:pPr>
              <w:topLinePunct/>
              <w:spacing w:line="440" w:lineRule="exact"/>
              <w:jc w:val="center"/>
              <w:rPr>
                <w:rFonts w:ascii="宋体" w:hAnsi="宋体"/>
                <w:color w:val="auto"/>
                <w:szCs w:val="21"/>
              </w:rPr>
            </w:pPr>
            <w:r>
              <w:rPr>
                <w:rFonts w:ascii="宋体" w:hAnsi="宋体"/>
                <w:color w:val="auto"/>
                <w:szCs w:val="21"/>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0842F0B3">
            <w:pPr>
              <w:topLinePunct/>
              <w:spacing w:line="440" w:lineRule="exact"/>
              <w:jc w:val="center"/>
              <w:rPr>
                <w:rFonts w:ascii="宋体" w:hAnsi="宋体"/>
                <w:color w:val="auto"/>
                <w:szCs w:val="21"/>
              </w:rPr>
            </w:pPr>
          </w:p>
        </w:tc>
      </w:tr>
      <w:tr w14:paraId="65C302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2E1FFD10">
            <w:pPr>
              <w:topLinePunct/>
              <w:spacing w:line="440" w:lineRule="exact"/>
              <w:jc w:val="center"/>
              <w:rPr>
                <w:rFonts w:ascii="宋体" w:hAnsi="宋体"/>
                <w:color w:val="auto"/>
                <w:szCs w:val="21"/>
              </w:rPr>
            </w:pPr>
            <w:r>
              <w:rPr>
                <w:rFonts w:ascii="宋体" w:hAnsi="宋体"/>
                <w:color w:val="auto"/>
                <w:szCs w:val="21"/>
              </w:rPr>
              <w:t>技术负责人</w:t>
            </w:r>
          </w:p>
        </w:tc>
        <w:tc>
          <w:tcPr>
            <w:tcW w:w="946" w:type="dxa"/>
            <w:tcBorders>
              <w:top w:val="single" w:color="auto" w:sz="4" w:space="0"/>
              <w:left w:val="single" w:color="auto" w:sz="4" w:space="0"/>
              <w:bottom w:val="single" w:color="auto" w:sz="4" w:space="0"/>
              <w:right w:val="single" w:color="auto" w:sz="4" w:space="0"/>
            </w:tcBorders>
            <w:vAlign w:val="center"/>
          </w:tcPr>
          <w:p w14:paraId="245883FA">
            <w:pPr>
              <w:topLinePunct/>
              <w:spacing w:line="440" w:lineRule="exact"/>
              <w:jc w:val="center"/>
              <w:rPr>
                <w:rFonts w:ascii="宋体" w:hAnsi="宋体"/>
                <w:color w:val="auto"/>
                <w:szCs w:val="21"/>
              </w:rPr>
            </w:pPr>
            <w:r>
              <w:rPr>
                <w:rFonts w:ascii="宋体" w:hAnsi="宋体"/>
                <w:color w:val="auto"/>
                <w:szCs w:val="21"/>
              </w:rPr>
              <w:t>姓名</w:t>
            </w:r>
          </w:p>
        </w:tc>
        <w:tc>
          <w:tcPr>
            <w:tcW w:w="2230" w:type="dxa"/>
            <w:tcBorders>
              <w:top w:val="single" w:color="auto" w:sz="4" w:space="0"/>
              <w:left w:val="single" w:color="auto" w:sz="4" w:space="0"/>
              <w:bottom w:val="single" w:color="auto" w:sz="4" w:space="0"/>
              <w:right w:val="single" w:color="auto" w:sz="4" w:space="0"/>
            </w:tcBorders>
            <w:vAlign w:val="center"/>
          </w:tcPr>
          <w:p w14:paraId="3A9302F4">
            <w:pPr>
              <w:topLinePunct/>
              <w:spacing w:line="440" w:lineRule="exact"/>
              <w:jc w:val="center"/>
              <w:rPr>
                <w:rFonts w:ascii="宋体" w:hAnsi="宋体"/>
                <w:strike/>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649FBF07">
            <w:pPr>
              <w:topLinePunct/>
              <w:spacing w:line="440" w:lineRule="exact"/>
              <w:jc w:val="center"/>
              <w:rPr>
                <w:rFonts w:ascii="宋体" w:hAnsi="宋体"/>
                <w:strike/>
                <w:color w:val="auto"/>
                <w:szCs w:val="21"/>
              </w:rPr>
            </w:pPr>
            <w:r>
              <w:rPr>
                <w:rFonts w:ascii="宋体" w:hAnsi="宋体"/>
                <w:color w:val="auto"/>
                <w:szCs w:val="21"/>
              </w:rPr>
              <w:t>电话</w:t>
            </w:r>
          </w:p>
        </w:tc>
        <w:tc>
          <w:tcPr>
            <w:tcW w:w="2755" w:type="dxa"/>
            <w:tcBorders>
              <w:top w:val="single" w:color="auto" w:sz="4" w:space="0"/>
              <w:left w:val="single" w:color="auto" w:sz="4" w:space="0"/>
              <w:bottom w:val="single" w:color="auto" w:sz="4" w:space="0"/>
              <w:right w:val="single" w:color="auto" w:sz="4" w:space="0"/>
            </w:tcBorders>
            <w:vAlign w:val="center"/>
          </w:tcPr>
          <w:p w14:paraId="5ABEE0A5">
            <w:pPr>
              <w:topLinePunct/>
              <w:spacing w:line="440" w:lineRule="exact"/>
              <w:jc w:val="center"/>
              <w:rPr>
                <w:rFonts w:ascii="宋体" w:hAnsi="宋体"/>
                <w:color w:val="auto"/>
                <w:szCs w:val="21"/>
              </w:rPr>
            </w:pPr>
          </w:p>
        </w:tc>
      </w:tr>
      <w:tr w14:paraId="24AE6E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5"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50A66171">
            <w:pPr>
              <w:topLinePunct/>
              <w:spacing w:line="440" w:lineRule="exact"/>
              <w:jc w:val="center"/>
              <w:rPr>
                <w:rFonts w:ascii="宋体" w:hAnsi="宋体"/>
                <w:color w:val="auto"/>
                <w:szCs w:val="21"/>
              </w:rPr>
            </w:pPr>
            <w:r>
              <w:rPr>
                <w:rFonts w:ascii="宋体" w:hAnsi="宋体"/>
                <w:color w:val="auto"/>
                <w:szCs w:val="21"/>
              </w:rPr>
              <w:t>营业执照号</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1A0A537C">
            <w:pPr>
              <w:topLinePunct/>
              <w:spacing w:line="440" w:lineRule="exact"/>
              <w:ind w:firstLine="1050" w:firstLineChars="500"/>
              <w:rPr>
                <w:rFonts w:ascii="宋体" w:hAnsi="宋体"/>
                <w:color w:val="auto"/>
                <w:szCs w:val="21"/>
              </w:rPr>
            </w:pPr>
          </w:p>
        </w:tc>
      </w:tr>
      <w:tr w14:paraId="4A366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68B51915">
            <w:pPr>
              <w:topLinePunct/>
              <w:spacing w:line="440" w:lineRule="exact"/>
              <w:jc w:val="center"/>
              <w:rPr>
                <w:rFonts w:ascii="宋体" w:hAnsi="宋体"/>
                <w:color w:val="auto"/>
                <w:szCs w:val="21"/>
              </w:rPr>
            </w:pPr>
            <w:r>
              <w:rPr>
                <w:rFonts w:ascii="宋体" w:hAnsi="宋体"/>
                <w:color w:val="auto"/>
                <w:szCs w:val="21"/>
              </w:rPr>
              <w:t>成立时间</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0257FF96">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39594913">
            <w:pPr>
              <w:topLinePunct/>
              <w:spacing w:line="440" w:lineRule="exact"/>
              <w:jc w:val="center"/>
              <w:rPr>
                <w:rFonts w:ascii="宋体" w:hAnsi="宋体"/>
                <w:color w:val="auto"/>
                <w:szCs w:val="21"/>
              </w:rPr>
            </w:pPr>
            <w:r>
              <w:rPr>
                <w:rFonts w:ascii="宋体" w:hAnsi="宋体"/>
                <w:color w:val="auto"/>
                <w:szCs w:val="21"/>
              </w:rPr>
              <w:t>注册资金</w:t>
            </w:r>
          </w:p>
        </w:tc>
        <w:tc>
          <w:tcPr>
            <w:tcW w:w="2755" w:type="dxa"/>
            <w:tcBorders>
              <w:top w:val="single" w:color="auto" w:sz="4" w:space="0"/>
              <w:left w:val="single" w:color="auto" w:sz="4" w:space="0"/>
              <w:bottom w:val="single" w:color="auto" w:sz="4" w:space="0"/>
              <w:right w:val="single" w:color="auto" w:sz="4" w:space="0"/>
            </w:tcBorders>
            <w:vAlign w:val="center"/>
          </w:tcPr>
          <w:p w14:paraId="5A195FB3">
            <w:pPr>
              <w:topLinePunct/>
              <w:spacing w:line="440" w:lineRule="exact"/>
              <w:jc w:val="center"/>
              <w:rPr>
                <w:rFonts w:ascii="宋体" w:hAnsi="宋体"/>
                <w:color w:val="auto"/>
                <w:szCs w:val="21"/>
              </w:rPr>
            </w:pPr>
          </w:p>
        </w:tc>
      </w:tr>
      <w:tr w14:paraId="6D31A5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9"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031939D1">
            <w:pPr>
              <w:topLinePunct/>
              <w:spacing w:line="440" w:lineRule="exact"/>
              <w:jc w:val="center"/>
              <w:rPr>
                <w:rFonts w:ascii="宋体" w:hAnsi="宋体"/>
                <w:color w:val="auto"/>
                <w:szCs w:val="21"/>
              </w:rPr>
            </w:pPr>
            <w:r>
              <w:rPr>
                <w:rFonts w:hint="eastAsia" w:ascii="宋体" w:hAnsi="宋体"/>
                <w:color w:val="auto"/>
                <w:szCs w:val="21"/>
              </w:rPr>
              <w:t>资产总额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5296F016">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5CB8402D">
            <w:pPr>
              <w:topLinePunct/>
              <w:spacing w:line="440" w:lineRule="exact"/>
              <w:jc w:val="center"/>
              <w:rPr>
                <w:rFonts w:ascii="宋体" w:hAnsi="宋体"/>
                <w:color w:val="auto"/>
                <w:szCs w:val="21"/>
              </w:rPr>
            </w:pPr>
            <w:r>
              <w:rPr>
                <w:rFonts w:ascii="宋体" w:hAnsi="宋体"/>
                <w:color w:val="auto"/>
                <w:szCs w:val="21"/>
              </w:rPr>
              <w:t>开户银行</w:t>
            </w:r>
          </w:p>
        </w:tc>
        <w:tc>
          <w:tcPr>
            <w:tcW w:w="2755" w:type="dxa"/>
            <w:tcBorders>
              <w:top w:val="single" w:color="auto" w:sz="4" w:space="0"/>
              <w:left w:val="single" w:color="auto" w:sz="4" w:space="0"/>
              <w:bottom w:val="single" w:color="auto" w:sz="4" w:space="0"/>
              <w:right w:val="single" w:color="auto" w:sz="4" w:space="0"/>
            </w:tcBorders>
            <w:vAlign w:val="center"/>
          </w:tcPr>
          <w:p w14:paraId="19E3F5C0">
            <w:pPr>
              <w:topLinePunct/>
              <w:spacing w:line="440" w:lineRule="exact"/>
              <w:jc w:val="center"/>
              <w:rPr>
                <w:rFonts w:ascii="宋体" w:hAnsi="宋体"/>
                <w:color w:val="auto"/>
                <w:szCs w:val="21"/>
              </w:rPr>
            </w:pPr>
          </w:p>
        </w:tc>
      </w:tr>
      <w:tr w14:paraId="5A06CC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1"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66F7B3C3">
            <w:pPr>
              <w:topLinePunct/>
              <w:spacing w:line="440" w:lineRule="exact"/>
              <w:jc w:val="center"/>
              <w:rPr>
                <w:rFonts w:ascii="宋体" w:hAnsi="宋体"/>
                <w:color w:val="auto"/>
                <w:szCs w:val="21"/>
              </w:rPr>
            </w:pPr>
            <w:r>
              <w:rPr>
                <w:rFonts w:hint="eastAsia" w:ascii="宋体" w:hAnsi="宋体"/>
                <w:color w:val="auto"/>
                <w:szCs w:val="21"/>
              </w:rPr>
              <w:t>上年营业额</w:t>
            </w:r>
          </w:p>
        </w:tc>
        <w:tc>
          <w:tcPr>
            <w:tcW w:w="3176" w:type="dxa"/>
            <w:gridSpan w:val="2"/>
            <w:tcBorders>
              <w:top w:val="single" w:color="auto" w:sz="4" w:space="0"/>
              <w:left w:val="single" w:color="auto" w:sz="4" w:space="0"/>
              <w:bottom w:val="single" w:color="auto" w:sz="4" w:space="0"/>
              <w:right w:val="single" w:color="auto" w:sz="4" w:space="0"/>
            </w:tcBorders>
            <w:vAlign w:val="center"/>
          </w:tcPr>
          <w:p w14:paraId="71DF904B">
            <w:pPr>
              <w:topLinePunct/>
              <w:spacing w:line="440" w:lineRule="exact"/>
              <w:jc w:val="center"/>
              <w:rPr>
                <w:rFonts w:ascii="宋体" w:hAnsi="宋体"/>
                <w:color w:val="auto"/>
                <w:szCs w:val="21"/>
              </w:rPr>
            </w:pPr>
          </w:p>
        </w:tc>
        <w:tc>
          <w:tcPr>
            <w:tcW w:w="1275" w:type="dxa"/>
            <w:tcBorders>
              <w:top w:val="single" w:color="auto" w:sz="4" w:space="0"/>
              <w:left w:val="single" w:color="auto" w:sz="4" w:space="0"/>
              <w:bottom w:val="single" w:color="auto" w:sz="4" w:space="0"/>
              <w:right w:val="single" w:color="auto" w:sz="4" w:space="0"/>
            </w:tcBorders>
            <w:vAlign w:val="center"/>
          </w:tcPr>
          <w:p w14:paraId="272A1066">
            <w:pPr>
              <w:topLinePunct/>
              <w:spacing w:line="440" w:lineRule="exact"/>
              <w:jc w:val="center"/>
              <w:rPr>
                <w:rFonts w:ascii="宋体" w:hAnsi="宋体"/>
                <w:color w:val="auto"/>
                <w:szCs w:val="21"/>
              </w:rPr>
            </w:pPr>
            <w:r>
              <w:rPr>
                <w:rFonts w:ascii="宋体" w:hAnsi="宋体"/>
                <w:color w:val="auto"/>
                <w:szCs w:val="21"/>
              </w:rPr>
              <w:t>账号</w:t>
            </w:r>
          </w:p>
        </w:tc>
        <w:tc>
          <w:tcPr>
            <w:tcW w:w="2755" w:type="dxa"/>
            <w:tcBorders>
              <w:top w:val="single" w:color="auto" w:sz="4" w:space="0"/>
              <w:left w:val="single" w:color="auto" w:sz="4" w:space="0"/>
              <w:bottom w:val="single" w:color="auto" w:sz="4" w:space="0"/>
              <w:right w:val="single" w:color="auto" w:sz="4" w:space="0"/>
            </w:tcBorders>
            <w:vAlign w:val="center"/>
          </w:tcPr>
          <w:p w14:paraId="50E8DF7D">
            <w:pPr>
              <w:topLinePunct/>
              <w:spacing w:line="440" w:lineRule="exact"/>
              <w:jc w:val="center"/>
              <w:rPr>
                <w:rFonts w:ascii="宋体" w:hAnsi="宋体"/>
                <w:color w:val="auto"/>
                <w:szCs w:val="21"/>
              </w:rPr>
            </w:pPr>
          </w:p>
        </w:tc>
      </w:tr>
      <w:tr w14:paraId="662D0D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84" w:hRule="atLeast"/>
          <w:jc w:val="center"/>
        </w:trPr>
        <w:tc>
          <w:tcPr>
            <w:tcW w:w="1820" w:type="dxa"/>
            <w:tcBorders>
              <w:top w:val="single" w:color="auto" w:sz="4" w:space="0"/>
              <w:left w:val="single" w:color="auto" w:sz="4" w:space="0"/>
              <w:right w:val="single" w:color="auto" w:sz="4" w:space="0"/>
            </w:tcBorders>
            <w:vAlign w:val="center"/>
          </w:tcPr>
          <w:p w14:paraId="5CB2E6E2">
            <w:pPr>
              <w:topLinePunct/>
              <w:spacing w:line="440" w:lineRule="exact"/>
              <w:ind w:firstLine="210" w:firstLineChars="100"/>
              <w:jc w:val="center"/>
              <w:rPr>
                <w:rFonts w:ascii="宋体" w:hAnsi="宋体"/>
                <w:color w:val="auto"/>
                <w:szCs w:val="21"/>
              </w:rPr>
            </w:pPr>
            <w:r>
              <w:rPr>
                <w:rFonts w:ascii="宋体" w:hAnsi="宋体"/>
                <w:color w:val="auto"/>
                <w:szCs w:val="21"/>
              </w:rPr>
              <w:t>经营范围</w:t>
            </w:r>
          </w:p>
        </w:tc>
        <w:tc>
          <w:tcPr>
            <w:tcW w:w="7206" w:type="dxa"/>
            <w:gridSpan w:val="4"/>
            <w:tcBorders>
              <w:top w:val="single" w:color="auto" w:sz="4" w:space="0"/>
              <w:left w:val="single" w:color="auto" w:sz="4" w:space="0"/>
              <w:right w:val="single" w:color="auto" w:sz="4" w:space="0"/>
            </w:tcBorders>
            <w:vAlign w:val="center"/>
          </w:tcPr>
          <w:p w14:paraId="6C7B36F5">
            <w:pPr>
              <w:topLinePunct/>
              <w:spacing w:line="440" w:lineRule="exact"/>
              <w:jc w:val="center"/>
              <w:rPr>
                <w:rFonts w:ascii="宋体" w:hAnsi="宋体"/>
                <w:color w:val="auto"/>
                <w:szCs w:val="21"/>
              </w:rPr>
            </w:pPr>
          </w:p>
          <w:p w14:paraId="6D91C0B6">
            <w:pPr>
              <w:topLinePunct/>
              <w:spacing w:line="440" w:lineRule="exact"/>
              <w:jc w:val="center"/>
              <w:rPr>
                <w:rFonts w:ascii="宋体" w:hAnsi="宋体"/>
                <w:color w:val="auto"/>
                <w:szCs w:val="21"/>
              </w:rPr>
            </w:pPr>
          </w:p>
          <w:p w14:paraId="430B0FEB">
            <w:pPr>
              <w:topLinePunct/>
              <w:spacing w:line="440" w:lineRule="exact"/>
              <w:jc w:val="center"/>
              <w:rPr>
                <w:rFonts w:ascii="宋体" w:hAnsi="宋体"/>
                <w:color w:val="auto"/>
                <w:szCs w:val="21"/>
              </w:rPr>
            </w:pPr>
          </w:p>
          <w:p w14:paraId="5BFC5EB4">
            <w:pPr>
              <w:topLinePunct/>
              <w:spacing w:line="440" w:lineRule="exact"/>
              <w:jc w:val="center"/>
              <w:rPr>
                <w:rFonts w:ascii="宋体" w:hAnsi="宋体"/>
                <w:color w:val="auto"/>
                <w:szCs w:val="21"/>
              </w:rPr>
            </w:pPr>
          </w:p>
          <w:p w14:paraId="4A9A3926">
            <w:pPr>
              <w:topLinePunct/>
              <w:spacing w:line="440" w:lineRule="exact"/>
              <w:jc w:val="center"/>
              <w:rPr>
                <w:rFonts w:ascii="宋体" w:hAnsi="宋体"/>
                <w:color w:val="auto"/>
                <w:szCs w:val="21"/>
              </w:rPr>
            </w:pPr>
          </w:p>
          <w:p w14:paraId="6176A444">
            <w:pPr>
              <w:topLinePunct/>
              <w:spacing w:line="440" w:lineRule="exact"/>
              <w:rPr>
                <w:rFonts w:ascii="宋体" w:hAnsi="宋体"/>
                <w:color w:val="auto"/>
                <w:szCs w:val="21"/>
              </w:rPr>
            </w:pPr>
          </w:p>
        </w:tc>
      </w:tr>
      <w:tr w14:paraId="473723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6" w:hRule="atLeast"/>
          <w:jc w:val="center"/>
        </w:trPr>
        <w:tc>
          <w:tcPr>
            <w:tcW w:w="1820" w:type="dxa"/>
            <w:tcBorders>
              <w:top w:val="single" w:color="auto" w:sz="4" w:space="0"/>
              <w:left w:val="single" w:color="auto" w:sz="4" w:space="0"/>
              <w:bottom w:val="single" w:color="auto" w:sz="4" w:space="0"/>
              <w:right w:val="single" w:color="auto" w:sz="4" w:space="0"/>
            </w:tcBorders>
            <w:vAlign w:val="center"/>
          </w:tcPr>
          <w:p w14:paraId="0F02A4E8">
            <w:pPr>
              <w:topLinePunct/>
              <w:spacing w:line="440" w:lineRule="exact"/>
              <w:jc w:val="center"/>
              <w:rPr>
                <w:rFonts w:ascii="宋体" w:hAnsi="宋体"/>
                <w:color w:val="auto"/>
                <w:szCs w:val="21"/>
              </w:rPr>
            </w:pPr>
            <w:r>
              <w:rPr>
                <w:rFonts w:ascii="宋体" w:hAnsi="宋体"/>
                <w:color w:val="auto"/>
                <w:szCs w:val="21"/>
              </w:rPr>
              <w:t>备注</w:t>
            </w:r>
          </w:p>
        </w:tc>
        <w:tc>
          <w:tcPr>
            <w:tcW w:w="7206" w:type="dxa"/>
            <w:gridSpan w:val="4"/>
            <w:tcBorders>
              <w:top w:val="single" w:color="auto" w:sz="4" w:space="0"/>
              <w:left w:val="single" w:color="auto" w:sz="4" w:space="0"/>
              <w:bottom w:val="single" w:color="auto" w:sz="4" w:space="0"/>
              <w:right w:val="single" w:color="auto" w:sz="4" w:space="0"/>
            </w:tcBorders>
            <w:vAlign w:val="center"/>
          </w:tcPr>
          <w:p w14:paraId="0AE05CC2">
            <w:pPr>
              <w:topLinePunct/>
              <w:spacing w:line="440" w:lineRule="exact"/>
              <w:rPr>
                <w:rFonts w:ascii="宋体" w:hAnsi="宋体"/>
                <w:color w:val="auto"/>
                <w:szCs w:val="21"/>
              </w:rPr>
            </w:pPr>
          </w:p>
        </w:tc>
      </w:tr>
    </w:tbl>
    <w:p w14:paraId="0EBE38BC">
      <w:pPr>
        <w:adjustRightInd w:val="0"/>
        <w:snapToGrid w:val="0"/>
        <w:spacing w:before="120" w:beforeLines="50"/>
        <w:ind w:left="630" w:hanging="630" w:hangingChars="300"/>
        <w:rPr>
          <w:rFonts w:ascii="楷体" w:hAnsi="楷体" w:eastAsia="楷体"/>
          <w:color w:val="auto"/>
          <w:szCs w:val="21"/>
        </w:rPr>
      </w:pPr>
    </w:p>
    <w:p w14:paraId="0670F293">
      <w:pPr>
        <w:adjustRightInd w:val="0"/>
        <w:snapToGrid w:val="0"/>
        <w:spacing w:before="120" w:beforeLines="50"/>
        <w:ind w:left="632" w:hanging="632" w:hangingChars="300"/>
        <w:rPr>
          <w:rFonts w:ascii="楷体" w:hAnsi="楷体" w:eastAsia="楷体"/>
          <w:b/>
          <w:color w:val="auto"/>
          <w:szCs w:val="21"/>
        </w:rPr>
      </w:pPr>
      <w:r>
        <w:rPr>
          <w:rFonts w:hint="eastAsia" w:ascii="楷体" w:hAnsi="楷体" w:eastAsia="楷体"/>
          <w:b/>
          <w:color w:val="auto"/>
          <w:szCs w:val="21"/>
        </w:rPr>
        <w:t>说明：企业规模指特大型、大型、中型、小型、微型。</w:t>
      </w:r>
    </w:p>
    <w:p w14:paraId="6427E723">
      <w:pPr>
        <w:adjustRightInd w:val="0"/>
        <w:snapToGrid w:val="0"/>
        <w:spacing w:before="120" w:beforeLines="50"/>
        <w:ind w:left="630" w:hanging="630" w:hangingChars="300"/>
        <w:rPr>
          <w:rFonts w:ascii="楷体" w:hAnsi="楷体" w:eastAsia="楷体"/>
          <w:color w:val="auto"/>
          <w:szCs w:val="21"/>
        </w:rPr>
      </w:pPr>
    </w:p>
    <w:p w14:paraId="611036BF">
      <w:pPr>
        <w:adjustRightInd w:val="0"/>
        <w:snapToGrid w:val="0"/>
        <w:spacing w:before="240" w:beforeLines="100" w:line="360" w:lineRule="auto"/>
        <w:ind w:firstLine="388" w:firstLineChars="185"/>
        <w:rPr>
          <w:rFonts w:ascii="宋体" w:hAnsi="宋体"/>
          <w:color w:val="auto"/>
          <w:szCs w:val="21"/>
        </w:rPr>
      </w:pPr>
      <w:r>
        <w:rPr>
          <w:rFonts w:hint="eastAsia" w:ascii="宋体" w:hAnsi="宋体"/>
          <w:color w:val="auto"/>
          <w:szCs w:val="21"/>
        </w:rPr>
        <w:t>供应商名称</w:t>
      </w:r>
      <w:r>
        <w:rPr>
          <w:rFonts w:hint="eastAsia" w:ascii="宋体" w:hAnsi="宋体"/>
          <w:bCs/>
          <w:color w:val="auto"/>
          <w:szCs w:val="21"/>
        </w:rPr>
        <w:t>：</w:t>
      </w:r>
      <w:r>
        <w:rPr>
          <w:rFonts w:hint="eastAsia" w:ascii="宋体" w:hAnsi="宋体"/>
          <w:bCs/>
          <w:color w:val="auto"/>
          <w:szCs w:val="21"/>
          <w:u w:val="single"/>
        </w:rPr>
        <w:t xml:space="preserve">                        </w:t>
      </w:r>
      <w:r>
        <w:rPr>
          <w:rFonts w:hint="eastAsia" w:ascii="宋体" w:hAnsi="宋体"/>
          <w:bCs/>
          <w:color w:val="auto"/>
          <w:szCs w:val="21"/>
        </w:rPr>
        <w:t>（</w:t>
      </w:r>
      <w:r>
        <w:rPr>
          <w:rFonts w:hint="eastAsia" w:ascii="宋体" w:hAnsi="宋体" w:eastAsia="宋体" w:cs="宋体"/>
          <w:color w:val="auto"/>
          <w:szCs w:val="21"/>
          <w:highlight w:val="none"/>
        </w:rPr>
        <w:t>供应商名称、盖单位章</w:t>
      </w:r>
      <w:r>
        <w:rPr>
          <w:rFonts w:hint="eastAsia" w:ascii="宋体" w:hAnsi="宋体"/>
          <w:bCs/>
          <w:color w:val="auto"/>
          <w:szCs w:val="21"/>
        </w:rPr>
        <w:t>）</w:t>
      </w:r>
    </w:p>
    <w:p w14:paraId="56EDEC66">
      <w:pPr>
        <w:adjustRightInd w:val="0"/>
        <w:spacing w:line="360" w:lineRule="auto"/>
        <w:ind w:firstLine="367" w:firstLineChars="175"/>
        <w:jc w:val="left"/>
        <w:rPr>
          <w:rFonts w:ascii="宋体" w:hAnsi="宋体"/>
          <w:bCs/>
          <w:color w:val="auto"/>
          <w:szCs w:val="21"/>
        </w:rPr>
      </w:pPr>
      <w:r>
        <w:rPr>
          <w:rFonts w:hint="eastAsia" w:ascii="宋体" w:hAnsi="宋体"/>
          <w:color w:val="auto"/>
          <w:szCs w:val="21"/>
        </w:rPr>
        <w:t>法定代表人或委托代理人：</w:t>
      </w:r>
      <w:r>
        <w:rPr>
          <w:rFonts w:hint="eastAsia" w:ascii="宋体" w:hAnsi="宋体"/>
          <w:color w:val="auto"/>
          <w:szCs w:val="21"/>
          <w:u w:val="single"/>
        </w:rPr>
        <w:t xml:space="preserve">            </w:t>
      </w:r>
      <w:r>
        <w:rPr>
          <w:rFonts w:hint="eastAsia" w:ascii="宋体" w:hAnsi="宋体"/>
          <w:color w:val="auto"/>
          <w:szCs w:val="21"/>
        </w:rPr>
        <w:t>（签字或盖章）</w:t>
      </w:r>
    </w:p>
    <w:p w14:paraId="0418DF0F">
      <w:pPr>
        <w:adjustRightInd w:val="0"/>
        <w:spacing w:line="360" w:lineRule="auto"/>
        <w:ind w:firstLine="367" w:firstLineChars="175"/>
        <w:jc w:val="left"/>
        <w:rPr>
          <w:rFonts w:ascii="宋体" w:hAnsi="宋体"/>
          <w:bCs/>
          <w:color w:val="auto"/>
          <w:szCs w:val="21"/>
        </w:rPr>
      </w:pPr>
      <w:r>
        <w:rPr>
          <w:rFonts w:hint="eastAsia" w:ascii="宋体" w:hAnsi="宋体"/>
          <w:bCs/>
          <w:color w:val="auto"/>
          <w:szCs w:val="21"/>
        </w:rPr>
        <w:t>日       期</w:t>
      </w:r>
      <w:r>
        <w:rPr>
          <w:rFonts w:hint="eastAsia" w:ascii="宋体" w:hAnsi="宋体"/>
          <w:bCs/>
          <w:color w:val="auto"/>
          <w:szCs w:val="21"/>
          <w:lang w:eastAsia="zh-CN"/>
        </w:rPr>
        <w:t>：</w:t>
      </w:r>
      <w:r>
        <w:rPr>
          <w:rFonts w:hint="eastAsia" w:ascii="宋体" w:hAnsi="宋体"/>
          <w:bCs/>
          <w:color w:val="auto"/>
          <w:szCs w:val="21"/>
        </w:rPr>
        <w:t xml:space="preserve"> </w:t>
      </w:r>
      <w:r>
        <w:rPr>
          <w:rFonts w:hint="eastAsia" w:ascii="宋体" w:hAnsi="宋体"/>
          <w:bCs/>
          <w:color w:val="auto"/>
          <w:szCs w:val="21"/>
          <w:u w:val="single"/>
        </w:rPr>
        <w:t xml:space="preserve">    </w:t>
      </w:r>
      <w:r>
        <w:rPr>
          <w:rFonts w:hint="eastAsia" w:ascii="宋体" w:hAnsi="宋体"/>
          <w:bCs/>
          <w:color w:val="auto"/>
          <w:szCs w:val="21"/>
        </w:rPr>
        <w:t>年</w:t>
      </w:r>
      <w:r>
        <w:rPr>
          <w:rFonts w:hint="eastAsia" w:ascii="宋体" w:hAnsi="宋体"/>
          <w:bCs/>
          <w:color w:val="auto"/>
          <w:szCs w:val="21"/>
          <w:u w:val="single"/>
        </w:rPr>
        <w:t xml:space="preserve">   </w:t>
      </w:r>
      <w:r>
        <w:rPr>
          <w:rFonts w:hint="eastAsia" w:ascii="宋体" w:hAnsi="宋体"/>
          <w:bCs/>
          <w:color w:val="auto"/>
          <w:szCs w:val="21"/>
        </w:rPr>
        <w:t>月</w:t>
      </w:r>
      <w:r>
        <w:rPr>
          <w:rFonts w:hint="eastAsia" w:ascii="宋体" w:hAnsi="宋体"/>
          <w:bCs/>
          <w:color w:val="auto"/>
          <w:szCs w:val="21"/>
          <w:u w:val="single"/>
        </w:rPr>
        <w:t xml:space="preserve">   </w:t>
      </w:r>
      <w:r>
        <w:rPr>
          <w:rFonts w:hint="eastAsia" w:ascii="宋体" w:hAnsi="宋体"/>
          <w:bCs/>
          <w:color w:val="auto"/>
          <w:szCs w:val="21"/>
        </w:rPr>
        <w:t>日</w:t>
      </w:r>
    </w:p>
    <w:p w14:paraId="34E2C7EE">
      <w:pPr>
        <w:adjustRightInd w:val="0"/>
        <w:snapToGrid w:val="0"/>
        <w:spacing w:line="360" w:lineRule="auto"/>
        <w:jc w:val="center"/>
        <w:rPr>
          <w:rFonts w:ascii="宋体" w:hAnsi="宋体"/>
          <w:color w:val="auto"/>
          <w:szCs w:val="21"/>
        </w:rPr>
      </w:pPr>
      <w:r>
        <w:rPr>
          <w:rFonts w:hint="eastAsia" w:ascii="宋体" w:hAnsi="宋体"/>
          <w:b/>
          <w:color w:val="auto"/>
          <w:sz w:val="36"/>
          <w:szCs w:val="36"/>
        </w:rPr>
        <w:t>二、法定代表人身份证明</w:t>
      </w:r>
    </w:p>
    <w:p w14:paraId="7CE541A3">
      <w:pPr>
        <w:snapToGrid w:val="0"/>
        <w:spacing w:line="480" w:lineRule="auto"/>
        <w:rPr>
          <w:rFonts w:ascii="宋体" w:hAnsi="宋体"/>
          <w:color w:val="auto"/>
          <w:szCs w:val="21"/>
        </w:rPr>
      </w:pPr>
    </w:p>
    <w:p w14:paraId="4FABFBF9">
      <w:pPr>
        <w:autoSpaceDE w:val="0"/>
        <w:autoSpaceDN w:val="0"/>
        <w:adjustRightInd w:val="0"/>
        <w:snapToGrid w:val="0"/>
        <w:spacing w:before="120" w:beforeLines="50" w:line="360" w:lineRule="auto"/>
        <w:ind w:firstLine="210" w:firstLineChars="100"/>
        <w:jc w:val="left"/>
        <w:rPr>
          <w:rFonts w:ascii="宋体" w:hAnsi="宋体" w:cs="宋体"/>
          <w:color w:val="auto"/>
          <w:kern w:val="0"/>
          <w:szCs w:val="21"/>
        </w:rPr>
      </w:pPr>
      <w:r>
        <w:rPr>
          <w:rFonts w:hint="eastAsia" w:ascii="宋体" w:hAnsi="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6B487469">
      <w:pPr>
        <w:autoSpaceDE w:val="0"/>
        <w:autoSpaceDN w:val="0"/>
        <w:adjustRightInd w:val="0"/>
        <w:snapToGrid w:val="0"/>
        <w:spacing w:before="120" w:beforeLines="50" w:line="360" w:lineRule="auto"/>
        <w:ind w:firstLine="210" w:firstLineChars="100"/>
        <w:jc w:val="left"/>
        <w:rPr>
          <w:rFonts w:ascii="宋体" w:hAnsi="宋体" w:cs="宋体"/>
          <w:color w:val="auto"/>
          <w:kern w:val="0"/>
          <w:szCs w:val="21"/>
        </w:rPr>
      </w:pPr>
      <w:r>
        <w:rPr>
          <w:rFonts w:hint="eastAsia" w:ascii="宋体" w:hAnsi="宋体" w:cs="宋体"/>
          <w:color w:val="auto"/>
          <w:kern w:val="0"/>
          <w:szCs w:val="21"/>
        </w:rPr>
        <w:t>统一社会信用代码：</w:t>
      </w:r>
      <w:r>
        <w:rPr>
          <w:rFonts w:hint="eastAsia" w:ascii="宋体" w:hAnsi="宋体" w:cs="宋体"/>
          <w:color w:val="auto"/>
          <w:kern w:val="0"/>
          <w:szCs w:val="21"/>
          <w:u w:val="single"/>
        </w:rPr>
        <w:t xml:space="preserve">                </w:t>
      </w:r>
    </w:p>
    <w:p w14:paraId="5BB82B8B">
      <w:pPr>
        <w:autoSpaceDE w:val="0"/>
        <w:autoSpaceDN w:val="0"/>
        <w:adjustRightInd w:val="0"/>
        <w:snapToGrid w:val="0"/>
        <w:spacing w:before="120" w:beforeLines="50" w:line="360" w:lineRule="auto"/>
        <w:ind w:firstLine="210" w:firstLineChars="100"/>
        <w:jc w:val="left"/>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职务：</w:t>
      </w:r>
      <w:r>
        <w:rPr>
          <w:rFonts w:hint="eastAsia" w:ascii="宋体" w:hAnsi="宋体" w:cs="宋体"/>
          <w:color w:val="auto"/>
          <w:kern w:val="0"/>
          <w:szCs w:val="21"/>
          <w:u w:val="single"/>
        </w:rPr>
        <w:t xml:space="preserve">             </w:t>
      </w:r>
    </w:p>
    <w:p w14:paraId="3B3D2021">
      <w:pPr>
        <w:autoSpaceDE w:val="0"/>
        <w:autoSpaceDN w:val="0"/>
        <w:adjustRightInd w:val="0"/>
        <w:snapToGrid w:val="0"/>
        <w:spacing w:before="120" w:beforeLines="50" w:line="360" w:lineRule="auto"/>
        <w:ind w:firstLine="210" w:firstLineChars="100"/>
        <w:jc w:val="left"/>
        <w:rPr>
          <w:rFonts w:ascii="宋体" w:hAnsi="宋体" w:cs="宋体"/>
          <w:color w:val="auto"/>
          <w:kern w:val="0"/>
          <w:szCs w:val="21"/>
        </w:rPr>
      </w:pPr>
      <w:r>
        <w:rPr>
          <w:rFonts w:hint="eastAsia" w:ascii="宋体" w:hAnsi="宋体" w:cs="宋体"/>
          <w:color w:val="auto"/>
          <w:kern w:val="0"/>
          <w:szCs w:val="21"/>
        </w:rPr>
        <w:t>系</w:t>
      </w:r>
      <w:r>
        <w:rPr>
          <w:rFonts w:hint="eastAsia" w:ascii="宋体" w:hAnsi="宋体" w:cs="宋体"/>
          <w:color w:val="auto"/>
          <w:kern w:val="0"/>
          <w:szCs w:val="21"/>
          <w:u w:val="single"/>
        </w:rPr>
        <w:t xml:space="preserve">                                </w:t>
      </w:r>
      <w:r>
        <w:rPr>
          <w:rFonts w:hint="eastAsia" w:ascii="宋体" w:hAnsi="宋体" w:cs="宋体"/>
          <w:color w:val="auto"/>
          <w:kern w:val="0"/>
          <w:szCs w:val="21"/>
        </w:rPr>
        <w:t>（供应商名称）的法定代表人（单位负责人）。</w:t>
      </w:r>
    </w:p>
    <w:p w14:paraId="48FF79A8">
      <w:pPr>
        <w:autoSpaceDE w:val="0"/>
        <w:autoSpaceDN w:val="0"/>
        <w:adjustRightInd w:val="0"/>
        <w:snapToGrid w:val="0"/>
        <w:spacing w:before="120" w:beforeLines="50" w:line="360" w:lineRule="auto"/>
        <w:ind w:firstLine="210" w:firstLineChars="100"/>
        <w:jc w:val="left"/>
        <w:rPr>
          <w:rFonts w:ascii="宋体" w:hAnsi="宋体" w:cs="宋体"/>
          <w:color w:val="auto"/>
          <w:kern w:val="0"/>
          <w:szCs w:val="21"/>
        </w:rPr>
      </w:pPr>
      <w:r>
        <w:rPr>
          <w:rFonts w:hint="eastAsia" w:ascii="宋体" w:hAnsi="宋体" w:cs="宋体"/>
          <w:color w:val="auto"/>
          <w:kern w:val="0"/>
          <w:szCs w:val="21"/>
        </w:rPr>
        <w:t>特此证明。</w:t>
      </w:r>
    </w:p>
    <w:p w14:paraId="3CAA7AED">
      <w:pPr>
        <w:autoSpaceDE w:val="0"/>
        <w:autoSpaceDN w:val="0"/>
        <w:adjustRightInd w:val="0"/>
        <w:snapToGrid w:val="0"/>
        <w:spacing w:before="120" w:beforeLines="50" w:line="360" w:lineRule="auto"/>
        <w:jc w:val="left"/>
        <w:rPr>
          <w:rFonts w:ascii="宋体" w:hAnsi="宋体"/>
          <w:color w:val="auto"/>
          <w:szCs w:val="21"/>
        </w:rPr>
      </w:pPr>
    </w:p>
    <w:p w14:paraId="3820E960">
      <w:pPr>
        <w:autoSpaceDE w:val="0"/>
        <w:autoSpaceDN w:val="0"/>
        <w:adjustRightInd w:val="0"/>
        <w:snapToGrid w:val="0"/>
        <w:spacing w:before="120" w:beforeLines="50" w:line="360" w:lineRule="auto"/>
        <w:ind w:firstLine="210" w:firstLineChars="100"/>
        <w:jc w:val="left"/>
        <w:rPr>
          <w:rFonts w:ascii="宋体" w:hAnsi="宋体" w:cs="宋体"/>
          <w:color w:val="auto"/>
          <w:kern w:val="0"/>
          <w:szCs w:val="21"/>
        </w:rPr>
      </w:pPr>
      <w:r>
        <w:rPr>
          <w:rFonts w:hint="eastAsia" w:ascii="宋体" w:hAnsi="宋体"/>
          <w:color w:val="auto"/>
          <w:szCs w:val="21"/>
        </w:rPr>
        <w:t>附：法定代表人身份证复印件（正反面均需复印）</w:t>
      </w:r>
    </w:p>
    <w:p w14:paraId="3AA08AED">
      <w:pPr>
        <w:snapToGrid w:val="0"/>
        <w:spacing w:line="480" w:lineRule="auto"/>
        <w:rPr>
          <w:rFonts w:ascii="宋体" w:hAnsi="宋体"/>
          <w:color w:val="auto"/>
          <w:szCs w:val="21"/>
        </w:rPr>
      </w:pPr>
    </w:p>
    <w:tbl>
      <w:tblPr>
        <w:tblStyle w:val="22"/>
        <w:tblW w:w="0" w:type="auto"/>
        <w:tblInd w:w="540" w:type="dxa"/>
        <w:tblLayout w:type="fixed"/>
        <w:tblCellMar>
          <w:top w:w="0" w:type="dxa"/>
          <w:left w:w="108" w:type="dxa"/>
          <w:bottom w:w="0" w:type="dxa"/>
          <w:right w:w="108" w:type="dxa"/>
        </w:tblCellMar>
      </w:tblPr>
      <w:tblGrid>
        <w:gridCol w:w="8040"/>
      </w:tblGrid>
      <w:tr w14:paraId="44E03D21">
        <w:tblPrEx>
          <w:tblCellMar>
            <w:top w:w="0" w:type="dxa"/>
            <w:left w:w="108" w:type="dxa"/>
            <w:bottom w:w="0" w:type="dxa"/>
            <w:right w:w="108" w:type="dxa"/>
          </w:tblCellMar>
        </w:tblPrEx>
        <w:trPr>
          <w:trHeight w:val="3425" w:hRule="atLeast"/>
        </w:trPr>
        <w:tc>
          <w:tcPr>
            <w:tcW w:w="8040" w:type="dxa"/>
            <w:tcBorders>
              <w:top w:val="single" w:color="auto" w:sz="6" w:space="0"/>
              <w:left w:val="single" w:color="auto" w:sz="6" w:space="0"/>
              <w:bottom w:val="single" w:color="auto" w:sz="6" w:space="0"/>
              <w:right w:val="single" w:color="auto" w:sz="6" w:space="0"/>
            </w:tcBorders>
            <w:vAlign w:val="center"/>
          </w:tcPr>
          <w:p w14:paraId="483E9BEB">
            <w:pPr>
              <w:spacing w:line="360" w:lineRule="auto"/>
              <w:jc w:val="center"/>
              <w:rPr>
                <w:rFonts w:ascii="宋体" w:hAnsi="宋体"/>
                <w:color w:val="auto"/>
                <w:szCs w:val="21"/>
                <w:u w:val="single"/>
              </w:rPr>
            </w:pPr>
            <w:r>
              <w:rPr>
                <w:rFonts w:hint="eastAsia" w:ascii="宋体" w:hAnsi="宋体"/>
                <w:color w:val="auto"/>
                <w:szCs w:val="21"/>
                <w:lang w:val="zh-CN"/>
              </w:rPr>
              <w:t>法定代表人身份证复印件</w:t>
            </w:r>
            <w:r>
              <w:rPr>
                <w:rFonts w:hint="eastAsia" w:ascii="宋体" w:hAnsi="宋体"/>
                <w:color w:val="auto"/>
                <w:szCs w:val="21"/>
              </w:rPr>
              <w:t>(正、反面)</w:t>
            </w:r>
          </w:p>
          <w:p w14:paraId="0B3A42AC">
            <w:pPr>
              <w:spacing w:line="360" w:lineRule="auto"/>
              <w:jc w:val="center"/>
              <w:rPr>
                <w:rFonts w:ascii="宋体" w:hAnsi="宋体"/>
                <w:color w:val="auto"/>
                <w:szCs w:val="21"/>
                <w:u w:val="single"/>
              </w:rPr>
            </w:pPr>
          </w:p>
        </w:tc>
      </w:tr>
    </w:tbl>
    <w:p w14:paraId="453B3C6D">
      <w:pPr>
        <w:snapToGrid w:val="0"/>
        <w:spacing w:line="480" w:lineRule="auto"/>
        <w:rPr>
          <w:rFonts w:ascii="宋体" w:hAnsi="宋体"/>
          <w:color w:val="auto"/>
          <w:szCs w:val="21"/>
        </w:rPr>
      </w:pPr>
    </w:p>
    <w:p w14:paraId="0C00EA58">
      <w:pPr>
        <w:snapToGrid w:val="0"/>
        <w:spacing w:line="480" w:lineRule="auto"/>
        <w:rPr>
          <w:rFonts w:ascii="宋体" w:hAnsi="宋体"/>
          <w:color w:val="auto"/>
          <w:szCs w:val="21"/>
        </w:rPr>
      </w:pPr>
    </w:p>
    <w:p w14:paraId="28525613">
      <w:pPr>
        <w:adjustRightInd w:val="0"/>
        <w:snapToGrid w:val="0"/>
        <w:spacing w:line="360" w:lineRule="auto"/>
        <w:ind w:right="420"/>
        <w:rPr>
          <w:rFonts w:ascii="宋体" w:hAnsi="宋体"/>
          <w:color w:val="auto"/>
          <w:szCs w:val="21"/>
        </w:rPr>
      </w:pPr>
    </w:p>
    <w:p w14:paraId="2CC9611C">
      <w:pPr>
        <w:adjustRightInd w:val="0"/>
        <w:snapToGrid w:val="0"/>
        <w:spacing w:line="480" w:lineRule="auto"/>
        <w:ind w:right="420" w:firstLine="3255" w:firstLineChars="1550"/>
        <w:rPr>
          <w:rFonts w:ascii="宋体" w:hAnsi="宋体"/>
          <w:color w:val="auto"/>
          <w:szCs w:val="21"/>
        </w:rPr>
      </w:pPr>
      <w:r>
        <w:rPr>
          <w:rFonts w:hint="eastAsia" w:ascii="宋体" w:hAnsi="宋体"/>
          <w:color w:val="auto"/>
          <w:szCs w:val="21"/>
        </w:rPr>
        <w:t>供应商名称：</w:t>
      </w:r>
      <w:r>
        <w:rPr>
          <w:rFonts w:hint="eastAsia" w:ascii="宋体" w:hAnsi="宋体"/>
          <w:color w:val="auto"/>
          <w:szCs w:val="21"/>
          <w:u w:val="single"/>
        </w:rPr>
        <w:t xml:space="preserve">                </w:t>
      </w:r>
      <w:r>
        <w:rPr>
          <w:rFonts w:hint="eastAsia" w:ascii="宋体" w:hAnsi="宋体"/>
          <w:color w:val="auto"/>
          <w:szCs w:val="21"/>
        </w:rPr>
        <w:t>（</w:t>
      </w:r>
      <w:r>
        <w:rPr>
          <w:rFonts w:hint="eastAsia" w:ascii="宋体" w:hAnsi="宋体" w:eastAsia="宋体" w:cs="宋体"/>
          <w:color w:val="auto"/>
          <w:szCs w:val="21"/>
          <w:highlight w:val="none"/>
        </w:rPr>
        <w:t>供应商名称、盖单位章</w:t>
      </w:r>
      <w:r>
        <w:rPr>
          <w:rFonts w:hint="eastAsia" w:ascii="宋体" w:hAnsi="宋体"/>
          <w:color w:val="auto"/>
          <w:szCs w:val="21"/>
        </w:rPr>
        <w:t>）</w:t>
      </w:r>
    </w:p>
    <w:p w14:paraId="3D54A9F8">
      <w:pPr>
        <w:adjustRightInd w:val="0"/>
        <w:snapToGrid w:val="0"/>
        <w:spacing w:line="480" w:lineRule="auto"/>
        <w:ind w:right="420" w:firstLine="3255" w:firstLineChars="1550"/>
        <w:rPr>
          <w:rFonts w:ascii="宋体" w:hAnsi="宋体"/>
          <w:bCs/>
          <w:color w:val="auto"/>
          <w:szCs w:val="21"/>
        </w:rPr>
      </w:pPr>
      <w:r>
        <w:rPr>
          <w:rFonts w:hint="eastAsia" w:ascii="宋体" w:hAnsi="宋体"/>
          <w:bCs/>
          <w:color w:val="auto"/>
          <w:szCs w:val="21"/>
        </w:rPr>
        <w:t xml:space="preserve">日      期: </w:t>
      </w:r>
      <w:r>
        <w:rPr>
          <w:rFonts w:hint="eastAsia" w:ascii="宋体" w:hAnsi="宋体"/>
          <w:bCs/>
          <w:color w:val="auto"/>
          <w:szCs w:val="21"/>
          <w:u w:val="single"/>
        </w:rPr>
        <w:t xml:space="preserve">     </w:t>
      </w:r>
      <w:r>
        <w:rPr>
          <w:rFonts w:hint="eastAsia" w:ascii="宋体" w:hAnsi="宋体"/>
          <w:bCs/>
          <w:color w:val="auto"/>
          <w:szCs w:val="21"/>
        </w:rPr>
        <w:t>年</w:t>
      </w:r>
      <w:r>
        <w:rPr>
          <w:rFonts w:hint="eastAsia" w:ascii="宋体" w:hAnsi="宋体"/>
          <w:bCs/>
          <w:color w:val="auto"/>
          <w:szCs w:val="21"/>
          <w:u w:val="single"/>
        </w:rPr>
        <w:t xml:space="preserve">    </w:t>
      </w:r>
      <w:r>
        <w:rPr>
          <w:rFonts w:hint="eastAsia" w:ascii="宋体" w:hAnsi="宋体"/>
          <w:bCs/>
          <w:color w:val="auto"/>
          <w:szCs w:val="21"/>
        </w:rPr>
        <w:t>月</w:t>
      </w:r>
      <w:r>
        <w:rPr>
          <w:rFonts w:hint="eastAsia" w:ascii="宋体" w:hAnsi="宋体"/>
          <w:bCs/>
          <w:color w:val="auto"/>
          <w:szCs w:val="21"/>
          <w:u w:val="single"/>
        </w:rPr>
        <w:t xml:space="preserve">    </w:t>
      </w:r>
      <w:r>
        <w:rPr>
          <w:rFonts w:hint="eastAsia" w:ascii="宋体" w:hAnsi="宋体"/>
          <w:bCs/>
          <w:color w:val="auto"/>
          <w:szCs w:val="21"/>
        </w:rPr>
        <w:t>日</w:t>
      </w:r>
    </w:p>
    <w:p w14:paraId="2F91CE8D">
      <w:pPr>
        <w:adjustRightInd w:val="0"/>
        <w:snapToGrid w:val="0"/>
        <w:spacing w:line="360" w:lineRule="auto"/>
        <w:ind w:right="420" w:firstLine="3255" w:firstLineChars="1550"/>
        <w:rPr>
          <w:rFonts w:ascii="宋体" w:hAnsi="宋体"/>
          <w:color w:val="auto"/>
          <w:szCs w:val="21"/>
        </w:rPr>
      </w:pPr>
    </w:p>
    <w:p w14:paraId="3DA2A5A6">
      <w:pPr>
        <w:tabs>
          <w:tab w:val="left" w:pos="210"/>
        </w:tabs>
        <w:spacing w:line="320" w:lineRule="exact"/>
        <w:jc w:val="center"/>
        <w:rPr>
          <w:rFonts w:ascii="楷体" w:hAnsi="楷体" w:eastAsia="楷体"/>
          <w:color w:val="auto"/>
          <w:sz w:val="18"/>
          <w:szCs w:val="18"/>
          <w:lang w:val="zh-CN"/>
        </w:rPr>
      </w:pPr>
      <w:r>
        <w:rPr>
          <w:rFonts w:hint="eastAsia" w:ascii="楷体" w:hAnsi="楷体" w:eastAsia="楷体"/>
          <w:color w:val="auto"/>
          <w:sz w:val="18"/>
          <w:szCs w:val="18"/>
          <w:lang w:val="zh-CN"/>
        </w:rPr>
        <w:t>说明：法定代表人直接磋商，只须提供法定代表人证明书及身份证原件</w:t>
      </w:r>
    </w:p>
    <w:p w14:paraId="46FC8837">
      <w:pPr>
        <w:adjustRightInd w:val="0"/>
        <w:snapToGrid w:val="0"/>
        <w:spacing w:line="360" w:lineRule="auto"/>
        <w:ind w:right="420" w:firstLine="210" w:firstLineChars="100"/>
        <w:rPr>
          <w:rFonts w:ascii="楷体" w:hAnsi="楷体" w:eastAsia="楷体"/>
          <w:color w:val="auto"/>
          <w:szCs w:val="21"/>
        </w:rPr>
      </w:pPr>
      <w:r>
        <w:rPr>
          <w:rFonts w:ascii="楷体" w:hAnsi="楷体" w:eastAsia="楷体"/>
          <w:color w:val="auto"/>
          <w:szCs w:val="21"/>
        </w:rPr>
        <w:br w:type="page"/>
      </w:r>
    </w:p>
    <w:p w14:paraId="1A4DD139">
      <w:pPr>
        <w:jc w:val="center"/>
        <w:rPr>
          <w:rFonts w:ascii="宋体" w:hAnsi="宋体"/>
          <w:b/>
          <w:color w:val="auto"/>
          <w:sz w:val="36"/>
          <w:szCs w:val="36"/>
        </w:rPr>
      </w:pPr>
      <w:r>
        <w:rPr>
          <w:rFonts w:hint="eastAsia" w:ascii="宋体" w:hAnsi="宋体"/>
          <w:b/>
          <w:color w:val="auto"/>
          <w:sz w:val="36"/>
          <w:szCs w:val="36"/>
        </w:rPr>
        <w:t>三、授权委托书</w:t>
      </w:r>
    </w:p>
    <w:p w14:paraId="09625A1A">
      <w:pPr>
        <w:adjustRightInd w:val="0"/>
        <w:snapToGrid w:val="0"/>
        <w:spacing w:line="360" w:lineRule="auto"/>
        <w:jc w:val="center"/>
        <w:rPr>
          <w:rFonts w:ascii="黑体" w:hAnsi="华文中宋" w:eastAsia="黑体"/>
          <w:b/>
          <w:color w:val="auto"/>
          <w:sz w:val="28"/>
          <w:szCs w:val="28"/>
        </w:rPr>
      </w:pPr>
    </w:p>
    <w:p w14:paraId="7071A49E">
      <w:pPr>
        <w:spacing w:line="400" w:lineRule="exact"/>
        <w:ind w:firstLine="560" w:firstLineChars="200"/>
        <w:rPr>
          <w:rFonts w:ascii="仿宋_GB2312" w:hAnsi="宋体" w:eastAsia="仿宋_GB2312"/>
          <w:color w:val="auto"/>
          <w:sz w:val="28"/>
          <w:szCs w:val="28"/>
        </w:rPr>
      </w:pPr>
    </w:p>
    <w:p w14:paraId="0CAF4677">
      <w:pPr>
        <w:spacing w:line="360" w:lineRule="auto"/>
        <w:ind w:left="630" w:leftChars="300" w:firstLine="210" w:firstLineChars="100"/>
        <w:rPr>
          <w:rFonts w:hint="eastAsia" w:ascii="宋体" w:hAnsi="宋体"/>
          <w:color w:val="auto"/>
          <w:szCs w:val="21"/>
          <w:u w:val="none"/>
          <w:lang w:val="zh-CN"/>
        </w:rPr>
      </w:pPr>
      <w:r>
        <w:rPr>
          <w:rFonts w:hint="eastAsia" w:ascii="宋体" w:hAnsi="宋体"/>
          <w:color w:val="auto"/>
          <w:szCs w:val="21"/>
          <w:lang w:val="zh-CN"/>
        </w:rPr>
        <w:t>本人</w:t>
      </w:r>
      <w:r>
        <w:rPr>
          <w:rFonts w:hint="eastAsia" w:ascii="宋体" w:hAnsi="宋体"/>
          <w:color w:val="auto"/>
          <w:szCs w:val="21"/>
          <w:u w:val="single"/>
          <w:lang w:val="zh-CN"/>
        </w:rPr>
        <w:t xml:space="preserve">          </w:t>
      </w:r>
      <w:r>
        <w:rPr>
          <w:rFonts w:hint="eastAsia" w:ascii="宋体" w:hAnsi="宋体"/>
          <w:color w:val="auto"/>
          <w:szCs w:val="21"/>
          <w:lang w:val="zh-CN"/>
        </w:rPr>
        <w:t>（姓名）系</w:t>
      </w:r>
      <w:r>
        <w:rPr>
          <w:rFonts w:hint="eastAsia" w:ascii="宋体" w:hAnsi="宋体"/>
          <w:color w:val="auto"/>
          <w:szCs w:val="21"/>
          <w:u w:val="single"/>
          <w:lang w:val="zh-CN"/>
        </w:rPr>
        <w:t xml:space="preserve">           </w:t>
      </w:r>
      <w:r>
        <w:rPr>
          <w:rFonts w:hint="eastAsia" w:ascii="宋体" w:hAnsi="宋体"/>
          <w:color w:val="auto"/>
          <w:szCs w:val="21"/>
          <w:lang w:val="zh-CN"/>
        </w:rPr>
        <w:t>（供应商名称）的法定代表人（单位负责人），现委托</w:t>
      </w:r>
      <w:r>
        <w:rPr>
          <w:rFonts w:hint="eastAsia" w:ascii="宋体" w:hAnsi="宋体"/>
          <w:color w:val="auto"/>
          <w:szCs w:val="21"/>
          <w:u w:val="single"/>
          <w:lang w:val="zh-CN"/>
        </w:rPr>
        <w:t xml:space="preserve">          </w:t>
      </w:r>
      <w:r>
        <w:rPr>
          <w:rFonts w:hint="eastAsia" w:ascii="宋体" w:hAnsi="宋体"/>
          <w:color w:val="auto"/>
          <w:szCs w:val="21"/>
          <w:u w:val="single"/>
        </w:rPr>
        <w:t xml:space="preserve">    </w:t>
      </w:r>
      <w:r>
        <w:rPr>
          <w:rFonts w:hint="eastAsia" w:ascii="宋体" w:hAnsi="宋体"/>
          <w:color w:val="auto"/>
          <w:szCs w:val="21"/>
          <w:u w:val="single"/>
          <w:lang w:val="zh-CN"/>
        </w:rPr>
        <w:t xml:space="preserve"> </w:t>
      </w:r>
    </w:p>
    <w:p w14:paraId="21209061">
      <w:pPr>
        <w:spacing w:line="360" w:lineRule="auto"/>
        <w:ind w:left="1050" w:leftChars="200" w:hanging="630" w:hangingChars="300"/>
        <w:rPr>
          <w:rFonts w:hint="eastAsia" w:ascii="宋体" w:hAnsi="宋体"/>
          <w:color w:val="auto"/>
          <w:szCs w:val="21"/>
          <w:u w:val="none"/>
          <w:lang w:val="zh-CN"/>
        </w:rPr>
      </w:pPr>
      <w:r>
        <w:rPr>
          <w:rFonts w:hint="eastAsia" w:ascii="宋体" w:hAnsi="宋体"/>
          <w:color w:val="auto"/>
          <w:szCs w:val="21"/>
          <w:lang w:val="zh-CN"/>
        </w:rPr>
        <w:t>（姓名）为我方代理人。代理人根据授权，以我方的名义签署、澄清确认、递交、撤回、修改</w:t>
      </w:r>
      <w:r>
        <w:rPr>
          <w:rFonts w:hint="eastAsia" w:ascii="宋体" w:hAnsi="宋体"/>
          <w:color w:val="auto"/>
          <w:szCs w:val="21"/>
          <w:u w:val="single"/>
          <w:lang w:val="zh-CN"/>
        </w:rPr>
        <w:t xml:space="preserve">      </w:t>
      </w:r>
      <w:r>
        <w:rPr>
          <w:rFonts w:hint="eastAsia" w:ascii="宋体" w:hAnsi="宋体"/>
          <w:color w:val="auto"/>
          <w:szCs w:val="21"/>
          <w:u w:val="single"/>
        </w:rPr>
        <w:t xml:space="preserve">              </w:t>
      </w:r>
      <w:r>
        <w:rPr>
          <w:rFonts w:hint="eastAsia" w:ascii="宋体" w:hAnsi="宋体"/>
          <w:color w:val="auto"/>
          <w:szCs w:val="21"/>
          <w:u w:val="single"/>
          <w:lang w:val="zh-CN"/>
        </w:rPr>
        <w:t xml:space="preserve">   </w:t>
      </w:r>
    </w:p>
    <w:p w14:paraId="6534CA3F">
      <w:pPr>
        <w:spacing w:line="360" w:lineRule="auto"/>
        <w:ind w:left="1050" w:leftChars="200" w:hanging="630" w:hangingChars="300"/>
        <w:rPr>
          <w:rFonts w:ascii="宋体" w:hAnsi="宋体"/>
          <w:color w:val="auto"/>
          <w:szCs w:val="21"/>
        </w:rPr>
      </w:pPr>
      <w:r>
        <w:rPr>
          <w:rFonts w:hint="eastAsia" w:ascii="宋体" w:hAnsi="宋体"/>
          <w:color w:val="auto"/>
          <w:szCs w:val="21"/>
          <w:lang w:val="zh-CN"/>
        </w:rPr>
        <w:t>（采购项目）响应文件、签订合同和全权处理一切与之有关的事宜，</w:t>
      </w:r>
      <w:r>
        <w:rPr>
          <w:rFonts w:hint="eastAsia" w:ascii="宋体" w:hAnsi="宋体" w:cs="宋体"/>
          <w:color w:val="auto"/>
          <w:kern w:val="0"/>
          <w:szCs w:val="21"/>
        </w:rPr>
        <w:t>其法律后果由我方承担。</w:t>
      </w:r>
    </w:p>
    <w:p w14:paraId="1D7FB501">
      <w:pPr>
        <w:spacing w:line="480" w:lineRule="auto"/>
        <w:ind w:firstLine="840" w:firstLineChars="400"/>
        <w:rPr>
          <w:rFonts w:ascii="宋体" w:hAnsi="宋体"/>
          <w:color w:val="auto"/>
          <w:szCs w:val="21"/>
          <w:u w:val="single"/>
        </w:rPr>
      </w:pPr>
      <w:r>
        <w:rPr>
          <w:rFonts w:hint="eastAsia" w:ascii="宋体" w:hAnsi="宋体"/>
          <w:color w:val="auto"/>
          <w:szCs w:val="21"/>
          <w:lang w:val="zh-CN"/>
        </w:rPr>
        <w:t>委托期限</w:t>
      </w:r>
      <w:r>
        <w:rPr>
          <w:rFonts w:hint="eastAsia" w:ascii="宋体" w:hAnsi="宋体"/>
          <w:color w:val="auto"/>
          <w:szCs w:val="21"/>
        </w:rPr>
        <w:t>：自</w:t>
      </w:r>
      <w:r>
        <w:rPr>
          <w:rFonts w:hint="eastAsia" w:ascii="宋体" w:hAnsi="宋体"/>
          <w:color w:val="auto"/>
          <w:szCs w:val="21"/>
          <w:lang w:val="zh-CN"/>
        </w:rPr>
        <w:t>响应文件首次提交截止之日起</w:t>
      </w:r>
      <w:r>
        <w:rPr>
          <w:rFonts w:hint="eastAsia" w:ascii="宋体" w:hAnsi="宋体"/>
          <w:color w:val="auto"/>
          <w:szCs w:val="21"/>
          <w:u w:val="single"/>
        </w:rPr>
        <w:t xml:space="preserve">       </w:t>
      </w:r>
      <w:r>
        <w:rPr>
          <w:rFonts w:hint="eastAsia" w:ascii="宋体" w:hAnsi="宋体"/>
          <w:color w:val="auto"/>
          <w:szCs w:val="21"/>
          <w:u w:val="none"/>
          <w:lang w:val="en-US" w:eastAsia="zh-CN"/>
        </w:rPr>
        <w:t>日历天</w:t>
      </w:r>
      <w:r>
        <w:rPr>
          <w:rFonts w:hint="eastAsia" w:ascii="宋体" w:hAnsi="宋体"/>
          <w:color w:val="auto"/>
          <w:szCs w:val="21"/>
        </w:rPr>
        <w:t>。</w:t>
      </w:r>
    </w:p>
    <w:p w14:paraId="021F1CC7">
      <w:pPr>
        <w:spacing w:line="480" w:lineRule="auto"/>
        <w:ind w:firstLine="840" w:firstLineChars="400"/>
        <w:rPr>
          <w:rFonts w:ascii="宋体" w:hAnsi="宋体"/>
          <w:b/>
          <w:bCs/>
          <w:color w:val="auto"/>
          <w:szCs w:val="21"/>
        </w:rPr>
      </w:pPr>
      <w:r>
        <w:rPr>
          <w:rFonts w:hint="eastAsia" w:ascii="宋体" w:hAnsi="宋体"/>
          <w:color w:val="auto"/>
          <w:szCs w:val="21"/>
        </w:rPr>
        <w:t>代理人无转委托权。</w:t>
      </w:r>
    </w:p>
    <w:p w14:paraId="003B94C8">
      <w:pPr>
        <w:spacing w:line="360" w:lineRule="auto"/>
        <w:ind w:firstLine="420" w:firstLineChars="200"/>
        <w:rPr>
          <w:rFonts w:ascii="宋体" w:hAnsi="宋体"/>
          <w:color w:val="auto"/>
          <w:szCs w:val="21"/>
        </w:rPr>
      </w:pPr>
    </w:p>
    <w:p w14:paraId="63E21219">
      <w:pPr>
        <w:spacing w:line="360" w:lineRule="auto"/>
        <w:rPr>
          <w:rFonts w:ascii="宋体" w:hAnsi="宋体"/>
          <w:color w:val="auto"/>
          <w:szCs w:val="21"/>
          <w:u w:val="single"/>
        </w:rPr>
      </w:pPr>
      <w:r>
        <w:rPr>
          <w:rFonts w:hint="eastAsia" w:ascii="宋体" w:hAnsi="宋体"/>
          <w:color w:val="auto"/>
          <w:szCs w:val="21"/>
          <w:lang w:val="zh-CN"/>
        </w:rPr>
        <w:t>附：法定代表人（单位负责人）身份证复印件</w:t>
      </w:r>
      <w:r>
        <w:rPr>
          <w:rFonts w:hint="eastAsia" w:ascii="宋体" w:hAnsi="宋体"/>
          <w:color w:val="auto"/>
          <w:szCs w:val="21"/>
        </w:rPr>
        <w:t>、</w:t>
      </w:r>
      <w:r>
        <w:rPr>
          <w:rFonts w:hint="eastAsia" w:ascii="宋体" w:hAnsi="宋体"/>
          <w:color w:val="auto"/>
          <w:szCs w:val="21"/>
          <w:lang w:val="zh-CN"/>
        </w:rPr>
        <w:t>委托代理人身份证复印件（正反面均需复印）</w:t>
      </w:r>
    </w:p>
    <w:tbl>
      <w:tblPr>
        <w:tblStyle w:val="22"/>
        <w:tblW w:w="0" w:type="auto"/>
        <w:jc w:val="center"/>
        <w:tblLayout w:type="fixed"/>
        <w:tblCellMar>
          <w:top w:w="0" w:type="dxa"/>
          <w:left w:w="108" w:type="dxa"/>
          <w:bottom w:w="0" w:type="dxa"/>
          <w:right w:w="108" w:type="dxa"/>
        </w:tblCellMar>
      </w:tblPr>
      <w:tblGrid>
        <w:gridCol w:w="4081"/>
        <w:gridCol w:w="3915"/>
      </w:tblGrid>
      <w:tr w14:paraId="333BF663">
        <w:tblPrEx>
          <w:tblCellMar>
            <w:top w:w="0" w:type="dxa"/>
            <w:left w:w="108" w:type="dxa"/>
            <w:bottom w:w="0" w:type="dxa"/>
            <w:right w:w="108" w:type="dxa"/>
          </w:tblCellMar>
        </w:tblPrEx>
        <w:trPr>
          <w:trHeight w:val="3704" w:hRule="atLeast"/>
          <w:jc w:val="center"/>
        </w:trPr>
        <w:tc>
          <w:tcPr>
            <w:tcW w:w="4081" w:type="dxa"/>
            <w:tcBorders>
              <w:top w:val="single" w:color="auto" w:sz="6" w:space="0"/>
              <w:left w:val="single" w:color="auto" w:sz="6" w:space="0"/>
              <w:bottom w:val="single" w:color="auto" w:sz="6" w:space="0"/>
              <w:right w:val="single" w:color="auto" w:sz="6" w:space="0"/>
            </w:tcBorders>
            <w:vAlign w:val="center"/>
          </w:tcPr>
          <w:p w14:paraId="23031237">
            <w:pPr>
              <w:spacing w:line="360" w:lineRule="auto"/>
              <w:jc w:val="center"/>
              <w:rPr>
                <w:rFonts w:ascii="宋体" w:hAnsi="宋体"/>
                <w:color w:val="auto"/>
                <w:szCs w:val="21"/>
                <w:u w:val="single"/>
              </w:rPr>
            </w:pPr>
            <w:r>
              <w:rPr>
                <w:rFonts w:hint="eastAsia" w:ascii="宋体" w:hAnsi="宋体"/>
                <w:color w:val="auto"/>
                <w:szCs w:val="21"/>
                <w:lang w:val="zh-CN"/>
              </w:rPr>
              <w:t>法定代表人身份证复印件</w:t>
            </w:r>
          </w:p>
        </w:tc>
        <w:tc>
          <w:tcPr>
            <w:tcW w:w="3915" w:type="dxa"/>
            <w:tcBorders>
              <w:top w:val="single" w:color="auto" w:sz="6" w:space="0"/>
              <w:left w:val="single" w:color="auto" w:sz="6" w:space="0"/>
              <w:bottom w:val="single" w:color="auto" w:sz="6" w:space="0"/>
              <w:right w:val="single" w:color="auto" w:sz="6" w:space="0"/>
            </w:tcBorders>
            <w:vAlign w:val="center"/>
          </w:tcPr>
          <w:p w14:paraId="3AB80152">
            <w:pPr>
              <w:spacing w:line="360" w:lineRule="auto"/>
              <w:jc w:val="center"/>
              <w:rPr>
                <w:rFonts w:ascii="宋体" w:hAnsi="宋体"/>
                <w:color w:val="auto"/>
                <w:szCs w:val="21"/>
                <w:u w:val="single"/>
              </w:rPr>
            </w:pPr>
            <w:r>
              <w:rPr>
                <w:rFonts w:hint="eastAsia" w:ascii="宋体" w:hAnsi="宋体"/>
                <w:color w:val="auto"/>
                <w:szCs w:val="21"/>
                <w:lang w:val="zh-CN"/>
              </w:rPr>
              <w:t>委托代理人身份证复印件</w:t>
            </w:r>
          </w:p>
        </w:tc>
      </w:tr>
    </w:tbl>
    <w:p w14:paraId="3ADD4AA4">
      <w:pPr>
        <w:ind w:firstLine="420" w:firstLineChars="200"/>
        <w:rPr>
          <w:rFonts w:ascii="宋体" w:hAnsi="宋体"/>
          <w:color w:val="auto"/>
          <w:szCs w:val="21"/>
        </w:rPr>
      </w:pPr>
    </w:p>
    <w:p w14:paraId="1DC87701">
      <w:pPr>
        <w:ind w:firstLine="2835" w:firstLineChars="1350"/>
        <w:rPr>
          <w:rFonts w:ascii="宋体" w:hAnsi="宋体"/>
          <w:color w:val="auto"/>
          <w:szCs w:val="21"/>
        </w:rPr>
      </w:pPr>
    </w:p>
    <w:p w14:paraId="100DE933">
      <w:pPr>
        <w:ind w:firstLine="2835" w:firstLineChars="1350"/>
        <w:rPr>
          <w:rFonts w:ascii="宋体" w:hAnsi="宋体"/>
          <w:color w:val="auto"/>
          <w:szCs w:val="21"/>
        </w:rPr>
      </w:pPr>
      <w:r>
        <w:rPr>
          <w:rFonts w:hint="eastAsia" w:ascii="宋体" w:hAnsi="宋体"/>
          <w:color w:val="auto"/>
          <w:szCs w:val="21"/>
        </w:rPr>
        <w:t>供应商名称：</w:t>
      </w:r>
      <w:r>
        <w:rPr>
          <w:rFonts w:hint="eastAsia" w:ascii="宋体" w:hAnsi="宋体"/>
          <w:color w:val="auto"/>
          <w:szCs w:val="21"/>
          <w:u w:val="single"/>
        </w:rPr>
        <w:t xml:space="preserve">                         </w:t>
      </w:r>
      <w:r>
        <w:rPr>
          <w:rFonts w:hint="eastAsia" w:ascii="宋体" w:hAnsi="宋体"/>
          <w:color w:val="auto"/>
          <w:szCs w:val="21"/>
        </w:rPr>
        <w:t>（</w:t>
      </w:r>
      <w:r>
        <w:rPr>
          <w:rFonts w:hint="eastAsia" w:ascii="宋体" w:hAnsi="宋体" w:eastAsia="宋体" w:cs="宋体"/>
          <w:color w:val="auto"/>
          <w:szCs w:val="21"/>
          <w:highlight w:val="none"/>
        </w:rPr>
        <w:t>盖单位章</w:t>
      </w:r>
      <w:r>
        <w:rPr>
          <w:rFonts w:hint="eastAsia" w:ascii="宋体" w:hAnsi="宋体"/>
          <w:color w:val="auto"/>
          <w:szCs w:val="21"/>
        </w:rPr>
        <w:t xml:space="preserve">） </w:t>
      </w:r>
    </w:p>
    <w:p w14:paraId="0E9F2F80">
      <w:pPr>
        <w:ind w:firstLine="420" w:firstLineChars="200"/>
        <w:rPr>
          <w:rFonts w:ascii="宋体" w:hAnsi="宋体"/>
          <w:color w:val="auto"/>
          <w:szCs w:val="21"/>
        </w:rPr>
      </w:pPr>
    </w:p>
    <w:p w14:paraId="71D909C5">
      <w:pPr>
        <w:ind w:firstLine="2835" w:firstLineChars="1350"/>
        <w:rPr>
          <w:rFonts w:ascii="宋体" w:hAnsi="宋体"/>
          <w:color w:val="auto"/>
          <w:szCs w:val="21"/>
        </w:rPr>
      </w:pPr>
      <w:r>
        <w:rPr>
          <w:rFonts w:hint="eastAsia" w:ascii="宋体" w:hAnsi="宋体"/>
          <w:color w:val="auto"/>
          <w:szCs w:val="21"/>
        </w:rPr>
        <w:t xml:space="preserve">法定代表人（单位负责人）： </w:t>
      </w:r>
      <w:r>
        <w:rPr>
          <w:rFonts w:hint="eastAsia" w:ascii="宋体" w:hAnsi="宋体"/>
          <w:color w:val="auto"/>
          <w:szCs w:val="21"/>
          <w:u w:val="single"/>
        </w:rPr>
        <w:t xml:space="preserve">           </w:t>
      </w:r>
      <w:r>
        <w:rPr>
          <w:rFonts w:hint="eastAsia" w:ascii="宋体" w:hAnsi="宋体"/>
          <w:color w:val="auto"/>
          <w:szCs w:val="21"/>
        </w:rPr>
        <w:t>（签字或盖章）</w:t>
      </w:r>
    </w:p>
    <w:p w14:paraId="3002AB66">
      <w:pPr>
        <w:ind w:firstLine="3465" w:firstLineChars="1650"/>
        <w:rPr>
          <w:rFonts w:ascii="宋体" w:hAnsi="宋体"/>
          <w:color w:val="auto"/>
          <w:szCs w:val="21"/>
        </w:rPr>
      </w:pPr>
    </w:p>
    <w:p w14:paraId="727960E3">
      <w:pPr>
        <w:ind w:firstLine="2835" w:firstLineChars="1350"/>
        <w:jc w:val="left"/>
        <w:rPr>
          <w:rFonts w:ascii="宋体" w:hAnsi="宋体"/>
          <w:color w:val="auto"/>
          <w:szCs w:val="21"/>
          <w:u w:val="single"/>
        </w:rPr>
      </w:pPr>
      <w:r>
        <w:rPr>
          <w:rFonts w:hint="eastAsia" w:ascii="宋体" w:hAnsi="宋体"/>
          <w:color w:val="auto"/>
          <w:szCs w:val="21"/>
        </w:rPr>
        <w:t>身份证号：</w:t>
      </w:r>
      <w:r>
        <w:rPr>
          <w:rFonts w:hint="eastAsia" w:ascii="宋体" w:hAnsi="宋体"/>
          <w:color w:val="auto"/>
          <w:szCs w:val="21"/>
          <w:u w:val="single"/>
        </w:rPr>
        <w:t xml:space="preserve">                           </w:t>
      </w:r>
    </w:p>
    <w:p w14:paraId="192B6FB1">
      <w:pPr>
        <w:ind w:firstLine="3465" w:firstLineChars="1650"/>
        <w:rPr>
          <w:rFonts w:ascii="宋体" w:hAnsi="宋体"/>
          <w:color w:val="auto"/>
          <w:szCs w:val="21"/>
        </w:rPr>
      </w:pPr>
    </w:p>
    <w:p w14:paraId="6C0B97F6">
      <w:pPr>
        <w:ind w:firstLine="2835" w:firstLineChars="1350"/>
        <w:rPr>
          <w:rFonts w:ascii="宋体" w:hAnsi="宋体"/>
          <w:color w:val="auto"/>
          <w:szCs w:val="21"/>
        </w:rPr>
      </w:pPr>
      <w:r>
        <w:rPr>
          <w:rFonts w:hint="eastAsia" w:ascii="宋体" w:hAnsi="宋体"/>
          <w:color w:val="auto"/>
          <w:szCs w:val="21"/>
        </w:rPr>
        <w:t>委托代理人：</w:t>
      </w:r>
      <w:r>
        <w:rPr>
          <w:rFonts w:hint="eastAsia" w:ascii="宋体" w:hAnsi="宋体"/>
          <w:color w:val="auto"/>
          <w:szCs w:val="21"/>
          <w:u w:val="single"/>
        </w:rPr>
        <w:t xml:space="preserve">                          </w:t>
      </w:r>
      <w:r>
        <w:rPr>
          <w:rFonts w:hint="eastAsia" w:ascii="宋体" w:hAnsi="宋体"/>
          <w:color w:val="auto"/>
          <w:szCs w:val="21"/>
        </w:rPr>
        <w:t xml:space="preserve"> （签字）     </w:t>
      </w:r>
    </w:p>
    <w:p w14:paraId="41EAAC13">
      <w:pPr>
        <w:ind w:firstLine="2835" w:firstLineChars="1350"/>
        <w:jc w:val="left"/>
        <w:rPr>
          <w:rFonts w:ascii="宋体" w:hAnsi="宋体"/>
          <w:color w:val="auto"/>
          <w:szCs w:val="21"/>
        </w:rPr>
      </w:pPr>
    </w:p>
    <w:p w14:paraId="38925FDD">
      <w:pPr>
        <w:ind w:firstLine="2835" w:firstLineChars="1350"/>
        <w:jc w:val="left"/>
        <w:rPr>
          <w:rFonts w:ascii="宋体" w:hAnsi="宋体"/>
          <w:color w:val="auto"/>
          <w:szCs w:val="21"/>
          <w:u w:val="single"/>
        </w:rPr>
      </w:pPr>
      <w:r>
        <w:rPr>
          <w:rFonts w:hint="eastAsia" w:ascii="宋体" w:hAnsi="宋体"/>
          <w:color w:val="auto"/>
          <w:szCs w:val="21"/>
        </w:rPr>
        <w:t>身份证号：</w:t>
      </w:r>
      <w:r>
        <w:rPr>
          <w:rFonts w:hint="eastAsia" w:ascii="宋体" w:hAnsi="宋体"/>
          <w:color w:val="auto"/>
          <w:szCs w:val="21"/>
          <w:u w:val="single"/>
        </w:rPr>
        <w:t xml:space="preserve">                            </w:t>
      </w:r>
    </w:p>
    <w:p w14:paraId="751DA311">
      <w:pPr>
        <w:ind w:firstLine="420" w:firstLineChars="200"/>
        <w:rPr>
          <w:rFonts w:ascii="宋体" w:hAnsi="宋体"/>
          <w:color w:val="auto"/>
          <w:szCs w:val="21"/>
        </w:rPr>
      </w:pPr>
    </w:p>
    <w:p w14:paraId="317739F3">
      <w:pPr>
        <w:ind w:firstLine="2730" w:firstLineChars="1300"/>
        <w:rPr>
          <w:rFonts w:ascii="仿宋_GB2312" w:eastAsia="仿宋_GB2312"/>
          <w:color w:val="auto"/>
          <w:szCs w:val="21"/>
          <w:lang w:val="zh-CN"/>
        </w:rPr>
      </w:pPr>
      <w:r>
        <w:rPr>
          <w:rFonts w:hint="eastAsia" w:ascii="宋体" w:hAnsi="宋体"/>
          <w:color w:val="auto"/>
          <w:szCs w:val="21"/>
        </w:rPr>
        <w:t xml:space="preserve"> 授权委托日期：</w:t>
      </w:r>
      <w:r>
        <w:rPr>
          <w:rFonts w:hint="eastAsia" w:ascii="宋体" w:hAnsi="宋体"/>
          <w:color w:val="auto"/>
          <w:szCs w:val="21"/>
          <w:u w:val="single"/>
        </w:rPr>
        <w:t xml:space="preserve">    </w:t>
      </w:r>
      <w:r>
        <w:rPr>
          <w:rFonts w:hint="eastAsia" w:ascii="宋体" w:hAnsi="宋体"/>
          <w:color w:val="auto"/>
          <w:szCs w:val="21"/>
        </w:rPr>
        <w:t xml:space="preserve"> 年</w:t>
      </w:r>
      <w:r>
        <w:rPr>
          <w:rFonts w:hint="eastAsia" w:ascii="宋体" w:hAnsi="宋体"/>
          <w:color w:val="auto"/>
          <w:szCs w:val="21"/>
          <w:u w:val="single"/>
        </w:rPr>
        <w:t xml:space="preserve">   </w:t>
      </w:r>
      <w:r>
        <w:rPr>
          <w:rFonts w:hint="eastAsia" w:ascii="宋体" w:hAnsi="宋体"/>
          <w:color w:val="auto"/>
          <w:szCs w:val="21"/>
        </w:rPr>
        <w:t xml:space="preserve"> 月</w:t>
      </w:r>
      <w:r>
        <w:rPr>
          <w:rFonts w:hint="eastAsia" w:ascii="宋体" w:hAnsi="宋体"/>
          <w:color w:val="auto"/>
          <w:szCs w:val="21"/>
          <w:u w:val="single"/>
        </w:rPr>
        <w:t xml:space="preserve">   </w:t>
      </w:r>
      <w:r>
        <w:rPr>
          <w:rFonts w:hint="eastAsia" w:ascii="宋体" w:hAnsi="宋体"/>
          <w:color w:val="auto"/>
          <w:szCs w:val="21"/>
        </w:rPr>
        <w:t>日</w:t>
      </w:r>
    </w:p>
    <w:p w14:paraId="16913745">
      <w:pPr>
        <w:ind w:firstLine="210" w:firstLineChars="100"/>
        <w:rPr>
          <w:rFonts w:ascii="楷体" w:hAnsi="楷体" w:eastAsia="楷体"/>
          <w:color w:val="auto"/>
          <w:lang w:val="zh-CN"/>
        </w:rPr>
      </w:pPr>
    </w:p>
    <w:p w14:paraId="59D0F6C2">
      <w:pPr>
        <w:spacing w:line="360" w:lineRule="auto"/>
        <w:ind w:firstLine="180" w:firstLineChars="100"/>
        <w:rPr>
          <w:rFonts w:ascii="楷体" w:hAnsi="楷体" w:eastAsia="楷体"/>
          <w:color w:val="auto"/>
          <w:sz w:val="18"/>
          <w:szCs w:val="18"/>
          <w:lang w:val="zh-CN"/>
        </w:rPr>
      </w:pPr>
      <w:r>
        <w:rPr>
          <w:rFonts w:hint="eastAsia" w:ascii="楷体" w:hAnsi="楷体" w:eastAsia="楷体"/>
          <w:color w:val="auto"/>
          <w:sz w:val="18"/>
          <w:szCs w:val="18"/>
          <w:lang w:val="zh-CN"/>
        </w:rPr>
        <w:t>说明：</w:t>
      </w:r>
      <w:r>
        <w:rPr>
          <w:rFonts w:hint="eastAsia" w:ascii="楷体" w:hAnsi="楷体" w:eastAsia="楷体"/>
          <w:color w:val="auto"/>
          <w:sz w:val="18"/>
          <w:szCs w:val="18"/>
        </w:rPr>
        <w:t>1、</w:t>
      </w:r>
      <w:r>
        <w:rPr>
          <w:rFonts w:hint="eastAsia" w:ascii="楷体" w:hAnsi="楷体" w:eastAsia="楷体"/>
          <w:color w:val="auto"/>
          <w:sz w:val="18"/>
          <w:szCs w:val="18"/>
          <w:lang w:val="zh-CN"/>
        </w:rPr>
        <w:t>本授权委托书有效期</w:t>
      </w:r>
      <w:r>
        <w:rPr>
          <w:rFonts w:hint="eastAsia" w:ascii="楷体" w:hAnsi="楷体" w:eastAsia="楷体"/>
          <w:color w:val="auto"/>
          <w:sz w:val="18"/>
          <w:szCs w:val="18"/>
          <w:lang w:val="en-US" w:eastAsia="zh-CN"/>
        </w:rPr>
        <w:t>自</w:t>
      </w:r>
      <w:r>
        <w:rPr>
          <w:rFonts w:hint="eastAsia" w:ascii="楷体" w:hAnsi="楷体" w:eastAsia="楷体"/>
          <w:color w:val="auto"/>
          <w:sz w:val="18"/>
          <w:szCs w:val="18"/>
          <w:lang w:val="zh-CN"/>
        </w:rPr>
        <w:t>响应文件首次提交截止之日起</w:t>
      </w:r>
      <w:r>
        <w:rPr>
          <w:rFonts w:hint="eastAsia" w:ascii="楷体" w:hAnsi="楷体" w:eastAsia="楷体"/>
          <w:color w:val="auto"/>
          <w:sz w:val="18"/>
          <w:szCs w:val="18"/>
          <w:lang w:val="en-US" w:eastAsia="zh-CN"/>
        </w:rPr>
        <w:t>不得少于</w:t>
      </w:r>
      <w:r>
        <w:rPr>
          <w:rFonts w:hint="eastAsia" w:ascii="楷体" w:hAnsi="楷体" w:eastAsia="楷体"/>
          <w:color w:val="auto"/>
          <w:sz w:val="18"/>
          <w:szCs w:val="18"/>
          <w:lang w:val="zh-CN"/>
        </w:rPr>
        <w:t>90日历天，仅限委托代理人参加磋商时提供。</w:t>
      </w:r>
    </w:p>
    <w:p w14:paraId="764DA5A8">
      <w:pPr>
        <w:spacing w:line="360" w:lineRule="auto"/>
        <w:ind w:firstLine="720" w:firstLineChars="400"/>
        <w:rPr>
          <w:rFonts w:ascii="楷体" w:hAnsi="楷体" w:eastAsia="楷体"/>
          <w:color w:val="auto"/>
          <w:sz w:val="18"/>
          <w:szCs w:val="18"/>
          <w:lang w:val="zh-CN"/>
        </w:rPr>
      </w:pPr>
      <w:r>
        <w:rPr>
          <w:rFonts w:hint="eastAsia" w:ascii="楷体" w:hAnsi="楷体" w:eastAsia="楷体"/>
          <w:color w:val="auto"/>
          <w:sz w:val="18"/>
          <w:szCs w:val="18"/>
          <w:lang w:val="zh-CN"/>
        </w:rPr>
        <w:t xml:space="preserve"> </w:t>
      </w:r>
    </w:p>
    <w:p w14:paraId="4689C2F4">
      <w:pPr>
        <w:rPr>
          <w:rFonts w:ascii="楷体" w:hAnsi="楷体" w:eastAsia="楷体"/>
          <w:color w:val="auto"/>
          <w:lang w:val="zh-CN"/>
        </w:rPr>
      </w:pPr>
      <w:r>
        <w:rPr>
          <w:rFonts w:ascii="楷体" w:hAnsi="楷体" w:eastAsia="楷体"/>
          <w:color w:val="auto"/>
          <w:lang w:val="zh-CN"/>
        </w:rPr>
        <w:br w:type="page"/>
      </w:r>
    </w:p>
    <w:p w14:paraId="1EF7B2A3">
      <w:pPr>
        <w:jc w:val="center"/>
        <w:rPr>
          <w:rFonts w:ascii="宋体" w:hAnsi="宋体"/>
          <w:b/>
          <w:color w:val="auto"/>
          <w:sz w:val="36"/>
          <w:szCs w:val="36"/>
        </w:rPr>
      </w:pPr>
      <w:r>
        <w:rPr>
          <w:rFonts w:hint="eastAsia" w:ascii="宋体" w:hAnsi="宋体"/>
          <w:b/>
          <w:color w:val="auto"/>
          <w:sz w:val="36"/>
          <w:szCs w:val="36"/>
        </w:rPr>
        <w:t>四、</w:t>
      </w:r>
      <w:r>
        <w:rPr>
          <w:rFonts w:hint="eastAsia" w:ascii="宋体" w:hAnsi="宋体" w:cs="宋体"/>
          <w:b/>
          <w:color w:val="auto"/>
          <w:kern w:val="0"/>
          <w:sz w:val="36"/>
          <w:szCs w:val="36"/>
          <w:lang w:val="zh-CN"/>
        </w:rPr>
        <w:t>供应商的营业执照等证明文件，自然人的身份证明</w:t>
      </w:r>
    </w:p>
    <w:p w14:paraId="04743954">
      <w:pPr>
        <w:pStyle w:val="11"/>
        <w:adjustRightInd w:val="0"/>
        <w:snapToGrid w:val="0"/>
        <w:spacing w:line="360" w:lineRule="auto"/>
        <w:jc w:val="left"/>
        <w:rPr>
          <w:rFonts w:hAnsi="宋体"/>
          <w:color w:val="auto"/>
          <w:sz w:val="24"/>
          <w:szCs w:val="24"/>
        </w:rPr>
      </w:pPr>
    </w:p>
    <w:p w14:paraId="57805BA6">
      <w:pPr>
        <w:pStyle w:val="11"/>
        <w:adjustRightInd w:val="0"/>
        <w:snapToGrid w:val="0"/>
        <w:spacing w:line="360" w:lineRule="auto"/>
        <w:rPr>
          <w:rFonts w:ascii="楷体" w:hAnsi="楷体" w:eastAsia="楷体"/>
          <w:color w:val="auto"/>
        </w:rPr>
      </w:pPr>
      <w:r>
        <w:rPr>
          <w:rFonts w:hint="eastAsia" w:ascii="楷体" w:hAnsi="楷体" w:eastAsia="楷体"/>
          <w:color w:val="auto"/>
        </w:rPr>
        <w:t xml:space="preserve"> 说明：</w:t>
      </w:r>
    </w:p>
    <w:p w14:paraId="0B3A1BF7">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（1）企业单位磋商的提供有效的营业执照（3证合1或多证合1）；</w:t>
      </w:r>
    </w:p>
    <w:p w14:paraId="32B8C421">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（2）事业单位磋商的提供有效的法人证书（带有社会统一信用代码）；</w:t>
      </w:r>
    </w:p>
    <w:p w14:paraId="7B8E48BD">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（3）其他组织磋商的提供有效的登记证书（带有社会统一信用代码）；</w:t>
      </w:r>
    </w:p>
    <w:p w14:paraId="41204C35">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（4）自然人磋商的提供有效的身份证复印件；</w:t>
      </w:r>
    </w:p>
    <w:p w14:paraId="1D134267">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（5）以上（1）-（3）项为正本或者副本复印件，并加盖供应商单位章。</w:t>
      </w:r>
    </w:p>
    <w:p w14:paraId="16C6A417">
      <w:pPr>
        <w:pStyle w:val="8"/>
        <w:spacing w:before="120" w:beforeLines="50"/>
        <w:ind w:firstLine="0"/>
        <w:rPr>
          <w:rFonts w:ascii="宋体" w:hAnsi="宋体"/>
          <w:b/>
          <w:color w:val="auto"/>
          <w:sz w:val="36"/>
          <w:szCs w:val="36"/>
        </w:rPr>
      </w:pPr>
    </w:p>
    <w:p w14:paraId="2D3F6641">
      <w:pPr>
        <w:pStyle w:val="11"/>
        <w:adjustRightInd w:val="0"/>
        <w:snapToGrid w:val="0"/>
        <w:spacing w:line="360" w:lineRule="auto"/>
        <w:rPr>
          <w:b/>
          <w:color w:val="auto"/>
          <w:sz w:val="36"/>
          <w:szCs w:val="36"/>
        </w:rPr>
      </w:pPr>
      <w:r>
        <w:rPr>
          <w:rFonts w:hint="eastAsia"/>
          <w:b/>
          <w:color w:val="auto"/>
          <w:sz w:val="36"/>
          <w:szCs w:val="36"/>
        </w:rPr>
        <w:br w:type="page"/>
      </w:r>
    </w:p>
    <w:p w14:paraId="455A3B9E">
      <w:pPr>
        <w:pStyle w:val="11"/>
        <w:shd w:val="clear"/>
        <w:adjustRightInd w:val="0"/>
        <w:snapToGrid w:val="0"/>
        <w:spacing w:line="360" w:lineRule="auto"/>
        <w:jc w:val="center"/>
        <w:rPr>
          <w:rFonts w:hint="default" w:hAnsi="宋体" w:eastAsia="宋体" w:cs="宋体"/>
          <w:b/>
          <w:color w:val="auto"/>
          <w:sz w:val="36"/>
          <w:szCs w:val="36"/>
          <w:highlight w:val="none"/>
          <w:lang w:val="en-US" w:eastAsia="zh-CN"/>
        </w:rPr>
      </w:pPr>
      <w:r>
        <w:rPr>
          <w:rFonts w:hint="eastAsia" w:ascii="宋体" w:hAnsi="宋体" w:eastAsia="宋体" w:cs="宋体"/>
          <w:b/>
          <w:color w:val="auto"/>
          <w:kern w:val="0"/>
          <w:sz w:val="36"/>
          <w:szCs w:val="36"/>
          <w:highlight w:val="none"/>
          <w:lang w:val="en-US" w:eastAsia="zh-CN" w:bidi="ar-SA"/>
        </w:rPr>
        <w:t>五、</w:t>
      </w:r>
      <w:r>
        <w:rPr>
          <w:rFonts w:hint="eastAsia" w:ascii="宋体" w:hAnsi="宋体" w:eastAsia="宋体" w:cs="宋体"/>
          <w:b/>
          <w:color w:val="auto"/>
          <w:kern w:val="0"/>
          <w:sz w:val="36"/>
          <w:szCs w:val="36"/>
          <w:highlight w:val="none"/>
          <w:lang w:val="zh-CN"/>
        </w:rPr>
        <w:t>供应商</w:t>
      </w:r>
      <w:r>
        <w:rPr>
          <w:rFonts w:hint="eastAsia" w:hAnsi="宋体" w:cs="宋体"/>
          <w:b/>
          <w:color w:val="auto"/>
          <w:kern w:val="0"/>
          <w:sz w:val="36"/>
          <w:szCs w:val="36"/>
          <w:highlight w:val="none"/>
          <w:lang w:val="en-US" w:eastAsia="zh-CN"/>
        </w:rPr>
        <w:t>资质要求及拟派项目负责人资格要求</w:t>
      </w:r>
    </w:p>
    <w:p w14:paraId="03D66EC5">
      <w:pPr>
        <w:pStyle w:val="11"/>
        <w:adjustRightInd w:val="0"/>
        <w:snapToGrid w:val="0"/>
        <w:spacing w:line="360" w:lineRule="auto"/>
        <w:jc w:val="left"/>
        <w:rPr>
          <w:rFonts w:hint="eastAsia" w:ascii="楷体" w:hAnsi="楷体" w:eastAsia="楷体"/>
          <w:bCs/>
        </w:rPr>
      </w:pPr>
      <w:r>
        <w:rPr>
          <w:rFonts w:hint="eastAsia" w:ascii="楷体" w:hAnsi="楷体" w:eastAsia="楷体"/>
          <w:bCs/>
        </w:rPr>
        <w:t>说明：</w:t>
      </w:r>
    </w:p>
    <w:p w14:paraId="6E727017">
      <w:pPr>
        <w:pStyle w:val="19"/>
        <w:keepNext w:val="0"/>
        <w:keepLines w:val="0"/>
        <w:pageBreakBefore w:val="0"/>
        <w:numPr>
          <w:ilvl w:val="0"/>
          <w:numId w:val="4"/>
        </w:numPr>
        <w:kinsoku/>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Fonts w:hint="eastAsia" w:ascii="楷体" w:hAnsi="楷体" w:eastAsia="楷体" w:cs="Courier New"/>
          <w:bCs/>
          <w:kern w:val="2"/>
          <w:sz w:val="21"/>
          <w:szCs w:val="21"/>
          <w:lang w:val="en-US" w:eastAsia="zh-CN" w:bidi="ar-SA"/>
        </w:rPr>
      </w:pPr>
      <w:r>
        <w:rPr>
          <w:rFonts w:hint="eastAsia" w:ascii="楷体" w:hAnsi="楷体" w:eastAsia="楷体" w:cs="Courier New"/>
          <w:bCs/>
          <w:kern w:val="2"/>
          <w:sz w:val="21"/>
          <w:szCs w:val="21"/>
          <w:lang w:val="en-US" w:eastAsia="zh-CN" w:bidi="ar-SA"/>
        </w:rPr>
        <w:t>供应商具备：具备地质灾害评估和治理工程勘察设计甲级及以上资质</w:t>
      </w:r>
    </w:p>
    <w:p w14:paraId="62BD4883">
      <w:pPr>
        <w:pStyle w:val="11"/>
        <w:adjustRightInd w:val="0"/>
        <w:snapToGrid w:val="0"/>
        <w:spacing w:line="360" w:lineRule="auto"/>
        <w:ind w:firstLine="420" w:firstLineChars="200"/>
        <w:jc w:val="both"/>
        <w:rPr>
          <w:rFonts w:hint="eastAsia"/>
          <w:b/>
          <w:color w:val="auto"/>
          <w:sz w:val="36"/>
          <w:szCs w:val="36"/>
          <w:lang w:val="en-US" w:eastAsia="zh-CN"/>
        </w:rPr>
      </w:pPr>
      <w:r>
        <w:rPr>
          <w:rFonts w:hint="eastAsia" w:ascii="楷体" w:hAnsi="楷体" w:eastAsia="楷体" w:cs="Courier New"/>
          <w:bCs/>
          <w:kern w:val="2"/>
          <w:sz w:val="21"/>
          <w:szCs w:val="21"/>
          <w:lang w:val="en-US" w:eastAsia="zh-CN" w:bidi="ar-SA"/>
        </w:rPr>
        <w:t>（2）拟派项目总负责人具备：相关专业中级及以上职称</w:t>
      </w:r>
    </w:p>
    <w:p w14:paraId="203219AD">
      <w:pPr>
        <w:pStyle w:val="11"/>
        <w:adjustRightInd w:val="0"/>
        <w:snapToGrid w:val="0"/>
        <w:spacing w:line="360" w:lineRule="auto"/>
        <w:jc w:val="center"/>
        <w:rPr>
          <w:rFonts w:hint="eastAsia"/>
          <w:b/>
          <w:color w:val="auto"/>
          <w:sz w:val="36"/>
          <w:szCs w:val="36"/>
          <w:lang w:val="en-US" w:eastAsia="zh-CN"/>
        </w:rPr>
      </w:pPr>
    </w:p>
    <w:p w14:paraId="7ED881C6">
      <w:pPr>
        <w:pStyle w:val="11"/>
        <w:adjustRightInd w:val="0"/>
        <w:snapToGrid w:val="0"/>
        <w:spacing w:line="360" w:lineRule="auto"/>
        <w:jc w:val="center"/>
        <w:rPr>
          <w:rFonts w:hint="eastAsia"/>
          <w:b/>
          <w:color w:val="auto"/>
          <w:sz w:val="36"/>
          <w:szCs w:val="36"/>
          <w:lang w:val="en-US" w:eastAsia="zh-CN"/>
        </w:rPr>
      </w:pPr>
    </w:p>
    <w:p w14:paraId="4410AF8E">
      <w:pPr>
        <w:pStyle w:val="11"/>
        <w:adjustRightInd w:val="0"/>
        <w:snapToGrid w:val="0"/>
        <w:spacing w:line="360" w:lineRule="auto"/>
        <w:jc w:val="center"/>
        <w:rPr>
          <w:rFonts w:hint="eastAsia"/>
          <w:b/>
          <w:color w:val="auto"/>
          <w:sz w:val="36"/>
          <w:szCs w:val="36"/>
          <w:lang w:val="en-US" w:eastAsia="zh-CN"/>
        </w:rPr>
      </w:pPr>
    </w:p>
    <w:p w14:paraId="0B81B595">
      <w:pPr>
        <w:pStyle w:val="11"/>
        <w:adjustRightInd w:val="0"/>
        <w:snapToGrid w:val="0"/>
        <w:spacing w:line="360" w:lineRule="auto"/>
        <w:jc w:val="center"/>
        <w:rPr>
          <w:rFonts w:hint="eastAsia"/>
          <w:b/>
          <w:color w:val="auto"/>
          <w:sz w:val="36"/>
          <w:szCs w:val="36"/>
          <w:lang w:val="en-US" w:eastAsia="zh-CN"/>
        </w:rPr>
      </w:pPr>
    </w:p>
    <w:p w14:paraId="4D709A32">
      <w:pPr>
        <w:pStyle w:val="11"/>
        <w:adjustRightInd w:val="0"/>
        <w:snapToGrid w:val="0"/>
        <w:spacing w:line="360" w:lineRule="auto"/>
        <w:jc w:val="center"/>
        <w:rPr>
          <w:rFonts w:hint="eastAsia"/>
          <w:b/>
          <w:color w:val="auto"/>
          <w:sz w:val="36"/>
          <w:szCs w:val="36"/>
          <w:lang w:val="en-US" w:eastAsia="zh-CN"/>
        </w:rPr>
      </w:pPr>
    </w:p>
    <w:p w14:paraId="7E1DF2D5">
      <w:pPr>
        <w:pStyle w:val="11"/>
        <w:adjustRightInd w:val="0"/>
        <w:snapToGrid w:val="0"/>
        <w:spacing w:line="360" w:lineRule="auto"/>
        <w:jc w:val="center"/>
        <w:rPr>
          <w:rFonts w:hint="eastAsia"/>
          <w:b/>
          <w:color w:val="auto"/>
          <w:sz w:val="36"/>
          <w:szCs w:val="36"/>
          <w:lang w:val="en-US" w:eastAsia="zh-CN"/>
        </w:rPr>
      </w:pPr>
    </w:p>
    <w:p w14:paraId="7A775250">
      <w:pPr>
        <w:pStyle w:val="11"/>
        <w:adjustRightInd w:val="0"/>
        <w:snapToGrid w:val="0"/>
        <w:spacing w:line="360" w:lineRule="auto"/>
        <w:jc w:val="center"/>
        <w:rPr>
          <w:rFonts w:hint="eastAsia"/>
          <w:b/>
          <w:color w:val="auto"/>
          <w:sz w:val="36"/>
          <w:szCs w:val="36"/>
          <w:lang w:val="en-US" w:eastAsia="zh-CN"/>
        </w:rPr>
      </w:pPr>
    </w:p>
    <w:p w14:paraId="7249CC10">
      <w:pPr>
        <w:pStyle w:val="11"/>
        <w:adjustRightInd w:val="0"/>
        <w:snapToGrid w:val="0"/>
        <w:spacing w:line="360" w:lineRule="auto"/>
        <w:jc w:val="center"/>
        <w:rPr>
          <w:rFonts w:hint="eastAsia"/>
          <w:b/>
          <w:color w:val="auto"/>
          <w:sz w:val="36"/>
          <w:szCs w:val="36"/>
          <w:lang w:val="en-US" w:eastAsia="zh-CN"/>
        </w:rPr>
      </w:pPr>
    </w:p>
    <w:p w14:paraId="49A6072D">
      <w:pPr>
        <w:pStyle w:val="11"/>
        <w:adjustRightInd w:val="0"/>
        <w:snapToGrid w:val="0"/>
        <w:spacing w:line="360" w:lineRule="auto"/>
        <w:jc w:val="center"/>
        <w:rPr>
          <w:rFonts w:hint="eastAsia"/>
          <w:b/>
          <w:color w:val="auto"/>
          <w:sz w:val="36"/>
          <w:szCs w:val="36"/>
          <w:lang w:val="en-US" w:eastAsia="zh-CN"/>
        </w:rPr>
      </w:pPr>
    </w:p>
    <w:p w14:paraId="57E645F4">
      <w:pPr>
        <w:pStyle w:val="11"/>
        <w:adjustRightInd w:val="0"/>
        <w:snapToGrid w:val="0"/>
        <w:spacing w:line="360" w:lineRule="auto"/>
        <w:jc w:val="center"/>
        <w:rPr>
          <w:rFonts w:hint="eastAsia"/>
          <w:b/>
          <w:color w:val="auto"/>
          <w:sz w:val="36"/>
          <w:szCs w:val="36"/>
          <w:lang w:val="en-US" w:eastAsia="zh-CN"/>
        </w:rPr>
      </w:pPr>
    </w:p>
    <w:p w14:paraId="7CDA3198">
      <w:pPr>
        <w:pStyle w:val="11"/>
        <w:adjustRightInd w:val="0"/>
        <w:snapToGrid w:val="0"/>
        <w:spacing w:line="360" w:lineRule="auto"/>
        <w:jc w:val="center"/>
        <w:rPr>
          <w:rFonts w:hint="eastAsia"/>
          <w:b/>
          <w:color w:val="auto"/>
          <w:sz w:val="36"/>
          <w:szCs w:val="36"/>
          <w:lang w:val="en-US" w:eastAsia="zh-CN"/>
        </w:rPr>
      </w:pPr>
    </w:p>
    <w:p w14:paraId="00C27B4D">
      <w:pPr>
        <w:pStyle w:val="11"/>
        <w:adjustRightInd w:val="0"/>
        <w:snapToGrid w:val="0"/>
        <w:spacing w:line="360" w:lineRule="auto"/>
        <w:jc w:val="center"/>
        <w:rPr>
          <w:rFonts w:hint="eastAsia"/>
          <w:b/>
          <w:color w:val="auto"/>
          <w:sz w:val="36"/>
          <w:szCs w:val="36"/>
          <w:lang w:val="en-US" w:eastAsia="zh-CN"/>
        </w:rPr>
      </w:pPr>
    </w:p>
    <w:p w14:paraId="54C036A1">
      <w:pPr>
        <w:pStyle w:val="11"/>
        <w:adjustRightInd w:val="0"/>
        <w:snapToGrid w:val="0"/>
        <w:spacing w:line="360" w:lineRule="auto"/>
        <w:jc w:val="center"/>
        <w:rPr>
          <w:rFonts w:hint="eastAsia"/>
          <w:b/>
          <w:color w:val="auto"/>
          <w:sz w:val="36"/>
          <w:szCs w:val="36"/>
          <w:lang w:val="en-US" w:eastAsia="zh-CN"/>
        </w:rPr>
      </w:pPr>
    </w:p>
    <w:p w14:paraId="3831A889">
      <w:pPr>
        <w:rPr>
          <w:rFonts w:hint="eastAsia"/>
          <w:b/>
          <w:color w:val="auto"/>
          <w:sz w:val="36"/>
          <w:szCs w:val="36"/>
          <w:lang w:val="en-US" w:eastAsia="zh-CN"/>
        </w:rPr>
      </w:pPr>
      <w:r>
        <w:rPr>
          <w:rFonts w:hint="eastAsia"/>
          <w:b/>
          <w:color w:val="auto"/>
          <w:sz w:val="36"/>
          <w:szCs w:val="36"/>
          <w:lang w:val="en-US" w:eastAsia="zh-CN"/>
        </w:rPr>
        <w:br w:type="page"/>
      </w:r>
    </w:p>
    <w:p w14:paraId="5E055F1F">
      <w:pPr>
        <w:pStyle w:val="11"/>
        <w:adjustRightInd w:val="0"/>
        <w:snapToGrid w:val="0"/>
        <w:spacing w:line="360" w:lineRule="auto"/>
        <w:jc w:val="center"/>
        <w:rPr>
          <w:rFonts w:hAnsi="宋体"/>
          <w:color w:val="auto"/>
          <w:sz w:val="24"/>
          <w:szCs w:val="24"/>
        </w:rPr>
      </w:pPr>
      <w:r>
        <w:rPr>
          <w:rFonts w:hint="eastAsia"/>
          <w:b/>
          <w:color w:val="auto"/>
          <w:sz w:val="36"/>
          <w:szCs w:val="36"/>
          <w:lang w:val="en-US" w:eastAsia="zh-CN"/>
        </w:rPr>
        <w:t>六</w:t>
      </w:r>
      <w:r>
        <w:rPr>
          <w:rFonts w:hint="eastAsia"/>
          <w:b/>
          <w:color w:val="auto"/>
          <w:sz w:val="36"/>
          <w:szCs w:val="36"/>
        </w:rPr>
        <w:t>、缴纳社会保障资金证明</w:t>
      </w:r>
    </w:p>
    <w:p w14:paraId="45B0AC51">
      <w:pPr>
        <w:pStyle w:val="11"/>
        <w:adjustRightInd w:val="0"/>
        <w:snapToGrid w:val="0"/>
        <w:spacing w:line="360" w:lineRule="auto"/>
        <w:jc w:val="left"/>
        <w:rPr>
          <w:rFonts w:ascii="楷体" w:hAnsi="楷体" w:eastAsia="楷体"/>
          <w:color w:val="auto"/>
        </w:rPr>
      </w:pPr>
      <w:r>
        <w:rPr>
          <w:rFonts w:hint="eastAsia" w:ascii="楷体" w:hAnsi="楷体" w:eastAsia="楷体"/>
          <w:color w:val="auto"/>
        </w:rPr>
        <w:t>说明：</w:t>
      </w:r>
    </w:p>
    <w:p w14:paraId="77E16A33">
      <w:pPr>
        <w:spacing w:line="360" w:lineRule="auto"/>
        <w:ind w:firstLine="482"/>
        <w:rPr>
          <w:rFonts w:ascii="楷体" w:hAnsi="楷体" w:eastAsia="楷体"/>
          <w:color w:val="auto"/>
          <w:szCs w:val="21"/>
        </w:rPr>
      </w:pPr>
      <w:r>
        <w:rPr>
          <w:rFonts w:hint="eastAsia" w:ascii="楷体" w:hAnsi="楷体" w:eastAsia="楷体"/>
          <w:color w:val="auto"/>
          <w:szCs w:val="21"/>
        </w:rPr>
        <w:t>（1）供应商提供本单位响应截止时间前六个月内已缴纳的至少一个月的社会保障资金缴存单据或社保机构开具的社会保险参保缴费情况证明，单据或证明上应有社保机构或代收机构的公章。；</w:t>
      </w:r>
    </w:p>
    <w:p w14:paraId="360E2F6A">
      <w:pPr>
        <w:spacing w:line="360" w:lineRule="auto"/>
        <w:ind w:firstLine="482"/>
        <w:rPr>
          <w:rFonts w:ascii="楷体" w:hAnsi="楷体" w:eastAsia="楷体"/>
          <w:color w:val="auto"/>
          <w:szCs w:val="21"/>
        </w:rPr>
      </w:pPr>
      <w:r>
        <w:rPr>
          <w:rFonts w:hint="eastAsia" w:ascii="楷体" w:hAnsi="楷体" w:eastAsia="楷体"/>
          <w:color w:val="auto"/>
          <w:szCs w:val="21"/>
        </w:rPr>
        <w:t>（2）</w:t>
      </w:r>
      <w:r>
        <w:rPr>
          <w:rFonts w:ascii="楷体" w:hAnsi="楷体" w:eastAsia="楷体"/>
          <w:color w:val="auto"/>
          <w:szCs w:val="21"/>
        </w:rPr>
        <w:t>依法不需要缴纳社会保障资金的</w:t>
      </w:r>
      <w:r>
        <w:rPr>
          <w:rFonts w:hint="eastAsia" w:ascii="楷体" w:hAnsi="楷体" w:eastAsia="楷体"/>
          <w:color w:val="auto"/>
          <w:szCs w:val="21"/>
        </w:rPr>
        <w:t>供应商</w:t>
      </w:r>
      <w:r>
        <w:rPr>
          <w:rFonts w:ascii="楷体" w:hAnsi="楷体" w:eastAsia="楷体"/>
          <w:color w:val="auto"/>
          <w:szCs w:val="21"/>
        </w:rPr>
        <w:t>应提供相关文件证明</w:t>
      </w:r>
      <w:r>
        <w:rPr>
          <w:rFonts w:hint="eastAsia" w:ascii="楷体" w:hAnsi="楷体" w:eastAsia="楷体"/>
          <w:color w:val="auto"/>
          <w:szCs w:val="21"/>
        </w:rPr>
        <w:t>；</w:t>
      </w:r>
    </w:p>
    <w:p w14:paraId="735FF8F3">
      <w:pPr>
        <w:pStyle w:val="11"/>
        <w:adjustRightInd w:val="0"/>
        <w:snapToGrid w:val="0"/>
        <w:spacing w:line="360" w:lineRule="auto"/>
        <w:ind w:firstLine="482"/>
        <w:rPr>
          <w:rFonts w:ascii="楷体" w:hAnsi="楷体" w:eastAsia="楷体"/>
          <w:color w:val="auto"/>
        </w:rPr>
      </w:pPr>
      <w:r>
        <w:rPr>
          <w:rFonts w:hint="eastAsia" w:ascii="楷体" w:hAnsi="楷体" w:eastAsia="楷体"/>
          <w:color w:val="auto"/>
        </w:rPr>
        <w:t>（3）公益类事业单位无需提供；</w:t>
      </w:r>
    </w:p>
    <w:p w14:paraId="25AA4684">
      <w:pPr>
        <w:pStyle w:val="11"/>
        <w:adjustRightInd w:val="0"/>
        <w:snapToGrid w:val="0"/>
        <w:spacing w:line="360" w:lineRule="auto"/>
        <w:ind w:firstLine="482"/>
        <w:rPr>
          <w:rFonts w:ascii="楷体" w:hAnsi="楷体" w:eastAsia="楷体"/>
          <w:color w:val="auto"/>
        </w:rPr>
      </w:pPr>
      <w:r>
        <w:rPr>
          <w:rFonts w:hint="eastAsia" w:ascii="楷体" w:hAnsi="楷体" w:eastAsia="楷体"/>
          <w:color w:val="auto"/>
        </w:rPr>
        <w:t>（4）新成立未发生缴纳社保资金事项的供应商，应提供缴纳社保资金的书面承诺；</w:t>
      </w:r>
    </w:p>
    <w:p w14:paraId="108AE5C2">
      <w:pPr>
        <w:pStyle w:val="11"/>
        <w:adjustRightInd w:val="0"/>
        <w:snapToGrid w:val="0"/>
        <w:spacing w:line="360" w:lineRule="auto"/>
        <w:ind w:firstLine="420" w:firstLineChars="200"/>
        <w:jc w:val="both"/>
        <w:rPr>
          <w:rFonts w:hint="eastAsia" w:ascii="楷体" w:hAnsi="楷体" w:eastAsia="楷体"/>
          <w:color w:val="auto"/>
        </w:rPr>
      </w:pPr>
      <w:r>
        <w:rPr>
          <w:rFonts w:hint="eastAsia" w:ascii="楷体" w:hAnsi="楷体" w:eastAsia="楷体"/>
          <w:color w:val="auto"/>
        </w:rPr>
        <w:t>（5）原件或复印件可直接装订，复印件加盖供应商单位章。</w:t>
      </w:r>
    </w:p>
    <w:p w14:paraId="76565BD1">
      <w:pPr>
        <w:rPr>
          <w:rFonts w:hint="eastAsia" w:ascii="楷体" w:hAnsi="楷体" w:eastAsia="楷体"/>
          <w:color w:val="auto"/>
        </w:rPr>
      </w:pPr>
      <w:r>
        <w:rPr>
          <w:rFonts w:hint="eastAsia" w:ascii="楷体" w:hAnsi="楷体" w:eastAsia="楷体"/>
          <w:color w:val="auto"/>
        </w:rPr>
        <w:br w:type="page"/>
      </w:r>
    </w:p>
    <w:p w14:paraId="7F64221E">
      <w:pPr>
        <w:spacing w:line="560" w:lineRule="exact"/>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依法缴纳社会保障资金承诺书</w:t>
      </w:r>
    </w:p>
    <w:p w14:paraId="558E4A51">
      <w:pPr>
        <w:pStyle w:val="8"/>
        <w:spacing w:before="600" w:beforeLines="250" w:line="360" w:lineRule="auto"/>
        <w:ind w:firstLine="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陕西优正项目管理有限公司</w:t>
      </w:r>
      <w:r>
        <w:rPr>
          <w:rFonts w:hint="eastAsia" w:ascii="宋体" w:hAnsi="宋体" w:eastAsia="宋体" w:cs="宋体"/>
          <w:color w:val="auto"/>
          <w:szCs w:val="21"/>
          <w:highlight w:val="none"/>
        </w:rPr>
        <w:t xml:space="preserve">： </w:t>
      </w:r>
    </w:p>
    <w:p w14:paraId="4935C48C">
      <w:pPr>
        <w:pStyle w:val="8"/>
        <w:spacing w:before="120" w:beforeLines="50"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我方参与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）项目的政府采购活动，现承诺如下：</w:t>
      </w:r>
    </w:p>
    <w:p w14:paraId="005CD004">
      <w:pPr>
        <w:pStyle w:val="8"/>
        <w:spacing w:line="360" w:lineRule="auto"/>
        <w:ind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我方承诺将依法缴纳社会保障资金，并符合《中华人民共和国政府采购法》及其实施条例和采购文件资格要求的规定。</w:t>
      </w:r>
    </w:p>
    <w:p w14:paraId="683F90F0">
      <w:pPr>
        <w:pStyle w:val="8"/>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若我方以上承诺不实，自愿承担提供虚假材料谋取成交的法律责任。</w:t>
      </w:r>
    </w:p>
    <w:p w14:paraId="27283BFB">
      <w:pPr>
        <w:pStyle w:val="8"/>
        <w:spacing w:line="360" w:lineRule="auto"/>
        <w:ind w:firstLine="573"/>
        <w:jc w:val="left"/>
        <w:rPr>
          <w:rFonts w:hint="eastAsia" w:ascii="宋体" w:hAnsi="宋体" w:eastAsia="宋体" w:cs="宋体"/>
          <w:color w:val="auto"/>
          <w:szCs w:val="21"/>
          <w:highlight w:val="none"/>
        </w:rPr>
      </w:pPr>
    </w:p>
    <w:p w14:paraId="45857826">
      <w:pPr>
        <w:pStyle w:val="8"/>
        <w:spacing w:line="360" w:lineRule="auto"/>
        <w:ind w:firstLine="573"/>
        <w:jc w:val="left"/>
        <w:rPr>
          <w:rFonts w:hint="eastAsia" w:ascii="宋体" w:hAnsi="宋体" w:eastAsia="宋体" w:cs="宋体"/>
          <w:color w:val="auto"/>
          <w:szCs w:val="21"/>
          <w:highlight w:val="none"/>
        </w:rPr>
      </w:pPr>
    </w:p>
    <w:p w14:paraId="3C88ADCE">
      <w:pPr>
        <w:pStyle w:val="8"/>
        <w:spacing w:line="360" w:lineRule="auto"/>
        <w:ind w:firstLine="57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 诺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（供应商名称、盖单位章）</w:t>
      </w:r>
    </w:p>
    <w:p w14:paraId="17034F42">
      <w:pPr>
        <w:pStyle w:val="8"/>
        <w:spacing w:line="360" w:lineRule="auto"/>
        <w:ind w:firstLine="573"/>
        <w:jc w:val="left"/>
        <w:rPr>
          <w:rFonts w:hint="eastAsia" w:ascii="宋体" w:hAnsi="宋体" w:eastAsia="宋体" w:cs="宋体"/>
          <w:color w:val="auto"/>
          <w:szCs w:val="21"/>
          <w:highlight w:val="none"/>
        </w:rPr>
      </w:pPr>
    </w:p>
    <w:p w14:paraId="28A7E8D3">
      <w:pPr>
        <w:pStyle w:val="8"/>
        <w:spacing w:line="360" w:lineRule="auto"/>
        <w:ind w:firstLine="573"/>
        <w:jc w:val="left"/>
        <w:rPr>
          <w:rFonts w:hint="eastAsia" w:ascii="宋体" w:hAnsi="宋体" w:eastAsia="宋体" w:cs="宋体"/>
          <w:color w:val="auto"/>
          <w:szCs w:val="21"/>
          <w:highlight w:val="none"/>
        </w:rPr>
      </w:pPr>
    </w:p>
    <w:p w14:paraId="3CB7FBD7">
      <w:pPr>
        <w:pStyle w:val="8"/>
        <w:spacing w:line="360" w:lineRule="auto"/>
        <w:ind w:firstLine="57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w:t>
      </w:r>
      <w:r>
        <w:rPr>
          <w:rFonts w:hint="eastAsia" w:ascii="宋体" w:hAnsi="宋体" w:cs="宋体"/>
          <w:color w:val="auto"/>
          <w:szCs w:val="21"/>
          <w:highlight w:val="none"/>
          <w:lang w:val="en-US" w:eastAsia="zh-CN"/>
        </w:rPr>
        <w:t>字</w:t>
      </w:r>
      <w:r>
        <w:rPr>
          <w:rFonts w:hint="eastAsia" w:ascii="宋体" w:hAnsi="宋体" w:eastAsia="宋体" w:cs="宋体"/>
          <w:color w:val="auto"/>
          <w:szCs w:val="21"/>
          <w:highlight w:val="none"/>
        </w:rPr>
        <w:t>）</w:t>
      </w:r>
    </w:p>
    <w:p w14:paraId="0A10F153">
      <w:pPr>
        <w:pStyle w:val="8"/>
        <w:spacing w:line="360" w:lineRule="auto"/>
        <w:ind w:firstLine="573"/>
        <w:jc w:val="left"/>
        <w:rPr>
          <w:rFonts w:hint="eastAsia" w:ascii="宋体" w:hAnsi="宋体" w:eastAsia="宋体" w:cs="宋体"/>
          <w:color w:val="auto"/>
          <w:szCs w:val="21"/>
          <w:highlight w:val="none"/>
        </w:rPr>
      </w:pPr>
    </w:p>
    <w:p w14:paraId="6CBFB970">
      <w:pPr>
        <w:pStyle w:val="8"/>
        <w:spacing w:line="360" w:lineRule="auto"/>
        <w:ind w:firstLine="573"/>
        <w:jc w:val="left"/>
        <w:rPr>
          <w:rFonts w:hint="eastAsia" w:ascii="宋体" w:hAnsi="宋体" w:eastAsia="宋体" w:cs="宋体"/>
          <w:color w:val="auto"/>
          <w:szCs w:val="21"/>
          <w:highlight w:val="none"/>
        </w:rPr>
      </w:pPr>
    </w:p>
    <w:p w14:paraId="7AE5BDEC">
      <w:pPr>
        <w:pStyle w:val="8"/>
        <w:spacing w:line="360" w:lineRule="auto"/>
        <w:ind w:firstLine="573"/>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CBCBBBA">
      <w:pPr>
        <w:pStyle w:val="11"/>
        <w:adjustRightInd w:val="0"/>
        <w:snapToGrid w:val="0"/>
        <w:spacing w:line="360" w:lineRule="auto"/>
        <w:ind w:firstLine="420" w:firstLineChars="200"/>
        <w:jc w:val="both"/>
        <w:rPr>
          <w:rFonts w:hint="eastAsia" w:ascii="楷体" w:hAnsi="楷体" w:eastAsia="楷体"/>
          <w:color w:val="auto"/>
        </w:rPr>
      </w:pPr>
    </w:p>
    <w:p w14:paraId="09DEA43C">
      <w:pPr>
        <w:rPr>
          <w:rFonts w:hint="eastAsia" w:ascii="宋体" w:hAnsi="宋体"/>
          <w:b/>
          <w:color w:val="auto"/>
          <w:sz w:val="36"/>
          <w:szCs w:val="36"/>
          <w:lang w:val="en-US" w:eastAsia="zh-CN"/>
        </w:rPr>
      </w:pPr>
      <w:r>
        <w:rPr>
          <w:rFonts w:hint="eastAsia" w:ascii="宋体" w:hAnsi="宋体"/>
          <w:b/>
          <w:color w:val="auto"/>
          <w:sz w:val="36"/>
          <w:szCs w:val="36"/>
          <w:lang w:val="en-US" w:eastAsia="zh-CN"/>
        </w:rPr>
        <w:br w:type="page"/>
      </w:r>
    </w:p>
    <w:p w14:paraId="3294DFDB">
      <w:pPr>
        <w:jc w:val="center"/>
        <w:rPr>
          <w:rFonts w:hint="eastAsia" w:ascii="宋体" w:hAnsi="宋体" w:eastAsia="宋体"/>
          <w:b/>
          <w:color w:val="auto"/>
          <w:sz w:val="36"/>
          <w:szCs w:val="36"/>
          <w:lang w:val="en-US" w:eastAsia="zh-CN"/>
        </w:rPr>
      </w:pPr>
      <w:r>
        <w:rPr>
          <w:rFonts w:hint="eastAsia" w:ascii="宋体" w:hAnsi="宋体"/>
          <w:b/>
          <w:color w:val="auto"/>
          <w:sz w:val="36"/>
          <w:szCs w:val="36"/>
          <w:lang w:val="en-US" w:eastAsia="zh-CN"/>
        </w:rPr>
        <w:t>七、税收缴纳证明</w:t>
      </w:r>
    </w:p>
    <w:p w14:paraId="4BF9F584">
      <w:pPr>
        <w:pStyle w:val="11"/>
        <w:adjustRightInd w:val="0"/>
        <w:snapToGrid w:val="0"/>
        <w:spacing w:line="360" w:lineRule="auto"/>
        <w:jc w:val="left"/>
        <w:rPr>
          <w:rFonts w:ascii="楷体" w:hAnsi="楷体" w:eastAsia="楷体"/>
          <w:color w:val="auto"/>
        </w:rPr>
      </w:pPr>
      <w:r>
        <w:rPr>
          <w:rFonts w:hint="eastAsia" w:ascii="楷体" w:hAnsi="楷体" w:eastAsia="楷体"/>
          <w:color w:val="auto"/>
        </w:rPr>
        <w:t>说明：</w:t>
      </w:r>
    </w:p>
    <w:p w14:paraId="06EDBEBB">
      <w:pPr>
        <w:spacing w:line="360" w:lineRule="auto"/>
        <w:ind w:firstLine="480"/>
        <w:rPr>
          <w:rFonts w:ascii="楷体" w:hAnsi="楷体" w:eastAsia="楷体"/>
          <w:color w:val="auto"/>
          <w:szCs w:val="21"/>
        </w:rPr>
      </w:pPr>
      <w:r>
        <w:rPr>
          <w:rFonts w:hint="eastAsia" w:ascii="楷体" w:hAnsi="楷体" w:eastAsia="楷体"/>
          <w:color w:val="auto"/>
          <w:szCs w:val="21"/>
        </w:rPr>
        <w:t>（1）供应商提供本单位响应截止时间前六个月内已缴纳的至少一个月的纳税证明或完税证明（增值税，印花税，企业所得税等一种或多种税种），依法免税的单位应提供相关证明材料；</w:t>
      </w:r>
    </w:p>
    <w:p w14:paraId="3B287190">
      <w:pPr>
        <w:spacing w:line="360" w:lineRule="auto"/>
        <w:ind w:firstLine="525" w:firstLineChars="250"/>
        <w:rPr>
          <w:rFonts w:ascii="楷体" w:hAnsi="楷体" w:eastAsia="楷体"/>
          <w:color w:val="auto"/>
          <w:szCs w:val="21"/>
        </w:rPr>
      </w:pPr>
      <w:r>
        <w:rPr>
          <w:rFonts w:hint="eastAsia" w:ascii="楷体" w:hAnsi="楷体" w:eastAsia="楷体"/>
          <w:color w:val="auto"/>
          <w:szCs w:val="21"/>
        </w:rPr>
        <w:t>（2）依法免税的应提供相关文件证明；</w:t>
      </w:r>
    </w:p>
    <w:p w14:paraId="5E7984A8">
      <w:pPr>
        <w:pStyle w:val="11"/>
        <w:tabs>
          <w:tab w:val="left" w:pos="851"/>
        </w:tabs>
        <w:adjustRightInd w:val="0"/>
        <w:snapToGrid w:val="0"/>
        <w:spacing w:line="360" w:lineRule="auto"/>
        <w:ind w:firstLine="525" w:firstLineChars="250"/>
        <w:rPr>
          <w:rFonts w:ascii="楷体" w:hAnsi="楷体" w:eastAsia="楷体"/>
          <w:color w:val="auto"/>
        </w:rPr>
      </w:pPr>
      <w:r>
        <w:rPr>
          <w:rFonts w:hint="eastAsia" w:ascii="楷体" w:hAnsi="楷体" w:eastAsia="楷体"/>
          <w:color w:val="auto"/>
        </w:rPr>
        <w:t>（3）公益类事业单位无需提供；</w:t>
      </w:r>
    </w:p>
    <w:p w14:paraId="4BBB5D2E">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 xml:space="preserve"> （4）新成立未发生缴纳税收事项的供应商，应提供纳税书面承诺；</w:t>
      </w:r>
    </w:p>
    <w:p w14:paraId="45D92064">
      <w:pPr>
        <w:pStyle w:val="11"/>
        <w:adjustRightInd w:val="0"/>
        <w:snapToGrid w:val="0"/>
        <w:spacing w:line="360" w:lineRule="auto"/>
        <w:ind w:firstLine="420" w:firstLineChars="200"/>
        <w:rPr>
          <w:rFonts w:hint="eastAsia" w:ascii="楷体" w:hAnsi="楷体" w:eastAsia="楷体"/>
          <w:color w:val="auto"/>
        </w:rPr>
      </w:pPr>
      <w:r>
        <w:rPr>
          <w:rFonts w:hint="eastAsia" w:ascii="楷体" w:hAnsi="楷体" w:eastAsia="楷体"/>
          <w:color w:val="auto"/>
        </w:rPr>
        <w:t xml:space="preserve"> （5）原件或复印件可直接装订，复印件加盖供应商单位章。</w:t>
      </w:r>
    </w:p>
    <w:p w14:paraId="57AE46C2">
      <w:pPr>
        <w:rPr>
          <w:rFonts w:hint="eastAsia" w:ascii="楷体" w:hAnsi="楷体" w:eastAsia="楷体"/>
          <w:color w:val="auto"/>
        </w:rPr>
      </w:pPr>
      <w:r>
        <w:rPr>
          <w:rFonts w:hint="eastAsia" w:ascii="楷体" w:hAnsi="楷体" w:eastAsia="楷体"/>
          <w:color w:val="auto"/>
        </w:rPr>
        <w:br w:type="page"/>
      </w:r>
    </w:p>
    <w:p w14:paraId="5DA6E389">
      <w:pPr>
        <w:spacing w:line="560" w:lineRule="exact"/>
        <w:jc w:val="center"/>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依法缴纳税收承诺书</w:t>
      </w:r>
    </w:p>
    <w:p w14:paraId="0FF52A5F">
      <w:pPr>
        <w:pStyle w:val="8"/>
        <w:spacing w:before="720" w:beforeLines="300" w:after="120" w:afterLines="50" w:line="360" w:lineRule="auto"/>
        <w:ind w:firstLin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陕西优正项目管理有限公司</w:t>
      </w:r>
      <w:r>
        <w:rPr>
          <w:rFonts w:hint="eastAsia" w:ascii="宋体" w:hAnsi="宋体" w:eastAsia="宋体" w:cs="宋体"/>
          <w:color w:val="auto"/>
          <w:szCs w:val="21"/>
          <w:highlight w:val="none"/>
        </w:rPr>
        <w:t xml:space="preserve">： </w:t>
      </w:r>
    </w:p>
    <w:p w14:paraId="22462DCE">
      <w:pPr>
        <w:pStyle w:val="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我方参与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）项目的政府采购活动，现承诺如下：</w:t>
      </w:r>
    </w:p>
    <w:p w14:paraId="0A7B2F42">
      <w:pPr>
        <w:pStyle w:val="8"/>
        <w:spacing w:line="360" w:lineRule="auto"/>
        <w:ind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我方承诺将依法缴纳税收，并符合《中华人民共和国政府采购法》及其实施条例和采购文件资格要求的规定。</w:t>
      </w:r>
    </w:p>
    <w:p w14:paraId="2A8EC0EB">
      <w:pPr>
        <w:pStyle w:val="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若我方以上承诺不实，自愿承担提供虚假材料谋取成交的法律责任。</w:t>
      </w:r>
    </w:p>
    <w:p w14:paraId="34A895C0">
      <w:pPr>
        <w:pStyle w:val="8"/>
        <w:spacing w:line="360" w:lineRule="auto"/>
        <w:ind w:firstLine="573"/>
        <w:rPr>
          <w:rFonts w:hint="eastAsia" w:ascii="宋体" w:hAnsi="宋体" w:eastAsia="宋体" w:cs="宋体"/>
          <w:color w:val="auto"/>
          <w:szCs w:val="21"/>
          <w:highlight w:val="none"/>
        </w:rPr>
      </w:pPr>
    </w:p>
    <w:p w14:paraId="76C38230">
      <w:pPr>
        <w:pStyle w:val="8"/>
        <w:spacing w:line="360" w:lineRule="auto"/>
        <w:ind w:firstLine="573"/>
        <w:rPr>
          <w:rFonts w:hint="eastAsia" w:ascii="宋体" w:hAnsi="宋体" w:eastAsia="宋体" w:cs="宋体"/>
          <w:color w:val="auto"/>
          <w:szCs w:val="21"/>
          <w:highlight w:val="none"/>
        </w:rPr>
      </w:pPr>
    </w:p>
    <w:p w14:paraId="2E1E5293">
      <w:pPr>
        <w:pStyle w:val="8"/>
        <w:spacing w:line="360" w:lineRule="auto"/>
        <w:ind w:firstLine="573"/>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 诺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（供应商名称、盖单位章）</w:t>
      </w:r>
    </w:p>
    <w:p w14:paraId="04B4E703">
      <w:pPr>
        <w:pStyle w:val="8"/>
        <w:spacing w:line="360" w:lineRule="auto"/>
        <w:ind w:firstLine="573"/>
        <w:rPr>
          <w:rFonts w:hint="eastAsia" w:ascii="宋体" w:hAnsi="宋体" w:eastAsia="宋体" w:cs="宋体"/>
          <w:color w:val="auto"/>
          <w:szCs w:val="21"/>
          <w:highlight w:val="none"/>
        </w:rPr>
      </w:pPr>
    </w:p>
    <w:p w14:paraId="55AE8D40">
      <w:pPr>
        <w:pStyle w:val="8"/>
        <w:spacing w:line="360" w:lineRule="auto"/>
        <w:ind w:firstLine="573"/>
        <w:rPr>
          <w:rFonts w:hint="eastAsia" w:ascii="宋体" w:hAnsi="宋体" w:eastAsia="宋体" w:cs="宋体"/>
          <w:color w:val="auto"/>
          <w:szCs w:val="21"/>
          <w:highlight w:val="none"/>
        </w:rPr>
      </w:pPr>
    </w:p>
    <w:p w14:paraId="757FB07E">
      <w:pPr>
        <w:pStyle w:val="8"/>
        <w:spacing w:line="360" w:lineRule="auto"/>
        <w:ind w:firstLine="573"/>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w:t>
      </w:r>
      <w:r>
        <w:rPr>
          <w:rFonts w:hint="eastAsia" w:ascii="宋体" w:hAnsi="宋体" w:cs="宋体"/>
          <w:color w:val="auto"/>
          <w:szCs w:val="21"/>
          <w:highlight w:val="none"/>
          <w:lang w:val="en-US" w:eastAsia="zh-CN"/>
        </w:rPr>
        <w:t>字</w:t>
      </w:r>
      <w:r>
        <w:rPr>
          <w:rFonts w:hint="eastAsia" w:ascii="宋体" w:hAnsi="宋体" w:eastAsia="宋体" w:cs="宋体"/>
          <w:color w:val="auto"/>
          <w:szCs w:val="21"/>
          <w:highlight w:val="none"/>
        </w:rPr>
        <w:t>）</w:t>
      </w:r>
    </w:p>
    <w:p w14:paraId="19323A68">
      <w:pPr>
        <w:pStyle w:val="8"/>
        <w:spacing w:line="360" w:lineRule="auto"/>
        <w:ind w:firstLine="573"/>
        <w:rPr>
          <w:rFonts w:hint="eastAsia" w:ascii="宋体" w:hAnsi="宋体" w:eastAsia="宋体" w:cs="宋体"/>
          <w:color w:val="auto"/>
          <w:szCs w:val="21"/>
          <w:highlight w:val="none"/>
        </w:rPr>
      </w:pPr>
    </w:p>
    <w:p w14:paraId="44408B3C">
      <w:pPr>
        <w:pStyle w:val="8"/>
        <w:spacing w:line="360" w:lineRule="auto"/>
        <w:ind w:firstLine="573"/>
        <w:rPr>
          <w:rFonts w:hint="eastAsia" w:ascii="宋体" w:hAnsi="宋体" w:eastAsia="宋体" w:cs="宋体"/>
          <w:color w:val="auto"/>
          <w:szCs w:val="21"/>
          <w:highlight w:val="none"/>
        </w:rPr>
      </w:pPr>
    </w:p>
    <w:p w14:paraId="304944E6">
      <w:pPr>
        <w:pStyle w:val="11"/>
        <w:adjustRightInd w:val="0"/>
        <w:snapToGrid w:val="0"/>
        <w:spacing w:line="360" w:lineRule="auto"/>
        <w:ind w:firstLine="420" w:firstLineChars="200"/>
        <w:rPr>
          <w:rFonts w:hint="eastAsia" w:ascii="楷体" w:hAnsi="楷体" w:eastAsia="楷体"/>
          <w:color w:val="auto"/>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762C39AD">
      <w:pPr>
        <w:rPr>
          <w:rFonts w:hint="eastAsia" w:ascii="宋体" w:hAnsi="宋体"/>
          <w:b/>
          <w:color w:val="auto"/>
          <w:sz w:val="36"/>
          <w:szCs w:val="36"/>
          <w:lang w:val="en-US" w:eastAsia="zh-CN"/>
        </w:rPr>
      </w:pPr>
      <w:r>
        <w:rPr>
          <w:rFonts w:hint="eastAsia" w:ascii="宋体" w:hAnsi="宋体"/>
          <w:b/>
          <w:color w:val="auto"/>
          <w:sz w:val="36"/>
          <w:szCs w:val="36"/>
          <w:lang w:val="en-US" w:eastAsia="zh-CN"/>
        </w:rPr>
        <w:br w:type="page"/>
      </w:r>
    </w:p>
    <w:p w14:paraId="6E29C1AF">
      <w:pPr>
        <w:jc w:val="center"/>
        <w:rPr>
          <w:b/>
          <w:color w:val="auto"/>
          <w:sz w:val="36"/>
          <w:szCs w:val="36"/>
        </w:rPr>
      </w:pPr>
      <w:r>
        <w:rPr>
          <w:rFonts w:hint="eastAsia" w:ascii="宋体" w:hAnsi="宋体"/>
          <w:b/>
          <w:color w:val="auto"/>
          <w:sz w:val="36"/>
          <w:szCs w:val="36"/>
          <w:lang w:val="en-US" w:eastAsia="zh-CN"/>
        </w:rPr>
        <w:t>八</w:t>
      </w:r>
      <w:r>
        <w:rPr>
          <w:rFonts w:hint="eastAsia"/>
          <w:b/>
          <w:color w:val="auto"/>
          <w:sz w:val="36"/>
          <w:szCs w:val="36"/>
        </w:rPr>
        <w:t>、财务状况报告</w:t>
      </w:r>
    </w:p>
    <w:p w14:paraId="73F21655">
      <w:pPr>
        <w:pStyle w:val="11"/>
        <w:adjustRightInd w:val="0"/>
        <w:snapToGrid w:val="0"/>
        <w:spacing w:line="360" w:lineRule="auto"/>
        <w:jc w:val="left"/>
        <w:rPr>
          <w:b/>
          <w:color w:val="auto"/>
          <w:sz w:val="24"/>
          <w:szCs w:val="24"/>
        </w:rPr>
      </w:pPr>
    </w:p>
    <w:p w14:paraId="48F08314">
      <w:pPr>
        <w:pStyle w:val="11"/>
        <w:adjustRightInd w:val="0"/>
        <w:snapToGrid w:val="0"/>
        <w:spacing w:line="360" w:lineRule="auto"/>
        <w:jc w:val="left"/>
        <w:rPr>
          <w:rFonts w:ascii="楷体" w:hAnsi="楷体" w:eastAsia="楷体"/>
          <w:color w:val="auto"/>
        </w:rPr>
      </w:pPr>
      <w:r>
        <w:rPr>
          <w:rFonts w:hint="eastAsia"/>
          <w:b/>
          <w:color w:val="auto"/>
          <w:sz w:val="24"/>
          <w:szCs w:val="24"/>
        </w:rPr>
        <w:t xml:space="preserve"> </w:t>
      </w:r>
      <w:r>
        <w:rPr>
          <w:rFonts w:hint="eastAsia" w:ascii="楷体" w:hAnsi="楷体" w:eastAsia="楷体"/>
          <w:color w:val="auto"/>
        </w:rPr>
        <w:t>说明：</w:t>
      </w:r>
    </w:p>
    <w:p w14:paraId="63DDFEE9">
      <w:pPr>
        <w:pStyle w:val="11"/>
        <w:adjustRightInd w:val="0"/>
        <w:snapToGrid w:val="0"/>
        <w:spacing w:line="360" w:lineRule="auto"/>
        <w:ind w:firstLine="420" w:firstLineChars="200"/>
        <w:jc w:val="left"/>
        <w:rPr>
          <w:rFonts w:ascii="楷体" w:hAnsi="楷体" w:eastAsia="楷体"/>
          <w:bCs/>
          <w:color w:val="auto"/>
        </w:rPr>
      </w:pPr>
      <w:r>
        <w:rPr>
          <w:rFonts w:hint="eastAsia" w:ascii="楷体" w:hAnsi="楷体" w:eastAsia="楷体"/>
          <w:color w:val="auto"/>
        </w:rPr>
        <w:t>（1）提供经会计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投标文件截止时间不足一年的可提供投标文件递交截止日期前至少3个月的资信证明（基本存款账戶开戶银行出具的）</w:t>
      </w:r>
      <w:r>
        <w:rPr>
          <w:rFonts w:hint="eastAsia" w:ascii="楷体" w:hAnsi="楷体" w:eastAsia="楷体"/>
          <w:bCs/>
          <w:color w:val="auto"/>
        </w:rPr>
        <w:t>。</w:t>
      </w:r>
    </w:p>
    <w:p w14:paraId="197BDD34">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（2）公益类事业单位、自然人无需提供。</w:t>
      </w:r>
    </w:p>
    <w:p w14:paraId="3FA5AD00">
      <w:pPr>
        <w:pStyle w:val="11"/>
        <w:adjustRightInd w:val="0"/>
        <w:snapToGrid w:val="0"/>
        <w:spacing w:line="360" w:lineRule="auto"/>
        <w:ind w:firstLine="420" w:firstLineChars="200"/>
        <w:rPr>
          <w:rFonts w:ascii="楷体" w:hAnsi="楷体" w:eastAsia="楷体"/>
          <w:color w:val="auto"/>
        </w:rPr>
      </w:pPr>
      <w:r>
        <w:rPr>
          <w:rFonts w:hint="eastAsia" w:ascii="楷体" w:hAnsi="楷体" w:eastAsia="楷体"/>
          <w:color w:val="auto"/>
        </w:rPr>
        <w:t>（3）复印件加盖供应商单位章。</w:t>
      </w:r>
    </w:p>
    <w:p w14:paraId="1590E51A">
      <w:pPr>
        <w:pStyle w:val="11"/>
        <w:adjustRightInd w:val="0"/>
        <w:snapToGrid w:val="0"/>
        <w:spacing w:line="360" w:lineRule="auto"/>
        <w:ind w:firstLine="420" w:firstLineChars="200"/>
        <w:rPr>
          <w:rFonts w:ascii="楷体" w:hAnsi="楷体" w:eastAsia="楷体"/>
          <w:color w:val="auto"/>
        </w:rPr>
      </w:pPr>
    </w:p>
    <w:p w14:paraId="74A744A4">
      <w:pPr>
        <w:pStyle w:val="11"/>
        <w:adjustRightInd w:val="0"/>
        <w:snapToGrid w:val="0"/>
        <w:spacing w:line="360" w:lineRule="auto"/>
        <w:ind w:firstLine="420" w:firstLineChars="200"/>
        <w:rPr>
          <w:rFonts w:hAnsi="宋体"/>
          <w:color w:val="auto"/>
        </w:rPr>
      </w:pPr>
    </w:p>
    <w:p w14:paraId="6DD15F2D">
      <w:pPr>
        <w:pStyle w:val="11"/>
        <w:adjustRightInd w:val="0"/>
        <w:snapToGrid w:val="0"/>
        <w:spacing w:line="360" w:lineRule="auto"/>
        <w:jc w:val="left"/>
        <w:rPr>
          <w:color w:val="auto"/>
          <w:sz w:val="24"/>
          <w:szCs w:val="24"/>
        </w:rPr>
      </w:pPr>
    </w:p>
    <w:p w14:paraId="74F600AA">
      <w:pPr>
        <w:pStyle w:val="8"/>
        <w:spacing w:before="120" w:beforeLines="50"/>
        <w:ind w:firstLine="0"/>
        <w:rPr>
          <w:rFonts w:ascii="宋体" w:hAnsi="宋体"/>
          <w:b/>
          <w:color w:val="auto"/>
          <w:sz w:val="36"/>
          <w:szCs w:val="36"/>
        </w:rPr>
      </w:pPr>
    </w:p>
    <w:p w14:paraId="78AC4354">
      <w:pPr>
        <w:pStyle w:val="8"/>
        <w:spacing w:before="120" w:beforeLines="50"/>
        <w:ind w:firstLine="0"/>
        <w:rPr>
          <w:rFonts w:ascii="宋体" w:hAnsi="宋体"/>
          <w:b/>
          <w:color w:val="auto"/>
          <w:sz w:val="36"/>
          <w:szCs w:val="36"/>
        </w:rPr>
      </w:pPr>
    </w:p>
    <w:p w14:paraId="34B874D6">
      <w:pPr>
        <w:pStyle w:val="8"/>
        <w:spacing w:before="120" w:beforeLines="50"/>
        <w:ind w:firstLine="0"/>
        <w:rPr>
          <w:rFonts w:hint="eastAsia" w:ascii="宋体" w:hAnsi="宋体" w:cs="宋体"/>
          <w:b/>
          <w:color w:val="auto"/>
          <w:kern w:val="0"/>
          <w:sz w:val="36"/>
          <w:szCs w:val="36"/>
        </w:rPr>
      </w:pPr>
      <w:r>
        <w:rPr>
          <w:rFonts w:ascii="宋体" w:hAnsi="宋体"/>
          <w:b/>
          <w:color w:val="auto"/>
          <w:sz w:val="36"/>
          <w:szCs w:val="36"/>
        </w:rPr>
        <w:br w:type="page"/>
      </w:r>
    </w:p>
    <w:p w14:paraId="4F4C1622">
      <w:pPr>
        <w:jc w:val="center"/>
        <w:outlineLvl w:val="9"/>
        <w:rPr>
          <w:rFonts w:hint="eastAsia" w:ascii="宋体" w:hAnsi="宋体" w:eastAsia="宋体" w:cs="宋体"/>
          <w:b/>
          <w:bCs/>
          <w:color w:val="auto"/>
          <w:sz w:val="24"/>
          <w:szCs w:val="24"/>
          <w:highlight w:val="none"/>
          <w:lang w:val="en-US" w:eastAsia="zh-CN"/>
        </w:rPr>
      </w:pPr>
      <w:r>
        <w:rPr>
          <w:rFonts w:hint="eastAsia" w:ascii="宋体" w:hAnsi="宋体" w:cs="宋体"/>
          <w:b/>
          <w:color w:val="auto"/>
          <w:kern w:val="0"/>
          <w:sz w:val="36"/>
          <w:szCs w:val="36"/>
          <w:lang w:val="en-US" w:eastAsia="zh-CN"/>
        </w:rPr>
        <w:t>九</w:t>
      </w:r>
      <w:r>
        <w:rPr>
          <w:rFonts w:hint="eastAsia" w:ascii="宋体" w:hAnsi="宋体" w:cs="宋体"/>
          <w:b/>
          <w:color w:val="auto"/>
          <w:kern w:val="0"/>
          <w:sz w:val="36"/>
          <w:szCs w:val="36"/>
        </w:rPr>
        <w:t>、</w:t>
      </w:r>
      <w:bookmarkStart w:id="111" w:name="_Toc18074977"/>
      <w:r>
        <w:rPr>
          <w:rFonts w:hint="eastAsia" w:ascii="Times New Roman" w:hAnsi="Times New Roman" w:eastAsia="宋体" w:cs="Times New Roman"/>
          <w:b/>
          <w:color w:val="auto"/>
          <w:sz w:val="36"/>
          <w:szCs w:val="36"/>
          <w:lang w:val="en-US" w:eastAsia="zh-CN"/>
        </w:rPr>
        <w:t>无重大违法记录声明</w:t>
      </w:r>
    </w:p>
    <w:p w14:paraId="796E5355">
      <w:pPr>
        <w:autoSpaceDE w:val="0"/>
        <w:autoSpaceDN w:val="0"/>
        <w:adjustRightInd w:val="0"/>
        <w:spacing w:line="348" w:lineRule="auto"/>
        <w:jc w:val="center"/>
        <w:rPr>
          <w:rFonts w:hint="eastAsia" w:ascii="宋体" w:hAnsi="宋体" w:eastAsia="宋体" w:cs="宋体"/>
          <w:b/>
          <w:bCs/>
          <w:color w:val="auto"/>
          <w:kern w:val="2"/>
          <w:sz w:val="32"/>
          <w:szCs w:val="32"/>
          <w:highlight w:val="none"/>
          <w:lang w:val="en-US" w:eastAsia="zh-CN" w:bidi="ar-SA"/>
        </w:rPr>
      </w:pPr>
    </w:p>
    <w:p w14:paraId="66605B1A">
      <w:pPr>
        <w:pStyle w:val="2"/>
        <w:keepLines w:val="0"/>
        <w:pageBreakBefore w:val="0"/>
        <w:widowControl w:val="0"/>
        <w:kinsoku/>
        <w:wordWrap/>
        <w:overflowPunct/>
        <w:topLinePunct w:val="0"/>
        <w:bidi w:val="0"/>
        <w:jc w:val="center"/>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无重大违法记录声明</w:t>
      </w:r>
    </w:p>
    <w:p w14:paraId="0710E1DA">
      <w:pPr>
        <w:spacing w:before="3" w:line="240" w:lineRule="auto"/>
        <w:rPr>
          <w:rFonts w:hint="eastAsia" w:ascii="宋体" w:hAnsi="宋体" w:eastAsia="宋体" w:cs="宋体"/>
          <w:b/>
          <w:bCs/>
          <w:color w:val="auto"/>
          <w:sz w:val="21"/>
          <w:szCs w:val="21"/>
          <w:highlight w:val="none"/>
        </w:rPr>
      </w:pPr>
    </w:p>
    <w:p w14:paraId="13E11972">
      <w:pPr>
        <w:keepNext w:val="0"/>
        <w:keepLines w:val="0"/>
        <w:pageBreakBefore w:val="0"/>
        <w:widowControl w:val="0"/>
        <w:kinsoku/>
        <w:wordWrap/>
        <w:overflowPunct/>
        <w:topLinePunct w:val="0"/>
        <w:bidi w:val="0"/>
        <w:spacing w:line="440" w:lineRule="exact"/>
        <w:textAlignment w:val="auto"/>
        <w:outlineLvl w:val="9"/>
        <w:rPr>
          <w:rFonts w:hint="eastAsia" w:ascii="楷体" w:hAnsi="楷体" w:eastAsia="楷体" w:cs="楷体"/>
          <w:color w:val="auto"/>
          <w:sz w:val="21"/>
          <w:szCs w:val="21"/>
          <w:highlight w:val="none"/>
        </w:rPr>
      </w:pPr>
      <w:r>
        <w:rPr>
          <w:rFonts w:hint="eastAsia" w:ascii="楷体" w:hAnsi="楷体" w:eastAsia="楷体" w:cs="楷体"/>
          <w:color w:val="auto"/>
          <w:spacing w:val="4"/>
          <w:sz w:val="21"/>
          <w:szCs w:val="21"/>
          <w:highlight w:val="none"/>
          <w:u w:val="single"/>
        </w:rPr>
        <w:t xml:space="preserve">     （</w:t>
      </w:r>
      <w:r>
        <w:rPr>
          <w:rFonts w:hint="eastAsia" w:ascii="楷体" w:hAnsi="楷体" w:eastAsia="楷体" w:cs="楷体"/>
          <w:color w:val="auto"/>
          <w:spacing w:val="4"/>
          <w:sz w:val="21"/>
          <w:szCs w:val="21"/>
          <w:highlight w:val="none"/>
          <w:u w:val="single"/>
          <w:lang w:val="en-US" w:eastAsia="zh-CN"/>
        </w:rPr>
        <w:t>采购人</w:t>
      </w:r>
      <w:r>
        <w:rPr>
          <w:rFonts w:hint="eastAsia" w:ascii="楷体" w:hAnsi="楷体" w:eastAsia="楷体" w:cs="楷体"/>
          <w:color w:val="auto"/>
          <w:spacing w:val="4"/>
          <w:sz w:val="21"/>
          <w:szCs w:val="21"/>
          <w:highlight w:val="none"/>
          <w:u w:val="single"/>
        </w:rPr>
        <w:t>名称）：</w:t>
      </w:r>
    </w:p>
    <w:p w14:paraId="7422A29A">
      <w:pPr>
        <w:keepNext w:val="0"/>
        <w:keepLines w:val="0"/>
        <w:pageBreakBefore w:val="0"/>
        <w:widowControl w:val="0"/>
        <w:kinsoku/>
        <w:wordWrap/>
        <w:overflowPunct/>
        <w:topLinePunct w:val="0"/>
        <w:autoSpaceDE/>
        <w:autoSpaceDN/>
        <w:bidi w:val="0"/>
        <w:adjustRightInd/>
        <w:snapToGrid/>
        <w:spacing w:line="360" w:lineRule="auto"/>
        <w:ind w:left="0" w:right="0" w:firstLine="420" w:firstLineChars="200"/>
        <w:textAlignment w:val="auto"/>
        <w:rPr>
          <w:rFonts w:hint="eastAsia" w:ascii="楷体" w:hAnsi="楷体" w:eastAsia="楷体" w:cs="楷体"/>
          <w:color w:val="auto"/>
          <w:sz w:val="21"/>
          <w:szCs w:val="21"/>
          <w:highlight w:val="none"/>
        </w:rPr>
      </w:pPr>
    </w:p>
    <w:p w14:paraId="37A44C49">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我公司作为</w:t>
      </w:r>
      <w:r>
        <w:rPr>
          <w:rFonts w:hint="eastAsia" w:ascii="楷体" w:hAnsi="楷体" w:eastAsia="楷体" w:cs="楷体"/>
          <w:color w:val="auto"/>
          <w:sz w:val="21"/>
          <w:szCs w:val="21"/>
          <w:highlight w:val="none"/>
          <w:u w:val="single" w:color="000000"/>
        </w:rPr>
        <w:tab/>
      </w:r>
      <w:r>
        <w:rPr>
          <w:rFonts w:hint="eastAsia" w:ascii="楷体" w:hAnsi="楷体" w:eastAsia="楷体" w:cs="楷体"/>
          <w:color w:val="auto"/>
          <w:sz w:val="21"/>
          <w:szCs w:val="21"/>
          <w:highlight w:val="none"/>
          <w:u w:val="single" w:color="000000"/>
        </w:rPr>
        <w:t>（项目名称、项目编号）</w:t>
      </w:r>
      <w:r>
        <w:rPr>
          <w:rFonts w:hint="eastAsia" w:ascii="楷体" w:hAnsi="楷体" w:eastAsia="楷体" w:cs="楷体"/>
          <w:color w:val="auto"/>
          <w:sz w:val="21"/>
          <w:szCs w:val="21"/>
          <w:highlight w:val="none"/>
          <w:u w:val="single" w:color="000000"/>
        </w:rPr>
        <w:tab/>
      </w:r>
      <w:r>
        <w:rPr>
          <w:rFonts w:hint="eastAsia" w:ascii="楷体" w:hAnsi="楷体" w:eastAsia="楷体" w:cs="楷体"/>
          <w:color w:val="auto"/>
          <w:sz w:val="21"/>
          <w:szCs w:val="21"/>
          <w:highlight w:val="none"/>
        </w:rPr>
        <w:t>的</w:t>
      </w:r>
      <w:r>
        <w:rPr>
          <w:rFonts w:hint="eastAsia" w:ascii="楷体" w:hAnsi="楷体" w:eastAsia="楷体" w:cs="楷体"/>
          <w:color w:val="auto"/>
          <w:sz w:val="21"/>
          <w:szCs w:val="21"/>
          <w:highlight w:val="none"/>
          <w:lang w:val="en-US" w:eastAsia="zh-CN"/>
        </w:rPr>
        <w:t>供应商</w:t>
      </w:r>
      <w:r>
        <w:rPr>
          <w:rFonts w:hint="eastAsia" w:ascii="楷体" w:hAnsi="楷体" w:eastAsia="楷体" w:cs="楷体"/>
          <w:color w:val="auto"/>
          <w:sz w:val="21"/>
          <w:szCs w:val="21"/>
          <w:highlight w:val="none"/>
        </w:rPr>
        <w:t xml:space="preserve">，在此郑重声明： </w:t>
      </w:r>
    </w:p>
    <w:p w14:paraId="18DFEADE">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1、在参加本次政府采购活动前</w:t>
      </w:r>
      <w:r>
        <w:rPr>
          <w:rFonts w:hint="eastAsia" w:ascii="楷体" w:hAnsi="楷体" w:eastAsia="楷体" w:cs="楷体"/>
          <w:color w:val="auto"/>
          <w:spacing w:val="-71"/>
          <w:sz w:val="21"/>
          <w:szCs w:val="21"/>
          <w:highlight w:val="none"/>
        </w:rPr>
        <w:t xml:space="preserve"> </w:t>
      </w:r>
      <w:r>
        <w:rPr>
          <w:rFonts w:hint="eastAsia" w:ascii="楷体" w:hAnsi="楷体" w:eastAsia="楷体" w:cs="楷体"/>
          <w:color w:val="auto"/>
          <w:sz w:val="21"/>
          <w:szCs w:val="21"/>
          <w:highlight w:val="none"/>
        </w:rPr>
        <w:t>3</w:t>
      </w:r>
      <w:r>
        <w:rPr>
          <w:rFonts w:hint="eastAsia" w:ascii="楷体" w:hAnsi="楷体" w:eastAsia="楷体" w:cs="楷体"/>
          <w:color w:val="auto"/>
          <w:spacing w:val="-71"/>
          <w:sz w:val="21"/>
          <w:szCs w:val="21"/>
          <w:highlight w:val="none"/>
        </w:rPr>
        <w:t xml:space="preserve"> </w:t>
      </w:r>
      <w:r>
        <w:rPr>
          <w:rFonts w:hint="eastAsia" w:ascii="楷体" w:hAnsi="楷体" w:eastAsia="楷体" w:cs="楷体"/>
          <w:color w:val="auto"/>
          <w:spacing w:val="-4"/>
          <w:sz w:val="21"/>
          <w:szCs w:val="21"/>
          <w:highlight w:val="none"/>
        </w:rPr>
        <w:t>年内，在经营活动中</w:t>
      </w:r>
      <w:r>
        <w:rPr>
          <w:rFonts w:hint="eastAsia" w:ascii="楷体" w:hAnsi="楷体" w:eastAsia="楷体" w:cs="楷体"/>
          <w:color w:val="auto"/>
          <w:spacing w:val="-4"/>
          <w:sz w:val="21"/>
          <w:szCs w:val="21"/>
          <w:highlight w:val="none"/>
          <w:u w:val="single" w:color="000000"/>
        </w:rPr>
        <w:tab/>
      </w:r>
      <w:r>
        <w:rPr>
          <w:rFonts w:hint="eastAsia" w:ascii="楷体" w:hAnsi="楷体" w:eastAsia="楷体" w:cs="楷体"/>
          <w:color w:val="auto"/>
          <w:spacing w:val="-21"/>
          <w:sz w:val="21"/>
          <w:szCs w:val="21"/>
          <w:highlight w:val="none"/>
        </w:rPr>
        <w:t>（填“没有”或“有”）</w:t>
      </w:r>
      <w:r>
        <w:rPr>
          <w:rFonts w:hint="eastAsia" w:ascii="楷体" w:hAnsi="楷体" w:eastAsia="楷体" w:cs="楷体"/>
          <w:color w:val="auto"/>
          <w:sz w:val="21"/>
          <w:szCs w:val="21"/>
          <w:highlight w:val="none"/>
          <w:lang w:val="en-US" w:eastAsia="zh-CN"/>
        </w:rPr>
        <w:t xml:space="preserve"> </w:t>
      </w:r>
      <w:r>
        <w:rPr>
          <w:rFonts w:hint="eastAsia" w:ascii="楷体" w:hAnsi="楷体" w:eastAsia="楷体" w:cs="楷体"/>
          <w:color w:val="auto"/>
          <w:sz w:val="21"/>
          <w:szCs w:val="21"/>
          <w:highlight w:val="none"/>
        </w:rPr>
        <w:t>重大违法记录。</w:t>
      </w:r>
    </w:p>
    <w:p w14:paraId="6939EF1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2、我公司</w:t>
      </w:r>
      <w:r>
        <w:rPr>
          <w:rFonts w:hint="eastAsia" w:ascii="楷体" w:hAnsi="楷体" w:eastAsia="楷体" w:cs="楷体"/>
          <w:color w:val="auto"/>
          <w:sz w:val="21"/>
          <w:szCs w:val="21"/>
          <w:highlight w:val="none"/>
          <w:u w:val="single" w:color="000000"/>
        </w:rPr>
        <w:tab/>
      </w:r>
      <w:r>
        <w:rPr>
          <w:rFonts w:hint="eastAsia" w:ascii="楷体" w:hAnsi="楷体" w:eastAsia="楷体" w:cs="楷体"/>
          <w:color w:val="auto"/>
          <w:sz w:val="21"/>
          <w:szCs w:val="21"/>
          <w:highlight w:val="none"/>
        </w:rPr>
        <w:t>（填“未被列入”或“被列入”）失信被执行人名单。</w:t>
      </w:r>
    </w:p>
    <w:p w14:paraId="3DB0797E">
      <w:pPr>
        <w:pStyle w:val="2"/>
        <w:keepNext w:val="0"/>
        <w:keepLines w:val="0"/>
        <w:pageBreakBefore w:val="0"/>
        <w:widowControl w:val="0"/>
        <w:tabs>
          <w:tab w:val="left" w:pos="2803"/>
        </w:tabs>
        <w:kinsoku/>
        <w:wordWrap/>
        <w:overflowPunct/>
        <w:topLinePunct w:val="0"/>
        <w:autoSpaceDE/>
        <w:autoSpaceDN/>
        <w:bidi w:val="0"/>
        <w:adjustRightInd/>
        <w:snapToGrid/>
        <w:spacing w:after="0" w:line="360" w:lineRule="auto"/>
        <w:ind w:left="0" w:right="0" w:firstLine="412"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pacing w:val="-2"/>
          <w:sz w:val="21"/>
          <w:szCs w:val="21"/>
          <w:highlight w:val="none"/>
        </w:rPr>
        <w:t>3、我公司</w:t>
      </w:r>
      <w:r>
        <w:rPr>
          <w:rFonts w:hint="eastAsia" w:ascii="楷体" w:hAnsi="楷体" w:eastAsia="楷体" w:cs="楷体"/>
          <w:color w:val="auto"/>
          <w:spacing w:val="-2"/>
          <w:sz w:val="21"/>
          <w:szCs w:val="21"/>
          <w:highlight w:val="none"/>
          <w:u w:val="single" w:color="000000"/>
        </w:rPr>
        <w:tab/>
      </w:r>
      <w:r>
        <w:rPr>
          <w:rFonts w:hint="eastAsia" w:ascii="楷体" w:hAnsi="楷体" w:eastAsia="楷体" w:cs="楷体"/>
          <w:color w:val="auto"/>
          <w:spacing w:val="-2"/>
          <w:sz w:val="21"/>
          <w:szCs w:val="21"/>
          <w:highlight w:val="none"/>
        </w:rPr>
        <w:t>（填“未被列入”或“被列入”）重大税收违法案件当事人名单。</w:t>
      </w:r>
    </w:p>
    <w:p w14:paraId="063C9EA2">
      <w:pPr>
        <w:pStyle w:val="2"/>
        <w:keepNext w:val="0"/>
        <w:keepLines w:val="0"/>
        <w:pageBreakBefore w:val="0"/>
        <w:widowControl w:val="0"/>
        <w:tabs>
          <w:tab w:val="left" w:pos="2815"/>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4、我公司</w:t>
      </w:r>
      <w:r>
        <w:rPr>
          <w:rFonts w:hint="eastAsia" w:ascii="楷体" w:hAnsi="楷体" w:eastAsia="楷体" w:cs="楷体"/>
          <w:color w:val="auto"/>
          <w:sz w:val="21"/>
          <w:szCs w:val="21"/>
          <w:highlight w:val="none"/>
          <w:u w:val="single" w:color="000000"/>
        </w:rPr>
        <w:tab/>
      </w:r>
      <w:r>
        <w:rPr>
          <w:rFonts w:hint="eastAsia" w:ascii="楷体" w:hAnsi="楷体" w:eastAsia="楷体" w:cs="楷体"/>
          <w:color w:val="auto"/>
          <w:sz w:val="21"/>
          <w:szCs w:val="21"/>
          <w:highlight w:val="none"/>
        </w:rPr>
        <w:t>（填“未被列入”或“被列入”）政府采购严重违法失信行为记录名单。</w:t>
      </w:r>
    </w:p>
    <w:p w14:paraId="5A6F7728">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如有不实，我公司将无条件退出本项目的采购招标活动，并遵照《中华人民共和国政府采购法》有关“提供虚假材料的规定”接受处罚。</w:t>
      </w:r>
    </w:p>
    <w:p w14:paraId="19C738D1">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p>
    <w:p w14:paraId="56ED23A2">
      <w:pPr>
        <w:pStyle w:val="2"/>
        <w:keepNext w:val="0"/>
        <w:keepLines w:val="0"/>
        <w:pageBreakBefore w:val="0"/>
        <w:widowControl w:val="0"/>
        <w:tabs>
          <w:tab w:val="left" w:pos="2215"/>
          <w:tab w:val="left" w:pos="5935"/>
          <w:tab w:val="left" w:pos="7320"/>
        </w:tabs>
        <w:kinsoku/>
        <w:wordWrap/>
        <w:overflowPunct/>
        <w:topLinePunct w:val="0"/>
        <w:autoSpaceDE/>
        <w:autoSpaceDN/>
        <w:bidi w:val="0"/>
        <w:adjustRightInd/>
        <w:snapToGrid/>
        <w:spacing w:after="0" w:line="360" w:lineRule="auto"/>
        <w:ind w:left="0" w:right="0" w:firstLine="420" w:firstLineChars="200"/>
        <w:jc w:val="left"/>
        <w:textAlignment w:val="auto"/>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特此声明。</w:t>
      </w:r>
    </w:p>
    <w:p w14:paraId="1FD67C71">
      <w:pPr>
        <w:rPr>
          <w:rFonts w:hint="eastAsia" w:ascii="楷体" w:hAnsi="楷体" w:eastAsia="楷体" w:cs="楷体"/>
          <w:color w:val="auto"/>
          <w:sz w:val="21"/>
          <w:szCs w:val="21"/>
          <w:highlight w:val="none"/>
        </w:rPr>
      </w:pPr>
    </w:p>
    <w:p w14:paraId="1D661348">
      <w:pPr>
        <w:spacing w:line="360" w:lineRule="auto"/>
        <w:jc w:val="both"/>
        <w:rPr>
          <w:rFonts w:hint="eastAsia" w:ascii="楷体" w:hAnsi="楷体" w:eastAsia="楷体" w:cs="楷体"/>
          <w:color w:val="auto"/>
          <w:sz w:val="21"/>
          <w:szCs w:val="21"/>
          <w:highlight w:val="none"/>
          <w:lang w:eastAsia="zh-CN"/>
        </w:rPr>
      </w:pPr>
    </w:p>
    <w:p w14:paraId="4567B149">
      <w:pPr>
        <w:outlineLvl w:val="9"/>
        <w:rPr>
          <w:rFonts w:hint="eastAsia" w:ascii="楷体" w:hAnsi="楷体" w:eastAsia="楷体" w:cs="楷体"/>
          <w:sz w:val="21"/>
          <w:szCs w:val="21"/>
          <w:lang w:eastAsia="zh-CN"/>
        </w:rPr>
      </w:pPr>
    </w:p>
    <w:p w14:paraId="0E2EDAAA">
      <w:pPr>
        <w:spacing w:line="360" w:lineRule="auto"/>
        <w:ind w:firstLine="2310" w:firstLineChars="1100"/>
        <w:jc w:val="both"/>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eastAsia="zh-CN"/>
        </w:rPr>
        <w:t>供应商</w:t>
      </w:r>
      <w:r>
        <w:rPr>
          <w:rFonts w:hint="eastAsia" w:ascii="楷体" w:hAnsi="楷体" w:eastAsia="楷体" w:cs="楷体"/>
          <w:color w:val="auto"/>
          <w:sz w:val="21"/>
          <w:szCs w:val="21"/>
          <w:highlight w:val="none"/>
        </w:rPr>
        <w:t>：</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rPr>
        <w:tab/>
      </w:r>
      <w:r>
        <w:rPr>
          <w:rFonts w:hint="eastAsia" w:ascii="楷体" w:hAnsi="楷体" w:eastAsia="楷体" w:cs="楷体"/>
          <w:color w:val="auto"/>
          <w:sz w:val="21"/>
          <w:szCs w:val="21"/>
          <w:highlight w:val="none"/>
        </w:rPr>
        <w:t>（盖单位章）</w:t>
      </w:r>
    </w:p>
    <w:p w14:paraId="58648121">
      <w:pPr>
        <w:spacing w:line="360" w:lineRule="auto"/>
        <w:jc w:val="both"/>
        <w:rPr>
          <w:rFonts w:hint="eastAsia" w:ascii="楷体" w:hAnsi="楷体" w:eastAsia="楷体" w:cs="楷体"/>
          <w:color w:val="auto"/>
          <w:sz w:val="24"/>
          <w:szCs w:val="24"/>
          <w:highlight w:val="none"/>
        </w:rPr>
      </w:pPr>
      <w:r>
        <w:rPr>
          <w:rFonts w:hint="eastAsia" w:ascii="楷体" w:hAnsi="楷体" w:eastAsia="楷体" w:cs="楷体"/>
          <w:color w:val="auto"/>
          <w:sz w:val="21"/>
          <w:szCs w:val="21"/>
          <w:highlight w:val="none"/>
          <w:lang w:val="en-US" w:eastAsia="zh-CN"/>
        </w:rPr>
        <w:t xml:space="preserve">                      </w:t>
      </w:r>
      <w:r>
        <w:rPr>
          <w:rFonts w:hint="eastAsia" w:ascii="楷体" w:hAnsi="楷体" w:eastAsia="楷体" w:cs="楷体"/>
          <w:color w:val="auto"/>
          <w:sz w:val="21"/>
          <w:szCs w:val="21"/>
          <w:highlight w:val="none"/>
        </w:rPr>
        <w:t>法定代表人或其委托代理人：</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ab/>
      </w:r>
      <w:r>
        <w:rPr>
          <w:rFonts w:hint="eastAsia" w:ascii="楷体" w:hAnsi="楷体" w:eastAsia="楷体" w:cs="楷体"/>
          <w:color w:val="auto"/>
          <w:sz w:val="21"/>
          <w:szCs w:val="21"/>
          <w:highlight w:val="none"/>
        </w:rPr>
        <w:t>（</w:t>
      </w:r>
      <w:r>
        <w:rPr>
          <w:rFonts w:hint="eastAsia" w:ascii="楷体" w:hAnsi="楷体" w:eastAsia="楷体" w:cs="楷体"/>
          <w:color w:val="auto"/>
          <w:sz w:val="24"/>
          <w:szCs w:val="24"/>
          <w:highlight w:val="none"/>
        </w:rPr>
        <w:t>签字或盖章）</w:t>
      </w:r>
    </w:p>
    <w:p w14:paraId="5747BF8F">
      <w:pPr>
        <w:spacing w:line="480" w:lineRule="auto"/>
        <w:ind w:firstLine="3600" w:firstLineChars="1500"/>
        <w:rPr>
          <w:color w:val="auto"/>
        </w:rPr>
      </w:pPr>
      <w:r>
        <w:rPr>
          <w:rFonts w:hint="eastAsia" w:ascii="楷体" w:hAnsi="楷体" w:eastAsia="楷体" w:cs="楷体"/>
          <w:color w:val="auto"/>
          <w:sz w:val="24"/>
          <w:szCs w:val="24"/>
          <w:highlight w:val="none"/>
          <w:u w:val="none"/>
          <w:lang w:val="en-US" w:eastAsia="zh-CN"/>
        </w:rPr>
        <w:t>日期：</w:t>
      </w:r>
      <w:r>
        <w:rPr>
          <w:rFonts w:hint="eastAsia" w:ascii="楷体" w:hAnsi="楷体" w:eastAsia="楷体" w:cs="楷体"/>
          <w:color w:val="auto"/>
          <w:sz w:val="24"/>
          <w:szCs w:val="24"/>
          <w:highlight w:val="none"/>
          <w:u w:val="single"/>
          <w:lang w:val="en-US" w:eastAsia="zh-CN"/>
        </w:rPr>
        <w:t xml:space="preserve">  </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年</w:t>
      </w:r>
      <w:r>
        <w:rPr>
          <w:rFonts w:hint="eastAsia" w:ascii="楷体" w:hAnsi="楷体" w:eastAsia="楷体" w:cs="楷体"/>
          <w:color w:val="auto"/>
          <w:sz w:val="24"/>
          <w:szCs w:val="24"/>
          <w:highlight w:val="none"/>
          <w:u w:val="single"/>
        </w:rPr>
        <w:t xml:space="preserve">      </w:t>
      </w:r>
      <w:r>
        <w:rPr>
          <w:rFonts w:hint="eastAsia" w:ascii="楷体" w:hAnsi="楷体" w:eastAsia="楷体" w:cs="楷体"/>
          <w:color w:val="auto"/>
          <w:sz w:val="24"/>
          <w:szCs w:val="24"/>
          <w:highlight w:val="none"/>
        </w:rPr>
        <w:t>月</w:t>
      </w:r>
      <w:r>
        <w:rPr>
          <w:rFonts w:hint="eastAsia" w:ascii="楷体" w:hAnsi="楷体" w:eastAsia="楷体" w:cs="楷体"/>
          <w:color w:val="auto"/>
          <w:sz w:val="24"/>
          <w:szCs w:val="24"/>
          <w:highlight w:val="none"/>
          <w:u w:val="single"/>
        </w:rPr>
        <w:t xml:space="preserve">      </w:t>
      </w:r>
      <w:r>
        <w:rPr>
          <w:rFonts w:hint="eastAsia" w:ascii="仿宋" w:hAnsi="仿宋" w:eastAsia="仿宋" w:cs="仿宋"/>
          <w:color w:val="auto"/>
          <w:sz w:val="24"/>
          <w:szCs w:val="24"/>
          <w:highlight w:val="none"/>
        </w:rPr>
        <w:t>日</w:t>
      </w:r>
    </w:p>
    <w:p w14:paraId="041B450E">
      <w:pPr>
        <w:spacing w:line="480" w:lineRule="auto"/>
        <w:rPr>
          <w:color w:val="auto"/>
        </w:rPr>
      </w:pPr>
    </w:p>
    <w:p w14:paraId="2286AFC6">
      <w:pPr>
        <w:spacing w:line="480" w:lineRule="auto"/>
        <w:rPr>
          <w:color w:val="auto"/>
        </w:rPr>
      </w:pPr>
    </w:p>
    <w:p w14:paraId="3CEA25E2">
      <w:pPr>
        <w:spacing w:line="480" w:lineRule="auto"/>
        <w:rPr>
          <w:color w:val="auto"/>
        </w:rPr>
      </w:pPr>
    </w:p>
    <w:p w14:paraId="269230EA">
      <w:pPr>
        <w:spacing w:line="360" w:lineRule="auto"/>
        <w:ind w:firstLine="482"/>
        <w:rPr>
          <w:rFonts w:ascii="楷体" w:hAnsi="楷体" w:eastAsia="楷体"/>
          <w:color w:val="auto"/>
          <w:szCs w:val="21"/>
        </w:rPr>
      </w:pPr>
      <w:r>
        <w:rPr>
          <w:rFonts w:hint="eastAsia" w:ascii="楷体" w:hAnsi="楷体" w:eastAsia="楷体"/>
          <w:color w:val="auto"/>
          <w:szCs w:val="21"/>
        </w:rPr>
        <w:t>（若</w:t>
      </w:r>
      <w:r>
        <w:rPr>
          <w:rFonts w:hint="eastAsia" w:ascii="楷体" w:hAnsi="楷体" w:eastAsia="楷体"/>
          <w:color w:val="auto"/>
          <w:szCs w:val="21"/>
          <w:lang w:val="en-US" w:eastAsia="zh-CN"/>
        </w:rPr>
        <w:t>供应商</w:t>
      </w:r>
      <w:r>
        <w:rPr>
          <w:rFonts w:hint="eastAsia" w:ascii="楷体" w:hAnsi="楷体" w:eastAsia="楷体"/>
          <w:color w:val="auto"/>
          <w:szCs w:val="21"/>
        </w:rPr>
        <w:t>需要提供其他证明材料，可另纸说明）</w:t>
      </w:r>
      <w:bookmarkEnd w:id="111"/>
    </w:p>
    <w:p w14:paraId="136073CA">
      <w:pPr>
        <w:rPr>
          <w:rFonts w:ascii="宋体" w:hAnsi="宋体"/>
          <w:b/>
          <w:color w:val="auto"/>
          <w:sz w:val="36"/>
          <w:szCs w:val="36"/>
        </w:rPr>
      </w:pPr>
      <w:r>
        <w:rPr>
          <w:rFonts w:hint="eastAsia" w:ascii="宋体" w:hAnsi="宋体"/>
          <w:b/>
          <w:color w:val="auto"/>
          <w:sz w:val="36"/>
          <w:szCs w:val="36"/>
        </w:rPr>
        <w:br w:type="page"/>
      </w:r>
    </w:p>
    <w:p w14:paraId="6AF6950C">
      <w:pPr>
        <w:pStyle w:val="8"/>
        <w:ind w:firstLine="0"/>
        <w:jc w:val="center"/>
        <w:rPr>
          <w:rFonts w:ascii="宋体" w:hAnsi="宋体" w:cs="宋体"/>
          <w:b/>
          <w:color w:val="auto"/>
          <w:kern w:val="0"/>
          <w:sz w:val="36"/>
          <w:szCs w:val="36"/>
        </w:rPr>
      </w:pPr>
      <w:r>
        <w:rPr>
          <w:rFonts w:hint="eastAsia" w:ascii="宋体" w:hAnsi="宋体"/>
          <w:b/>
          <w:color w:val="auto"/>
          <w:sz w:val="36"/>
          <w:szCs w:val="36"/>
          <w:lang w:val="en-US" w:eastAsia="zh-CN"/>
        </w:rPr>
        <w:t>十</w:t>
      </w:r>
      <w:r>
        <w:rPr>
          <w:rFonts w:hint="eastAsia" w:ascii="宋体" w:hAnsi="宋体"/>
          <w:b/>
          <w:color w:val="auto"/>
          <w:sz w:val="36"/>
          <w:szCs w:val="36"/>
        </w:rPr>
        <w:t>、</w:t>
      </w:r>
      <w:r>
        <w:rPr>
          <w:rFonts w:hint="eastAsia" w:ascii="宋体" w:hAnsi="宋体" w:cs="宋体"/>
          <w:b/>
          <w:color w:val="auto"/>
          <w:kern w:val="0"/>
          <w:sz w:val="36"/>
          <w:szCs w:val="36"/>
          <w:lang w:val="zh-CN"/>
        </w:rPr>
        <w:t>具备履行合同所必需的设备及专业技术</w:t>
      </w:r>
      <w:r>
        <w:rPr>
          <w:rFonts w:hint="eastAsia" w:ascii="宋体" w:hAnsi="宋体" w:cs="宋体"/>
          <w:b/>
          <w:color w:val="auto"/>
          <w:kern w:val="0"/>
          <w:sz w:val="36"/>
          <w:szCs w:val="36"/>
        </w:rPr>
        <w:t>能力</w:t>
      </w:r>
    </w:p>
    <w:p w14:paraId="53D8143B">
      <w:pPr>
        <w:pStyle w:val="8"/>
        <w:spacing w:after="240" w:afterLines="100"/>
        <w:ind w:firstLine="0"/>
        <w:jc w:val="center"/>
        <w:rPr>
          <w:rFonts w:ascii="宋体" w:hAnsi="宋体" w:cs="宋体"/>
          <w:b/>
          <w:color w:val="auto"/>
          <w:kern w:val="0"/>
          <w:sz w:val="32"/>
          <w:szCs w:val="32"/>
          <w:lang w:val="zh-CN"/>
        </w:rPr>
      </w:pPr>
    </w:p>
    <w:p w14:paraId="2E667679">
      <w:pPr>
        <w:spacing w:line="360" w:lineRule="auto"/>
        <w:jc w:val="center"/>
        <w:rPr>
          <w:rFonts w:hint="eastAsia" w:ascii="楷体" w:hAnsi="楷体" w:eastAsia="楷体" w:cs="楷体"/>
          <w:color w:val="auto"/>
          <w:sz w:val="28"/>
          <w:szCs w:val="28"/>
        </w:rPr>
      </w:pPr>
      <w:r>
        <w:rPr>
          <w:rFonts w:hint="eastAsia" w:ascii="楷体" w:hAnsi="楷体" w:eastAsia="楷体" w:cs="楷体"/>
          <w:color w:val="auto"/>
          <w:sz w:val="28"/>
          <w:szCs w:val="28"/>
        </w:rPr>
        <w:t>具备履行合同所必需的设备及专业技术能力的书面声明</w:t>
      </w:r>
    </w:p>
    <w:p w14:paraId="7F7B9A5E">
      <w:pPr>
        <w:pStyle w:val="2"/>
        <w:rPr>
          <w:rFonts w:hint="eastAsia" w:ascii="楷体" w:hAnsi="楷体" w:eastAsia="楷体" w:cs="楷体"/>
          <w:color w:val="auto"/>
        </w:rPr>
      </w:pPr>
    </w:p>
    <w:p w14:paraId="028A3E7C">
      <w:pPr>
        <w:spacing w:line="480" w:lineRule="auto"/>
        <w:rPr>
          <w:rFonts w:hint="eastAsia" w:ascii="楷体" w:hAnsi="楷体" w:eastAsia="楷体" w:cs="楷体"/>
          <w:color w:val="auto"/>
          <w:u w:val="single"/>
        </w:rPr>
      </w:pPr>
      <w:r>
        <w:rPr>
          <w:rFonts w:hint="eastAsia" w:ascii="楷体" w:hAnsi="楷体" w:eastAsia="楷体" w:cs="楷体"/>
          <w:color w:val="auto"/>
          <w:u w:val="single"/>
        </w:rPr>
        <w:t xml:space="preserve">（采购人名称）        ： </w:t>
      </w:r>
    </w:p>
    <w:p w14:paraId="46E15F30">
      <w:pPr>
        <w:spacing w:line="480" w:lineRule="auto"/>
        <w:ind w:firstLine="420" w:firstLineChars="200"/>
        <w:rPr>
          <w:rFonts w:hint="eastAsia" w:ascii="楷体" w:hAnsi="楷体" w:eastAsia="楷体" w:cs="楷体"/>
          <w:color w:val="auto"/>
        </w:rPr>
      </w:pPr>
      <w:r>
        <w:rPr>
          <w:rFonts w:hint="eastAsia" w:ascii="楷体" w:hAnsi="楷体" w:eastAsia="楷体" w:cs="楷体"/>
          <w:color w:val="auto"/>
          <w:u w:val="single"/>
        </w:rPr>
        <w:t xml:space="preserve">（供应商名称 ）                   </w:t>
      </w:r>
      <w:r>
        <w:rPr>
          <w:rFonts w:hint="eastAsia" w:ascii="楷体" w:hAnsi="楷体" w:eastAsia="楷体" w:cs="楷体"/>
          <w:color w:val="auto"/>
        </w:rPr>
        <w:t>于</w:t>
      </w:r>
      <w:r>
        <w:rPr>
          <w:rFonts w:hint="eastAsia" w:ascii="楷体" w:hAnsi="楷体" w:eastAsia="楷体" w:cs="楷体"/>
          <w:color w:val="auto"/>
          <w:u w:val="single"/>
        </w:rPr>
        <w:t xml:space="preserve">      </w:t>
      </w:r>
      <w:r>
        <w:rPr>
          <w:rFonts w:hint="eastAsia" w:ascii="楷体" w:hAnsi="楷体" w:eastAsia="楷体" w:cs="楷体"/>
          <w:color w:val="auto"/>
        </w:rPr>
        <w:t xml:space="preserve">年 </w:t>
      </w:r>
      <w:r>
        <w:rPr>
          <w:rFonts w:hint="eastAsia" w:ascii="楷体" w:hAnsi="楷体" w:eastAsia="楷体" w:cs="楷体"/>
          <w:color w:val="auto"/>
          <w:u w:val="single"/>
        </w:rPr>
        <w:t xml:space="preserve">      </w:t>
      </w:r>
      <w:r>
        <w:rPr>
          <w:rFonts w:hint="eastAsia" w:ascii="楷体" w:hAnsi="楷体" w:eastAsia="楷体" w:cs="楷体"/>
          <w:color w:val="auto"/>
        </w:rPr>
        <w:t>月</w:t>
      </w:r>
      <w:r>
        <w:rPr>
          <w:rFonts w:hint="eastAsia" w:ascii="楷体" w:hAnsi="楷体" w:eastAsia="楷体" w:cs="楷体"/>
          <w:color w:val="auto"/>
          <w:u w:val="single"/>
        </w:rPr>
        <w:t xml:space="preserve">     </w:t>
      </w:r>
      <w:r>
        <w:rPr>
          <w:rFonts w:hint="eastAsia" w:ascii="楷体" w:hAnsi="楷体" w:eastAsia="楷体" w:cs="楷体"/>
          <w:color w:val="auto"/>
        </w:rPr>
        <w:t xml:space="preserve">日在中华人民共和国境内 </w:t>
      </w:r>
      <w:r>
        <w:rPr>
          <w:rFonts w:hint="eastAsia" w:ascii="楷体" w:hAnsi="楷体" w:eastAsia="楷体" w:cs="楷体"/>
          <w:color w:val="auto"/>
          <w:u w:val="single"/>
        </w:rPr>
        <w:t xml:space="preserve">（详细注册地址）        </w:t>
      </w:r>
      <w:r>
        <w:rPr>
          <w:rFonts w:hint="eastAsia" w:ascii="楷体" w:hAnsi="楷体" w:eastAsia="楷体" w:cs="楷体"/>
          <w:color w:val="auto"/>
        </w:rPr>
        <w:t>合法注册并经营，公司主营业务为</w:t>
      </w:r>
      <w:r>
        <w:rPr>
          <w:rFonts w:hint="eastAsia" w:ascii="楷体" w:hAnsi="楷体" w:eastAsia="楷体" w:cs="楷体"/>
          <w:color w:val="auto"/>
          <w:u w:val="single"/>
        </w:rPr>
        <w:t xml:space="preserve">               </w:t>
      </w:r>
      <w:r>
        <w:rPr>
          <w:rFonts w:hint="eastAsia" w:ascii="楷体" w:hAnsi="楷体" w:eastAsia="楷体" w:cs="楷体"/>
          <w:color w:val="auto"/>
        </w:rPr>
        <w:t xml:space="preserve"> ，营业面积为</w:t>
      </w:r>
      <w:r>
        <w:rPr>
          <w:rFonts w:hint="eastAsia" w:ascii="楷体" w:hAnsi="楷体" w:eastAsia="楷体" w:cs="楷体"/>
          <w:color w:val="auto"/>
          <w:u w:val="single"/>
        </w:rPr>
        <w:t xml:space="preserve">        </w:t>
      </w:r>
      <w:r>
        <w:rPr>
          <w:rFonts w:hint="eastAsia" w:ascii="楷体" w:hAnsi="楷体" w:eastAsia="楷体" w:cs="楷体"/>
          <w:color w:val="auto"/>
        </w:rPr>
        <w:t xml:space="preserve"> ，现有员工数量为</w:t>
      </w:r>
      <w:r>
        <w:rPr>
          <w:rFonts w:hint="eastAsia" w:ascii="楷体" w:hAnsi="楷体" w:eastAsia="楷体" w:cs="楷体"/>
          <w:color w:val="auto"/>
          <w:u w:val="single"/>
        </w:rPr>
        <w:t xml:space="preserve">        </w:t>
      </w:r>
      <w:r>
        <w:rPr>
          <w:rFonts w:hint="eastAsia" w:ascii="楷体" w:hAnsi="楷体" w:eastAsia="楷体" w:cs="楷体"/>
          <w:color w:val="auto"/>
        </w:rPr>
        <w:t xml:space="preserve"> ，其中与履行本合同相关的专业技术人员有</w:t>
      </w:r>
      <w:r>
        <w:rPr>
          <w:rFonts w:hint="eastAsia" w:ascii="楷体" w:hAnsi="楷体" w:eastAsia="楷体" w:cs="楷体"/>
          <w:color w:val="auto"/>
          <w:u w:val="single"/>
        </w:rPr>
        <w:t xml:space="preserve">（ 专业能力、数量 ）         </w:t>
      </w:r>
      <w:r>
        <w:rPr>
          <w:rFonts w:hint="eastAsia" w:ascii="楷体" w:hAnsi="楷体" w:eastAsia="楷体" w:cs="楷体"/>
          <w:color w:val="auto"/>
        </w:rPr>
        <w:t xml:space="preserve">，本公司郑重声明，具有履行本合同所必需的设备及专业技术能力。如有不实，我方将无条件地退出本项目的采购活动，并遵照《政府采购法》有关“提供虚假材料的规定”接受处罚。 </w:t>
      </w:r>
    </w:p>
    <w:p w14:paraId="4F14114C">
      <w:pPr>
        <w:spacing w:line="480" w:lineRule="auto"/>
        <w:rPr>
          <w:rFonts w:hint="eastAsia" w:ascii="楷体" w:hAnsi="楷体" w:eastAsia="楷体" w:cs="楷体"/>
          <w:color w:val="auto"/>
        </w:rPr>
      </w:pPr>
    </w:p>
    <w:p w14:paraId="74BD9A47">
      <w:pPr>
        <w:spacing w:line="480" w:lineRule="auto"/>
        <w:rPr>
          <w:rFonts w:hint="eastAsia" w:ascii="楷体" w:hAnsi="楷体" w:eastAsia="楷体" w:cs="楷体"/>
          <w:color w:val="auto"/>
        </w:rPr>
      </w:pPr>
    </w:p>
    <w:p w14:paraId="1370029F">
      <w:pPr>
        <w:spacing w:line="480" w:lineRule="auto"/>
        <w:rPr>
          <w:rFonts w:hint="eastAsia" w:ascii="楷体" w:hAnsi="楷体" w:eastAsia="楷体" w:cs="楷体"/>
          <w:color w:val="auto"/>
        </w:rPr>
      </w:pPr>
    </w:p>
    <w:p w14:paraId="23221575">
      <w:pPr>
        <w:spacing w:line="480" w:lineRule="auto"/>
        <w:rPr>
          <w:rFonts w:hint="eastAsia" w:ascii="楷体" w:hAnsi="楷体" w:eastAsia="楷体" w:cs="楷体"/>
          <w:color w:val="auto"/>
        </w:rPr>
      </w:pPr>
    </w:p>
    <w:p w14:paraId="66A47221">
      <w:pPr>
        <w:spacing w:line="480" w:lineRule="auto"/>
        <w:rPr>
          <w:rFonts w:hint="eastAsia" w:ascii="楷体" w:hAnsi="楷体" w:eastAsia="楷体" w:cs="楷体"/>
          <w:color w:val="auto"/>
        </w:rPr>
      </w:pPr>
    </w:p>
    <w:p w14:paraId="3A19BAF5">
      <w:pPr>
        <w:spacing w:line="480" w:lineRule="auto"/>
        <w:ind w:firstLine="3150" w:firstLineChars="1500"/>
        <w:rPr>
          <w:rFonts w:hint="eastAsia" w:ascii="楷体" w:hAnsi="楷体" w:eastAsia="楷体" w:cs="楷体"/>
          <w:color w:val="auto"/>
        </w:rPr>
      </w:pPr>
      <w:r>
        <w:rPr>
          <w:rFonts w:hint="eastAsia" w:ascii="楷体" w:hAnsi="楷体" w:eastAsia="楷体" w:cs="楷体"/>
          <w:color w:val="auto"/>
        </w:rPr>
        <w:t>供应商名称：</w:t>
      </w:r>
      <w:r>
        <w:rPr>
          <w:rFonts w:hint="eastAsia" w:ascii="楷体" w:hAnsi="楷体" w:eastAsia="楷体" w:cs="楷体"/>
          <w:color w:val="auto"/>
          <w:u w:val="single"/>
        </w:rPr>
        <w:t xml:space="preserve">                         </w:t>
      </w:r>
      <w:r>
        <w:rPr>
          <w:rFonts w:hint="eastAsia" w:ascii="楷体" w:hAnsi="楷体" w:eastAsia="楷体" w:cs="楷体"/>
          <w:color w:val="auto"/>
        </w:rPr>
        <w:t xml:space="preserve">（盖单位章） </w:t>
      </w:r>
    </w:p>
    <w:p w14:paraId="48ED0BC0">
      <w:pPr>
        <w:spacing w:line="480" w:lineRule="auto"/>
        <w:ind w:firstLine="3150" w:firstLineChars="1500"/>
        <w:rPr>
          <w:rFonts w:hint="eastAsia" w:ascii="楷体" w:hAnsi="楷体" w:eastAsia="楷体" w:cs="楷体"/>
          <w:color w:val="auto"/>
        </w:rPr>
      </w:pPr>
      <w:r>
        <w:rPr>
          <w:rFonts w:hint="eastAsia" w:ascii="楷体" w:hAnsi="楷体" w:eastAsia="楷体" w:cs="楷体"/>
          <w:color w:val="auto"/>
        </w:rPr>
        <w:t>法定代表人或委托代理人：</w:t>
      </w:r>
      <w:r>
        <w:rPr>
          <w:rFonts w:hint="eastAsia" w:ascii="楷体" w:hAnsi="楷体" w:eastAsia="楷体" w:cs="楷体"/>
          <w:color w:val="auto"/>
          <w:u w:val="single"/>
        </w:rPr>
        <w:t xml:space="preserve">              </w:t>
      </w:r>
      <w:r>
        <w:rPr>
          <w:rFonts w:hint="eastAsia" w:ascii="楷体" w:hAnsi="楷体" w:eastAsia="楷体" w:cs="楷体"/>
          <w:color w:val="auto"/>
        </w:rPr>
        <w:t xml:space="preserve">（签字或盖章） </w:t>
      </w:r>
    </w:p>
    <w:p w14:paraId="4FA2F610">
      <w:pPr>
        <w:spacing w:line="480" w:lineRule="auto"/>
        <w:ind w:firstLine="3150" w:firstLineChars="1500"/>
        <w:rPr>
          <w:color w:val="auto"/>
        </w:rPr>
      </w:pPr>
      <w:r>
        <w:rPr>
          <w:rFonts w:hint="eastAsia" w:ascii="楷体" w:hAnsi="楷体" w:eastAsia="楷体" w:cs="楷体"/>
          <w:color w:val="auto"/>
        </w:rPr>
        <w:t>日      期：</w:t>
      </w:r>
      <w:r>
        <w:rPr>
          <w:rFonts w:hint="eastAsia" w:ascii="楷体" w:hAnsi="楷体" w:eastAsia="楷体" w:cs="楷体"/>
          <w:color w:val="auto"/>
          <w:u w:val="single"/>
        </w:rPr>
        <w:t xml:space="preserve">     </w:t>
      </w:r>
      <w:r>
        <w:rPr>
          <w:rFonts w:hint="eastAsia" w:ascii="楷体" w:hAnsi="楷体" w:eastAsia="楷体" w:cs="楷体"/>
          <w:color w:val="auto"/>
        </w:rPr>
        <w:t>年</w:t>
      </w:r>
      <w:r>
        <w:rPr>
          <w:rFonts w:hint="eastAsia" w:ascii="楷体" w:hAnsi="楷体" w:eastAsia="楷体" w:cs="楷体"/>
          <w:color w:val="auto"/>
          <w:u w:val="single"/>
        </w:rPr>
        <w:t xml:space="preserve">     </w:t>
      </w:r>
      <w:r>
        <w:rPr>
          <w:rFonts w:hint="eastAsia" w:ascii="楷体" w:hAnsi="楷体" w:eastAsia="楷体" w:cs="楷体"/>
          <w:color w:val="auto"/>
        </w:rPr>
        <w:t>月</w:t>
      </w:r>
      <w:r>
        <w:rPr>
          <w:rFonts w:hint="eastAsia" w:ascii="楷体" w:hAnsi="楷体" w:eastAsia="楷体" w:cs="楷体"/>
          <w:color w:val="auto"/>
          <w:u w:val="single"/>
        </w:rPr>
        <w:t xml:space="preserve">     </w:t>
      </w:r>
      <w:r>
        <w:rPr>
          <w:rFonts w:hint="eastAsia"/>
          <w:color w:val="auto"/>
        </w:rPr>
        <w:t xml:space="preserve">日 </w:t>
      </w:r>
    </w:p>
    <w:p w14:paraId="5A1A2E60">
      <w:pPr>
        <w:spacing w:line="480" w:lineRule="auto"/>
        <w:rPr>
          <w:color w:val="auto"/>
        </w:rPr>
      </w:pPr>
    </w:p>
    <w:p w14:paraId="28D0BD99">
      <w:pPr>
        <w:spacing w:line="480" w:lineRule="auto"/>
        <w:rPr>
          <w:color w:val="auto"/>
        </w:rPr>
      </w:pPr>
    </w:p>
    <w:p w14:paraId="2F7E73B9">
      <w:pPr>
        <w:spacing w:line="480" w:lineRule="auto"/>
        <w:rPr>
          <w:color w:val="auto"/>
        </w:rPr>
      </w:pPr>
    </w:p>
    <w:p w14:paraId="35A4561C">
      <w:pPr>
        <w:spacing w:line="360" w:lineRule="auto"/>
        <w:ind w:firstLine="482"/>
        <w:rPr>
          <w:rFonts w:ascii="楷体" w:hAnsi="楷体" w:eastAsia="楷体"/>
          <w:color w:val="auto"/>
          <w:szCs w:val="21"/>
        </w:rPr>
      </w:pPr>
      <w:r>
        <w:rPr>
          <w:rFonts w:hint="eastAsia" w:ascii="楷体" w:hAnsi="楷体" w:eastAsia="楷体"/>
          <w:color w:val="auto"/>
          <w:szCs w:val="21"/>
        </w:rPr>
        <w:t>（若</w:t>
      </w:r>
      <w:r>
        <w:rPr>
          <w:rFonts w:hint="eastAsia" w:ascii="楷体" w:hAnsi="楷体" w:eastAsia="楷体"/>
          <w:color w:val="auto"/>
          <w:szCs w:val="21"/>
          <w:lang w:val="en-US" w:eastAsia="zh-CN"/>
        </w:rPr>
        <w:t>供应商</w:t>
      </w:r>
      <w:r>
        <w:rPr>
          <w:rFonts w:hint="eastAsia" w:ascii="楷体" w:hAnsi="楷体" w:eastAsia="楷体"/>
          <w:color w:val="auto"/>
          <w:szCs w:val="21"/>
        </w:rPr>
        <w:t>需要提供其他证明材料，可另纸说明）</w:t>
      </w:r>
    </w:p>
    <w:p w14:paraId="3FA6569B">
      <w:pPr>
        <w:jc w:val="center"/>
        <w:rPr>
          <w:rFonts w:hint="eastAsia" w:ascii="宋体" w:hAnsi="宋体"/>
          <w:b/>
          <w:color w:val="auto"/>
          <w:sz w:val="36"/>
          <w:szCs w:val="36"/>
        </w:rPr>
      </w:pPr>
    </w:p>
    <w:p w14:paraId="1BD0CF99">
      <w:pPr>
        <w:pStyle w:val="8"/>
        <w:ind w:firstLine="0"/>
        <w:jc w:val="left"/>
        <w:rPr>
          <w:rFonts w:hint="eastAsia" w:ascii="宋体" w:hAnsi="宋体" w:eastAsia="宋体"/>
          <w:b/>
          <w:color w:val="auto"/>
          <w:sz w:val="36"/>
          <w:szCs w:val="36"/>
          <w:lang w:val="en-US" w:eastAsia="zh-CN"/>
        </w:rPr>
      </w:pPr>
      <w:r>
        <w:rPr>
          <w:rFonts w:hint="eastAsia" w:ascii="宋体" w:hAnsi="宋体"/>
          <w:b/>
          <w:color w:val="auto"/>
          <w:sz w:val="36"/>
          <w:szCs w:val="36"/>
        </w:rPr>
        <w:br w:type="page"/>
      </w:r>
      <w:r>
        <w:rPr>
          <w:rFonts w:hint="eastAsia" w:ascii="宋体" w:hAnsi="宋体" w:eastAsia="宋体" w:cs="宋体"/>
          <w:b/>
          <w:color w:val="auto"/>
          <w:kern w:val="0"/>
          <w:sz w:val="36"/>
          <w:szCs w:val="36"/>
          <w:lang w:val="en-US" w:eastAsia="zh-CN"/>
        </w:rPr>
        <w:t>十一、</w:t>
      </w:r>
      <w:r>
        <w:rPr>
          <w:rFonts w:hint="eastAsia" w:ascii="宋体" w:hAnsi="宋体" w:eastAsia="宋体" w:cs="宋体"/>
          <w:b/>
          <w:color w:val="auto"/>
          <w:kern w:val="0"/>
          <w:sz w:val="36"/>
          <w:szCs w:val="36"/>
          <w:lang w:val="zh-CN"/>
        </w:rPr>
        <w:t>供应商不得被列入“中国执行信息公开网（http://zxgk.court.gov.cn）失信被执行人，不得被列入“信用中国”网站（www.creditchina.gov.cn）重大税收违法失信主体，不得被列入“中国政府采购网”（www.ccgp.gov.cn）政府采购严重违法失信行为记录名单中被财政部门禁止参加政府采购活动</w:t>
      </w:r>
    </w:p>
    <w:p w14:paraId="5B14467D">
      <w:pPr>
        <w:pStyle w:val="8"/>
        <w:ind w:firstLine="0"/>
        <w:jc w:val="center"/>
        <w:rPr>
          <w:rFonts w:hint="eastAsia" w:ascii="宋体" w:hAnsi="宋体" w:eastAsia="宋体" w:cs="宋体"/>
          <w:b/>
          <w:bCs/>
          <w:color w:val="auto"/>
          <w:sz w:val="24"/>
          <w:szCs w:val="24"/>
          <w:highlight w:val="none"/>
          <w:lang w:val="en-US" w:eastAsia="zh-CN"/>
        </w:rPr>
      </w:pPr>
      <w:r>
        <w:rPr>
          <w:rFonts w:hint="eastAsia" w:ascii="宋体" w:hAnsi="宋体"/>
          <w:b/>
          <w:color w:val="auto"/>
          <w:sz w:val="36"/>
          <w:szCs w:val="36"/>
        </w:rPr>
        <w:br w:type="page"/>
      </w:r>
      <w:r>
        <w:rPr>
          <w:rFonts w:hint="eastAsia" w:ascii="宋体" w:hAnsi="宋体" w:eastAsia="宋体" w:cs="宋体"/>
          <w:b/>
          <w:color w:val="auto"/>
          <w:kern w:val="0"/>
          <w:sz w:val="36"/>
          <w:szCs w:val="36"/>
          <w:lang w:val="en-US" w:eastAsia="zh-CN"/>
        </w:rPr>
        <w:t>十二、非联合体声明</w:t>
      </w:r>
    </w:p>
    <w:p w14:paraId="77D89A29">
      <w:pPr>
        <w:pStyle w:val="2"/>
        <w:keepLines w:val="0"/>
        <w:pageBreakBefore w:val="0"/>
        <w:widowControl w:val="0"/>
        <w:kinsoku/>
        <w:wordWrap/>
        <w:overflowPunct/>
        <w:topLinePunct w:val="0"/>
        <w:bidi w:val="0"/>
        <w:jc w:val="center"/>
        <w:textAlignment w:val="auto"/>
        <w:outlineLvl w:val="9"/>
        <w:rPr>
          <w:rFonts w:hint="eastAsia" w:ascii="楷体" w:hAnsi="楷体" w:eastAsia="楷体" w:cs="楷体"/>
          <w:b/>
          <w:bCs/>
          <w:color w:val="auto"/>
          <w:kern w:val="2"/>
          <w:sz w:val="21"/>
          <w:szCs w:val="21"/>
          <w:highlight w:val="none"/>
          <w:lang w:val="en-US" w:eastAsia="zh-CN" w:bidi="ar-SA"/>
        </w:rPr>
      </w:pPr>
      <w:r>
        <w:rPr>
          <w:rFonts w:hint="eastAsia" w:ascii="楷体" w:hAnsi="楷体" w:eastAsia="楷体" w:cs="楷体"/>
          <w:b/>
          <w:bCs/>
          <w:color w:val="auto"/>
          <w:kern w:val="2"/>
          <w:sz w:val="21"/>
          <w:szCs w:val="21"/>
          <w:highlight w:val="none"/>
          <w:lang w:val="en-US" w:eastAsia="zh-CN" w:bidi="ar-SA"/>
        </w:rPr>
        <w:t>非联合体声明</w:t>
      </w:r>
    </w:p>
    <w:p w14:paraId="77FC52DD">
      <w:pPr>
        <w:snapToGrid w:val="0"/>
        <w:spacing w:line="360" w:lineRule="auto"/>
        <w:ind w:firstLine="420" w:firstLineChars="200"/>
        <w:outlineLvl w:val="9"/>
        <w:rPr>
          <w:rFonts w:hint="eastAsia" w:ascii="楷体" w:hAnsi="楷体" w:eastAsia="楷体" w:cs="楷体"/>
          <w:color w:val="auto"/>
          <w:sz w:val="21"/>
          <w:szCs w:val="21"/>
          <w:highlight w:val="none"/>
        </w:rPr>
      </w:pPr>
    </w:p>
    <w:p w14:paraId="29B227FD">
      <w:pPr>
        <w:keepNext w:val="0"/>
        <w:keepLines w:val="0"/>
        <w:pageBreakBefore w:val="0"/>
        <w:widowControl w:val="0"/>
        <w:kinsoku/>
        <w:wordWrap/>
        <w:overflowPunct/>
        <w:topLinePunct w:val="0"/>
        <w:bidi w:val="0"/>
        <w:spacing w:line="440" w:lineRule="exact"/>
        <w:textAlignment w:val="auto"/>
        <w:outlineLvl w:val="9"/>
        <w:rPr>
          <w:rFonts w:hint="eastAsia" w:ascii="楷体" w:hAnsi="楷体" w:eastAsia="楷体" w:cs="楷体"/>
          <w:color w:val="auto"/>
          <w:spacing w:val="4"/>
          <w:sz w:val="21"/>
          <w:szCs w:val="21"/>
          <w:highlight w:val="none"/>
          <w:u w:val="single"/>
        </w:rPr>
      </w:pPr>
      <w:r>
        <w:rPr>
          <w:rFonts w:hint="eastAsia" w:ascii="楷体" w:hAnsi="楷体" w:eastAsia="楷体" w:cs="楷体"/>
          <w:color w:val="auto"/>
          <w:spacing w:val="4"/>
          <w:sz w:val="21"/>
          <w:szCs w:val="21"/>
          <w:highlight w:val="none"/>
          <w:u w:val="single"/>
        </w:rPr>
        <w:t xml:space="preserve">     （</w:t>
      </w:r>
      <w:r>
        <w:rPr>
          <w:rFonts w:hint="eastAsia" w:ascii="楷体" w:hAnsi="楷体" w:eastAsia="楷体" w:cs="楷体"/>
          <w:color w:val="auto"/>
          <w:spacing w:val="4"/>
          <w:sz w:val="21"/>
          <w:szCs w:val="21"/>
          <w:highlight w:val="none"/>
          <w:u w:val="single"/>
          <w:lang w:val="en-US" w:eastAsia="zh-CN"/>
        </w:rPr>
        <w:t>采购人</w:t>
      </w:r>
      <w:r>
        <w:rPr>
          <w:rFonts w:hint="eastAsia" w:ascii="楷体" w:hAnsi="楷体" w:eastAsia="楷体" w:cs="楷体"/>
          <w:color w:val="auto"/>
          <w:spacing w:val="4"/>
          <w:sz w:val="21"/>
          <w:szCs w:val="21"/>
          <w:highlight w:val="none"/>
          <w:u w:val="single"/>
        </w:rPr>
        <w:t>名称）：</w:t>
      </w:r>
    </w:p>
    <w:p w14:paraId="6B4F2221">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textAlignment w:val="auto"/>
        <w:outlineLvl w:val="9"/>
        <w:rPr>
          <w:rFonts w:hint="eastAsia" w:ascii="楷体" w:hAnsi="楷体" w:eastAsia="楷体" w:cs="楷体"/>
          <w:color w:val="auto"/>
          <w:sz w:val="21"/>
          <w:szCs w:val="21"/>
          <w:highlight w:val="none"/>
          <w:lang w:eastAsia="zh-CN"/>
        </w:rPr>
      </w:pPr>
    </w:p>
    <w:p w14:paraId="21FDC752">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textAlignment w:val="auto"/>
        <w:outlineLvl w:val="9"/>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 xml:space="preserve"> 我方</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rPr>
        <w:t>（</w:t>
      </w:r>
      <w:r>
        <w:rPr>
          <w:rFonts w:hint="eastAsia" w:ascii="楷体" w:hAnsi="楷体" w:eastAsia="楷体" w:cs="楷体"/>
          <w:color w:val="auto"/>
          <w:sz w:val="21"/>
          <w:szCs w:val="21"/>
          <w:highlight w:val="none"/>
          <w:lang w:val="en-US" w:eastAsia="zh-CN"/>
        </w:rPr>
        <w:t>供应商</w:t>
      </w:r>
      <w:r>
        <w:rPr>
          <w:rFonts w:hint="eastAsia" w:ascii="楷体" w:hAnsi="楷体" w:eastAsia="楷体" w:cs="楷体"/>
          <w:color w:val="auto"/>
          <w:sz w:val="21"/>
          <w:szCs w:val="21"/>
          <w:highlight w:val="none"/>
        </w:rPr>
        <w:t>名称）郑重声明在参加</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color="000000"/>
        </w:rPr>
        <w:t>项目名称</w:t>
      </w:r>
      <w:r>
        <w:rPr>
          <w:rFonts w:hint="eastAsia" w:ascii="楷体" w:hAnsi="楷体" w:eastAsia="楷体" w:cs="楷体"/>
          <w:color w:val="auto"/>
          <w:sz w:val="21"/>
          <w:szCs w:val="21"/>
          <w:highlight w:val="none"/>
          <w:u w:val="single" w:color="000000"/>
          <w:lang w:val="en-US" w:eastAsia="zh-CN"/>
        </w:rPr>
        <w:t>、</w:t>
      </w:r>
      <w:r>
        <w:rPr>
          <w:rFonts w:hint="eastAsia" w:ascii="楷体" w:hAnsi="楷体" w:eastAsia="楷体" w:cs="楷体"/>
          <w:color w:val="auto"/>
          <w:sz w:val="21"/>
          <w:szCs w:val="21"/>
          <w:highlight w:val="none"/>
          <w:u w:val="single" w:color="000000"/>
        </w:rPr>
        <w:t>项目编号</w:t>
      </w:r>
      <w:r>
        <w:rPr>
          <w:rFonts w:hint="eastAsia" w:ascii="楷体" w:hAnsi="楷体" w:eastAsia="楷体" w:cs="楷体"/>
          <w:color w:val="auto"/>
          <w:sz w:val="21"/>
          <w:szCs w:val="21"/>
          <w:highlight w:val="none"/>
          <w:u w:val="single"/>
          <w:lang w:val="en-US" w:eastAsia="zh-CN"/>
        </w:rPr>
        <w:t>）</w:t>
      </w:r>
      <w:r>
        <w:rPr>
          <w:rFonts w:hint="eastAsia" w:ascii="楷体" w:hAnsi="楷体" w:eastAsia="楷体" w:cs="楷体"/>
          <w:color w:val="auto"/>
          <w:sz w:val="21"/>
          <w:szCs w:val="21"/>
          <w:highlight w:val="none"/>
        </w:rPr>
        <w:t>活动</w:t>
      </w:r>
      <w:r>
        <w:rPr>
          <w:rFonts w:hint="eastAsia" w:ascii="楷体" w:hAnsi="楷体" w:eastAsia="楷体" w:cs="楷体"/>
          <w:color w:val="auto"/>
          <w:sz w:val="21"/>
          <w:szCs w:val="21"/>
          <w:highlight w:val="none"/>
          <w:lang w:val="en-US" w:eastAsia="zh-CN"/>
        </w:rPr>
        <w:t>中非联合体</w:t>
      </w:r>
      <w:r>
        <w:rPr>
          <w:rFonts w:hint="eastAsia" w:ascii="楷体" w:hAnsi="楷体" w:eastAsia="楷体" w:cs="楷体"/>
          <w:color w:val="auto"/>
          <w:sz w:val="21"/>
          <w:szCs w:val="21"/>
          <w:highlight w:val="none"/>
        </w:rPr>
        <w:t xml:space="preserve">。本承诺真实有效，若经查实存在不实情况。我公司愿意接受有关部门的相应处罚，并愿意承担由此带来的法律后果。 </w:t>
      </w:r>
    </w:p>
    <w:p w14:paraId="1965FB04">
      <w:pPr>
        <w:keepNext w:val="0"/>
        <w:keepLines w:val="0"/>
        <w:pageBreakBefore w:val="0"/>
        <w:widowControl w:val="0"/>
        <w:kinsoku/>
        <w:wordWrap/>
        <w:overflowPunct/>
        <w:topLinePunct w:val="0"/>
        <w:autoSpaceDE w:val="0"/>
        <w:autoSpaceDN w:val="0"/>
        <w:bidi w:val="0"/>
        <w:adjustRightInd w:val="0"/>
        <w:spacing w:line="440" w:lineRule="exact"/>
        <w:ind w:firstLine="420" w:firstLineChars="200"/>
        <w:textAlignment w:val="auto"/>
        <w:outlineLvl w:val="9"/>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rPr>
        <w:t>特此承诺！</w:t>
      </w:r>
    </w:p>
    <w:p w14:paraId="10A7DC26">
      <w:pPr>
        <w:pStyle w:val="2"/>
        <w:tabs>
          <w:tab w:val="left" w:pos="8935"/>
        </w:tabs>
        <w:spacing w:before="0" w:line="360" w:lineRule="auto"/>
        <w:ind w:right="0"/>
        <w:jc w:val="left"/>
        <w:rPr>
          <w:rFonts w:hint="eastAsia" w:ascii="楷体" w:hAnsi="楷体" w:eastAsia="楷体" w:cs="楷体"/>
          <w:color w:val="auto"/>
          <w:sz w:val="21"/>
          <w:szCs w:val="21"/>
          <w:highlight w:val="none"/>
        </w:rPr>
      </w:pPr>
    </w:p>
    <w:p w14:paraId="4F825116">
      <w:pPr>
        <w:rPr>
          <w:rFonts w:hint="eastAsia" w:ascii="楷体" w:hAnsi="楷体" w:eastAsia="楷体" w:cs="楷体"/>
          <w:sz w:val="21"/>
          <w:szCs w:val="21"/>
        </w:rPr>
      </w:pPr>
    </w:p>
    <w:p w14:paraId="05431875">
      <w:pPr>
        <w:rPr>
          <w:rFonts w:hint="eastAsia" w:ascii="楷体" w:hAnsi="楷体" w:eastAsia="楷体" w:cs="楷体"/>
          <w:sz w:val="21"/>
          <w:szCs w:val="21"/>
        </w:rPr>
      </w:pPr>
    </w:p>
    <w:p w14:paraId="509C4BEB">
      <w:pPr>
        <w:rPr>
          <w:rFonts w:hint="eastAsia" w:ascii="楷体" w:hAnsi="楷体" w:eastAsia="楷体" w:cs="楷体"/>
          <w:sz w:val="21"/>
          <w:szCs w:val="21"/>
        </w:rPr>
      </w:pPr>
    </w:p>
    <w:p w14:paraId="325A27D3">
      <w:pPr>
        <w:rPr>
          <w:rFonts w:hint="eastAsia" w:ascii="楷体" w:hAnsi="楷体" w:eastAsia="楷体" w:cs="楷体"/>
          <w:color w:val="auto"/>
          <w:sz w:val="21"/>
          <w:szCs w:val="21"/>
          <w:highlight w:val="none"/>
        </w:rPr>
      </w:pPr>
    </w:p>
    <w:p w14:paraId="52ECB2EA">
      <w:pPr>
        <w:spacing w:line="480" w:lineRule="auto"/>
        <w:jc w:val="center"/>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val="en-US" w:eastAsia="zh-CN"/>
        </w:rPr>
        <w:t xml:space="preserve"> </w:t>
      </w:r>
      <w:r>
        <w:rPr>
          <w:rFonts w:hint="eastAsia" w:ascii="楷体" w:hAnsi="楷体" w:eastAsia="楷体" w:cs="楷体"/>
          <w:color w:val="auto"/>
          <w:sz w:val="21"/>
          <w:szCs w:val="21"/>
          <w:highlight w:val="none"/>
          <w:lang w:eastAsia="zh-CN"/>
        </w:rPr>
        <w:t>供应商</w:t>
      </w:r>
      <w:r>
        <w:rPr>
          <w:rFonts w:hint="eastAsia" w:ascii="楷体" w:hAnsi="楷体" w:eastAsia="楷体" w:cs="楷体"/>
          <w:color w:val="auto"/>
          <w:sz w:val="21"/>
          <w:szCs w:val="21"/>
          <w:highlight w:val="none"/>
        </w:rPr>
        <w:t>：</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rPr>
        <w:tab/>
      </w:r>
      <w:r>
        <w:rPr>
          <w:rFonts w:hint="eastAsia" w:ascii="楷体" w:hAnsi="楷体" w:eastAsia="楷体" w:cs="楷体"/>
          <w:color w:val="auto"/>
          <w:sz w:val="21"/>
          <w:szCs w:val="21"/>
          <w:highlight w:val="none"/>
        </w:rPr>
        <w:t>（盖单位章）</w:t>
      </w:r>
    </w:p>
    <w:p w14:paraId="25D7CE70">
      <w:pPr>
        <w:spacing w:line="480" w:lineRule="auto"/>
        <w:jc w:val="both"/>
        <w:rPr>
          <w:rFonts w:hint="eastAsia" w:ascii="楷体" w:hAnsi="楷体" w:eastAsia="楷体" w:cs="楷体"/>
          <w:color w:val="auto"/>
          <w:sz w:val="21"/>
          <w:szCs w:val="21"/>
          <w:highlight w:val="none"/>
        </w:rPr>
      </w:pPr>
      <w:r>
        <w:rPr>
          <w:rFonts w:hint="eastAsia" w:ascii="楷体" w:hAnsi="楷体" w:eastAsia="楷体" w:cs="楷体"/>
          <w:color w:val="auto"/>
          <w:sz w:val="21"/>
          <w:szCs w:val="21"/>
          <w:highlight w:val="none"/>
          <w:lang w:val="en-US" w:eastAsia="zh-CN"/>
        </w:rPr>
        <w:t xml:space="preserve">                     </w:t>
      </w:r>
      <w:r>
        <w:rPr>
          <w:rFonts w:hint="eastAsia" w:ascii="楷体" w:hAnsi="楷体" w:eastAsia="楷体" w:cs="楷体"/>
          <w:color w:val="auto"/>
          <w:sz w:val="21"/>
          <w:szCs w:val="21"/>
          <w:highlight w:val="none"/>
        </w:rPr>
        <w:t>法定代表人或其委托代理人：</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ab/>
      </w:r>
      <w:r>
        <w:rPr>
          <w:rFonts w:hint="eastAsia" w:ascii="楷体" w:hAnsi="楷体" w:eastAsia="楷体" w:cs="楷体"/>
          <w:color w:val="auto"/>
          <w:sz w:val="21"/>
          <w:szCs w:val="21"/>
          <w:highlight w:val="none"/>
        </w:rPr>
        <w:t>（签字或盖章）</w:t>
      </w:r>
    </w:p>
    <w:p w14:paraId="0D61E698">
      <w:pPr>
        <w:ind w:firstLine="2730" w:firstLineChars="1300"/>
        <w:rPr>
          <w:rFonts w:hint="eastAsia" w:ascii="楷体" w:hAnsi="楷体" w:eastAsia="楷体" w:cs="楷体"/>
          <w:b/>
          <w:color w:val="auto"/>
          <w:sz w:val="21"/>
          <w:szCs w:val="21"/>
        </w:rPr>
      </w:pPr>
      <w:r>
        <w:rPr>
          <w:rFonts w:hint="eastAsia" w:ascii="楷体" w:hAnsi="楷体" w:eastAsia="楷体" w:cs="楷体"/>
          <w:color w:val="auto"/>
          <w:sz w:val="21"/>
          <w:szCs w:val="21"/>
          <w:highlight w:val="none"/>
          <w:u w:val="none"/>
          <w:lang w:val="en-US" w:eastAsia="zh-CN"/>
        </w:rPr>
        <w:t>日期：</w:t>
      </w:r>
      <w:r>
        <w:rPr>
          <w:rFonts w:hint="eastAsia" w:ascii="楷体" w:hAnsi="楷体" w:eastAsia="楷体" w:cs="楷体"/>
          <w:color w:val="auto"/>
          <w:sz w:val="21"/>
          <w:szCs w:val="21"/>
          <w:highlight w:val="none"/>
          <w:u w:val="single"/>
          <w:lang w:val="en-US" w:eastAsia="zh-CN"/>
        </w:rPr>
        <w:t xml:space="preserve">  </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rPr>
        <w:t>年</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rPr>
        <w:t>月</w:t>
      </w:r>
      <w:r>
        <w:rPr>
          <w:rFonts w:hint="eastAsia" w:ascii="楷体" w:hAnsi="楷体" w:eastAsia="楷体" w:cs="楷体"/>
          <w:color w:val="auto"/>
          <w:sz w:val="21"/>
          <w:szCs w:val="21"/>
          <w:highlight w:val="none"/>
          <w:u w:val="single"/>
        </w:rPr>
        <w:t xml:space="preserve">      </w:t>
      </w:r>
      <w:r>
        <w:rPr>
          <w:rFonts w:hint="eastAsia" w:ascii="楷体" w:hAnsi="楷体" w:eastAsia="楷体" w:cs="楷体"/>
          <w:color w:val="auto"/>
          <w:sz w:val="21"/>
          <w:szCs w:val="21"/>
          <w:highlight w:val="none"/>
        </w:rPr>
        <w:t>日</w:t>
      </w:r>
    </w:p>
    <w:p w14:paraId="289C82EB">
      <w:pPr>
        <w:rPr>
          <w:rFonts w:hint="eastAsia" w:ascii="宋体" w:hAnsi="宋体"/>
          <w:b/>
          <w:color w:val="auto"/>
          <w:sz w:val="36"/>
          <w:szCs w:val="36"/>
        </w:rPr>
      </w:pPr>
      <w:r>
        <w:rPr>
          <w:rFonts w:hint="eastAsia" w:ascii="宋体" w:hAnsi="宋体"/>
          <w:b/>
          <w:color w:val="auto"/>
          <w:sz w:val="36"/>
          <w:szCs w:val="36"/>
        </w:rPr>
        <w:br w:type="page"/>
      </w:r>
    </w:p>
    <w:p w14:paraId="2DD47C47">
      <w:pPr>
        <w:jc w:val="center"/>
        <w:rPr>
          <w:rFonts w:ascii="宋体" w:hAnsi="宋体"/>
          <w:b/>
          <w:color w:val="auto"/>
          <w:sz w:val="36"/>
          <w:szCs w:val="36"/>
        </w:rPr>
      </w:pPr>
      <w:r>
        <w:rPr>
          <w:rFonts w:hint="eastAsia" w:ascii="宋体" w:hAnsi="宋体"/>
          <w:b/>
          <w:color w:val="auto"/>
          <w:sz w:val="36"/>
          <w:szCs w:val="36"/>
          <w:lang w:val="en-US" w:eastAsia="zh-CN"/>
        </w:rPr>
        <w:t>附件1：</w:t>
      </w:r>
      <w:r>
        <w:rPr>
          <w:rFonts w:hint="eastAsia" w:ascii="宋体" w:hAnsi="宋体"/>
          <w:b/>
          <w:color w:val="auto"/>
          <w:sz w:val="36"/>
          <w:szCs w:val="36"/>
        </w:rPr>
        <w:t>竞争性磋商响应声明书</w:t>
      </w:r>
    </w:p>
    <w:p w14:paraId="5A06DABC">
      <w:pPr>
        <w:pStyle w:val="8"/>
        <w:ind w:firstLine="0"/>
        <w:jc w:val="center"/>
        <w:rPr>
          <w:rFonts w:ascii="仿宋_GB2312" w:eastAsia="仿宋_GB2312"/>
          <w:b/>
          <w:color w:val="auto"/>
          <w:sz w:val="36"/>
          <w:szCs w:val="36"/>
        </w:rPr>
      </w:pPr>
    </w:p>
    <w:p w14:paraId="7BB7640F">
      <w:pPr>
        <w:pStyle w:val="8"/>
        <w:ind w:firstLine="0"/>
        <w:rPr>
          <w:rFonts w:ascii="宋体" w:hAnsi="宋体"/>
          <w:b/>
          <w:color w:val="auto"/>
          <w:szCs w:val="21"/>
        </w:rPr>
      </w:pPr>
      <w:r>
        <w:rPr>
          <w:rFonts w:hint="eastAsia" w:ascii="宋体" w:hAnsi="宋体"/>
          <w:b/>
          <w:color w:val="auto"/>
          <w:szCs w:val="21"/>
        </w:rPr>
        <w:t>陕西优正项目管理有限公司：</w:t>
      </w:r>
    </w:p>
    <w:p w14:paraId="47B71882">
      <w:pPr>
        <w:pStyle w:val="8"/>
        <w:ind w:firstLine="573"/>
        <w:rPr>
          <w:rFonts w:ascii="宋体" w:hAnsi="宋体"/>
          <w:b/>
          <w:color w:val="auto"/>
          <w:szCs w:val="21"/>
        </w:rPr>
      </w:pPr>
    </w:p>
    <w:p w14:paraId="639F9B37">
      <w:pPr>
        <w:pStyle w:val="8"/>
        <w:spacing w:line="360" w:lineRule="auto"/>
        <w:ind w:firstLine="573"/>
        <w:rPr>
          <w:rFonts w:ascii="宋体" w:hAnsi="宋体"/>
          <w:color w:val="auto"/>
          <w:szCs w:val="21"/>
        </w:rPr>
      </w:pPr>
      <w:r>
        <w:rPr>
          <w:rFonts w:hint="eastAsia" w:ascii="宋体" w:hAnsi="宋体"/>
          <w:color w:val="auto"/>
          <w:szCs w:val="21"/>
        </w:rPr>
        <w:t>我方</w:t>
      </w:r>
      <w:r>
        <w:rPr>
          <w:rFonts w:hint="eastAsia" w:ascii="宋体" w:hAnsi="宋体"/>
          <w:color w:val="auto"/>
          <w:szCs w:val="21"/>
          <w:u w:val="single"/>
        </w:rPr>
        <w:t xml:space="preserve">               </w:t>
      </w:r>
      <w:r>
        <w:rPr>
          <w:rFonts w:hint="eastAsia" w:ascii="宋体" w:hAnsi="宋体"/>
          <w:color w:val="auto"/>
          <w:szCs w:val="21"/>
        </w:rPr>
        <w:t xml:space="preserve">（供应商名称），就参加 </w:t>
      </w:r>
      <w:r>
        <w:rPr>
          <w:rFonts w:hint="eastAsia" w:ascii="宋体" w:hAnsi="宋体"/>
          <w:color w:val="auto"/>
          <w:szCs w:val="21"/>
          <w:u w:val="single"/>
        </w:rPr>
        <w:t xml:space="preserve">          </w:t>
      </w:r>
      <w:r>
        <w:rPr>
          <w:rFonts w:hint="eastAsia" w:ascii="宋体" w:hAnsi="宋体"/>
          <w:color w:val="auto"/>
          <w:szCs w:val="21"/>
        </w:rPr>
        <w:t xml:space="preserve"> 项目（项目编号：</w:t>
      </w:r>
      <w:r>
        <w:rPr>
          <w:rFonts w:hint="eastAsia" w:ascii="宋体" w:hAnsi="宋体"/>
          <w:color w:val="auto"/>
          <w:szCs w:val="21"/>
          <w:u w:val="single"/>
        </w:rPr>
        <w:t xml:space="preserve">           </w:t>
      </w:r>
      <w:r>
        <w:rPr>
          <w:rFonts w:hint="eastAsia" w:ascii="宋体" w:hAnsi="宋体"/>
          <w:color w:val="auto"/>
          <w:szCs w:val="21"/>
        </w:rPr>
        <w:t>）磋商事宜，在此郑重声明：</w:t>
      </w:r>
    </w:p>
    <w:p w14:paraId="7C0343CE">
      <w:pPr>
        <w:pStyle w:val="8"/>
        <w:spacing w:line="360" w:lineRule="auto"/>
        <w:ind w:firstLine="573"/>
        <w:rPr>
          <w:rFonts w:ascii="宋体" w:hAnsi="宋体"/>
          <w:color w:val="auto"/>
          <w:szCs w:val="21"/>
        </w:rPr>
      </w:pPr>
      <w:r>
        <w:rPr>
          <w:rFonts w:hint="eastAsia" w:ascii="宋体" w:hAnsi="宋体"/>
          <w:color w:val="auto"/>
          <w:szCs w:val="21"/>
        </w:rPr>
        <w:t>1.我方所提交的响应文件全部真实有效；</w:t>
      </w:r>
    </w:p>
    <w:p w14:paraId="5FA385FF">
      <w:pPr>
        <w:pStyle w:val="8"/>
        <w:spacing w:line="360" w:lineRule="auto"/>
        <w:ind w:firstLine="573"/>
        <w:rPr>
          <w:rFonts w:ascii="宋体" w:hAnsi="宋体"/>
          <w:color w:val="auto"/>
          <w:szCs w:val="21"/>
        </w:rPr>
      </w:pPr>
      <w:r>
        <w:rPr>
          <w:rFonts w:hint="eastAsia" w:ascii="宋体" w:hAnsi="宋体"/>
          <w:color w:val="auto"/>
          <w:szCs w:val="21"/>
        </w:rPr>
        <w:t>2.我方近3年来无因安全事故、质量事故、投标违规等不良记录被政府有关部门处罚或仍在处罚期限内的情形存在；</w:t>
      </w:r>
    </w:p>
    <w:p w14:paraId="7319F66F">
      <w:pPr>
        <w:pStyle w:val="8"/>
        <w:spacing w:line="360" w:lineRule="auto"/>
        <w:ind w:firstLine="573"/>
        <w:rPr>
          <w:rFonts w:ascii="宋体" w:hAnsi="宋体"/>
          <w:color w:val="auto"/>
          <w:szCs w:val="21"/>
        </w:rPr>
      </w:pPr>
      <w:r>
        <w:rPr>
          <w:rFonts w:hint="eastAsia" w:ascii="宋体" w:hAnsi="宋体"/>
          <w:color w:val="auto"/>
          <w:szCs w:val="21"/>
        </w:rPr>
        <w:t>3.我方近3年来无违规违法经营受到责令停产(或停止经营)、吊销生产许可证（或经营许可证）、较大数额罚款（举行听证会的）等行政处罚的情形存在；</w:t>
      </w:r>
    </w:p>
    <w:p w14:paraId="7E085031">
      <w:pPr>
        <w:pStyle w:val="8"/>
        <w:spacing w:line="360" w:lineRule="auto"/>
        <w:ind w:firstLine="573"/>
        <w:rPr>
          <w:rFonts w:ascii="宋体" w:hAnsi="宋体"/>
          <w:color w:val="auto"/>
          <w:szCs w:val="21"/>
        </w:rPr>
      </w:pPr>
      <w:r>
        <w:rPr>
          <w:rFonts w:hint="eastAsia" w:ascii="宋体" w:hAnsi="宋体"/>
          <w:color w:val="auto"/>
          <w:szCs w:val="21"/>
        </w:rPr>
        <w:t>4.我方无企业财产被查封、冻结或处于破产状态或严重亏损状态等情形存在；</w:t>
      </w:r>
    </w:p>
    <w:p w14:paraId="44E3507F">
      <w:pPr>
        <w:pStyle w:val="8"/>
        <w:spacing w:line="360" w:lineRule="auto"/>
        <w:ind w:firstLine="573"/>
        <w:rPr>
          <w:rFonts w:ascii="宋体" w:hAnsi="宋体"/>
          <w:color w:val="auto"/>
          <w:szCs w:val="21"/>
        </w:rPr>
      </w:pPr>
      <w:r>
        <w:rPr>
          <w:rFonts w:hint="eastAsia" w:ascii="宋体" w:hAnsi="宋体"/>
          <w:color w:val="auto"/>
          <w:szCs w:val="21"/>
        </w:rPr>
        <w:t>5.我方承诺在磋商过程中，保证不予其他单位恶意串通，不出让磋商资格，不采取不正当手段诋毁、排挤其他供应商，不向采购人、采购代理机构和磋商小组成员行贿；</w:t>
      </w:r>
    </w:p>
    <w:p w14:paraId="2EA25BC9">
      <w:pPr>
        <w:pStyle w:val="8"/>
        <w:spacing w:line="360" w:lineRule="auto"/>
        <w:ind w:firstLine="573"/>
        <w:rPr>
          <w:rFonts w:ascii="宋体" w:hAnsi="宋体"/>
          <w:color w:val="auto"/>
          <w:szCs w:val="21"/>
        </w:rPr>
      </w:pPr>
      <w:r>
        <w:rPr>
          <w:rFonts w:hint="eastAsia" w:ascii="宋体" w:hAnsi="宋体"/>
          <w:color w:val="auto"/>
          <w:szCs w:val="21"/>
        </w:rPr>
        <w:t>6.我方参加本次政府采购活动近3年内，在经营活动中没有重大违法记录；</w:t>
      </w:r>
    </w:p>
    <w:p w14:paraId="04B4E9FA">
      <w:pPr>
        <w:pStyle w:val="8"/>
        <w:spacing w:line="360" w:lineRule="auto"/>
        <w:ind w:firstLine="573"/>
        <w:rPr>
          <w:rFonts w:ascii="宋体" w:hAnsi="宋体"/>
          <w:color w:val="auto"/>
          <w:szCs w:val="21"/>
        </w:rPr>
      </w:pPr>
      <w:r>
        <w:rPr>
          <w:rFonts w:hint="eastAsia" w:ascii="宋体" w:hAnsi="宋体"/>
          <w:color w:val="auto"/>
          <w:szCs w:val="21"/>
        </w:rPr>
        <w:t>7.我方在提交响应文件时，未被列入政府采购严重违法</w:t>
      </w:r>
      <w:r>
        <w:rPr>
          <w:rFonts w:hint="eastAsia" w:ascii="宋体" w:hAnsi="宋体" w:cs="Arial"/>
          <w:color w:val="auto"/>
          <w:szCs w:val="21"/>
          <w:shd w:val="clear" w:color="auto" w:fill="FFFFFF"/>
        </w:rPr>
        <w:t>失信行为记录</w:t>
      </w:r>
      <w:r>
        <w:rPr>
          <w:rFonts w:hint="eastAsia" w:ascii="宋体" w:hAnsi="宋体"/>
          <w:color w:val="auto"/>
          <w:szCs w:val="21"/>
        </w:rPr>
        <w:t>名单、失信被执行人、重大税收违法案件当事人名单。</w:t>
      </w:r>
    </w:p>
    <w:p w14:paraId="66C414E7">
      <w:pPr>
        <w:pStyle w:val="8"/>
        <w:spacing w:line="360" w:lineRule="auto"/>
        <w:ind w:firstLine="573"/>
        <w:rPr>
          <w:rFonts w:ascii="宋体" w:hAnsi="宋体"/>
          <w:color w:val="auto"/>
          <w:szCs w:val="21"/>
        </w:rPr>
      </w:pPr>
      <w:r>
        <w:rPr>
          <w:rFonts w:hint="eastAsia" w:ascii="宋体" w:hAnsi="宋体"/>
          <w:color w:val="auto"/>
          <w:szCs w:val="21"/>
        </w:rPr>
        <w:t>以上声明若有违反，一经查实，我方愿意接受政府有关部门的相应处罚，并愿意承担由此带来的法律后果。</w:t>
      </w:r>
    </w:p>
    <w:p w14:paraId="51571C98">
      <w:pPr>
        <w:pStyle w:val="8"/>
        <w:spacing w:line="480" w:lineRule="auto"/>
        <w:ind w:firstLine="570"/>
        <w:rPr>
          <w:rFonts w:ascii="宋体" w:hAnsi="宋体"/>
          <w:color w:val="auto"/>
          <w:szCs w:val="21"/>
        </w:rPr>
      </w:pPr>
    </w:p>
    <w:p w14:paraId="4B34851C">
      <w:pPr>
        <w:pStyle w:val="8"/>
        <w:spacing w:line="480" w:lineRule="auto"/>
        <w:ind w:firstLine="570"/>
        <w:rPr>
          <w:rFonts w:ascii="宋体" w:hAnsi="宋体"/>
          <w:color w:val="auto"/>
          <w:szCs w:val="21"/>
        </w:rPr>
      </w:pPr>
      <w:r>
        <w:rPr>
          <w:rFonts w:hint="eastAsia" w:ascii="宋体" w:hAnsi="宋体"/>
          <w:color w:val="auto"/>
          <w:szCs w:val="21"/>
        </w:rPr>
        <w:t>特此声明！</w:t>
      </w:r>
    </w:p>
    <w:p w14:paraId="3AEC484E">
      <w:pPr>
        <w:pStyle w:val="8"/>
        <w:spacing w:line="480" w:lineRule="auto"/>
        <w:ind w:firstLine="570"/>
        <w:rPr>
          <w:rFonts w:ascii="宋体" w:hAnsi="宋体"/>
          <w:color w:val="auto"/>
          <w:szCs w:val="21"/>
        </w:rPr>
      </w:pPr>
    </w:p>
    <w:p w14:paraId="19A00632">
      <w:pPr>
        <w:pStyle w:val="8"/>
        <w:spacing w:line="480" w:lineRule="auto"/>
        <w:ind w:firstLine="570"/>
        <w:rPr>
          <w:rFonts w:ascii="宋体" w:hAnsi="宋体"/>
          <w:color w:val="auto"/>
          <w:szCs w:val="21"/>
        </w:rPr>
      </w:pPr>
    </w:p>
    <w:p w14:paraId="66A4C625">
      <w:pPr>
        <w:pStyle w:val="8"/>
        <w:spacing w:line="480" w:lineRule="auto"/>
        <w:ind w:firstLine="570"/>
        <w:rPr>
          <w:rFonts w:ascii="宋体" w:hAnsi="宋体"/>
          <w:color w:val="auto"/>
          <w:szCs w:val="21"/>
        </w:rPr>
      </w:pPr>
      <w:r>
        <w:rPr>
          <w:rFonts w:hint="eastAsia" w:ascii="宋体" w:hAnsi="宋体"/>
          <w:color w:val="auto"/>
          <w:szCs w:val="21"/>
        </w:rPr>
        <w:t>声  明  人</w:t>
      </w:r>
      <w:r>
        <w:rPr>
          <w:rFonts w:hint="eastAsia" w:ascii="宋体" w:hAnsi="宋体"/>
          <w:color w:val="auto"/>
          <w:szCs w:val="21"/>
          <w:lang w:eastAsia="zh-CN"/>
        </w:rPr>
        <w:t>：</w:t>
      </w:r>
      <w:r>
        <w:rPr>
          <w:rFonts w:hint="eastAsia" w:ascii="宋体" w:hAnsi="宋体"/>
          <w:color w:val="auto"/>
          <w:szCs w:val="21"/>
          <w:u w:val="single"/>
        </w:rPr>
        <w:t xml:space="preserve">                      </w:t>
      </w:r>
      <w:r>
        <w:rPr>
          <w:rFonts w:hint="eastAsia" w:ascii="宋体" w:hAnsi="宋体"/>
          <w:color w:val="auto"/>
          <w:szCs w:val="21"/>
        </w:rPr>
        <w:t>(供应商名称、盖单位章)</w:t>
      </w:r>
    </w:p>
    <w:p w14:paraId="7B41FB10">
      <w:pPr>
        <w:pStyle w:val="8"/>
        <w:spacing w:line="480" w:lineRule="auto"/>
        <w:ind w:firstLine="573"/>
        <w:rPr>
          <w:rFonts w:ascii="宋体" w:hAnsi="宋体"/>
          <w:color w:val="auto"/>
          <w:szCs w:val="21"/>
        </w:rPr>
      </w:pPr>
      <w:r>
        <w:rPr>
          <w:rFonts w:hint="eastAsia" w:ascii="宋体" w:hAnsi="宋体"/>
          <w:color w:val="auto"/>
          <w:szCs w:val="21"/>
        </w:rPr>
        <w:t>法定代表人或委托代理人：</w:t>
      </w:r>
      <w:r>
        <w:rPr>
          <w:rFonts w:hint="eastAsia" w:ascii="宋体" w:hAnsi="宋体"/>
          <w:color w:val="auto"/>
          <w:szCs w:val="21"/>
          <w:u w:val="single"/>
        </w:rPr>
        <w:t xml:space="preserve">         </w:t>
      </w:r>
      <w:r>
        <w:rPr>
          <w:rFonts w:hint="eastAsia" w:ascii="宋体" w:hAnsi="宋体"/>
          <w:color w:val="auto"/>
          <w:szCs w:val="21"/>
        </w:rPr>
        <w:t>（签字或盖章）</w:t>
      </w:r>
    </w:p>
    <w:p w14:paraId="3300B89D">
      <w:pPr>
        <w:pStyle w:val="8"/>
        <w:spacing w:line="480" w:lineRule="auto"/>
        <w:ind w:firstLine="573"/>
        <w:rPr>
          <w:rFonts w:ascii="宋体" w:hAnsi="宋体"/>
          <w:color w:val="auto"/>
          <w:szCs w:val="21"/>
        </w:rPr>
      </w:pPr>
      <w:r>
        <w:rPr>
          <w:rFonts w:hint="eastAsia" w:ascii="宋体" w:hAnsi="宋体"/>
          <w:color w:val="auto"/>
          <w:szCs w:val="21"/>
        </w:rPr>
        <w:t>日      期：</w:t>
      </w:r>
      <w:r>
        <w:rPr>
          <w:rFonts w:hint="eastAsia" w:ascii="宋体" w:hAnsi="宋体"/>
          <w:color w:val="auto"/>
          <w:szCs w:val="21"/>
          <w:u w:val="single"/>
        </w:rPr>
        <w:t xml:space="preserve">                      </w:t>
      </w:r>
      <w:r>
        <w:rPr>
          <w:rFonts w:hint="eastAsia" w:ascii="宋体" w:hAnsi="宋体"/>
          <w:color w:val="auto"/>
          <w:szCs w:val="21"/>
        </w:rPr>
        <w:t xml:space="preserve">     </w:t>
      </w:r>
    </w:p>
    <w:p w14:paraId="7F7B1D79">
      <w:pPr>
        <w:spacing w:line="360" w:lineRule="auto"/>
        <w:ind w:firstLine="482"/>
        <w:rPr>
          <w:rFonts w:ascii="楷体" w:hAnsi="楷体" w:eastAsia="楷体"/>
          <w:color w:val="auto"/>
          <w:szCs w:val="21"/>
        </w:rPr>
      </w:pPr>
      <w:r>
        <w:rPr>
          <w:rFonts w:ascii="宋体" w:hAnsi="宋体"/>
          <w:b/>
          <w:color w:val="auto"/>
          <w:sz w:val="36"/>
          <w:szCs w:val="36"/>
        </w:rPr>
        <w:br w:type="page"/>
      </w:r>
    </w:p>
    <w:p w14:paraId="4FA6EC25">
      <w:pPr>
        <w:spacing w:line="360" w:lineRule="auto"/>
        <w:jc w:val="center"/>
        <w:rPr>
          <w:rFonts w:ascii="仿宋" w:hAnsi="仿宋" w:eastAsia="仿宋" w:cs="仿宋"/>
          <w:b/>
          <w:bCs/>
          <w:color w:val="auto"/>
          <w:kern w:val="0"/>
          <w:sz w:val="28"/>
          <w:szCs w:val="28"/>
        </w:rPr>
      </w:pPr>
      <w:r>
        <w:rPr>
          <w:rFonts w:hint="eastAsia" w:ascii="宋体" w:hAnsi="宋体"/>
          <w:b/>
          <w:bCs/>
          <w:color w:val="auto"/>
          <w:sz w:val="36"/>
          <w:szCs w:val="36"/>
          <w:lang w:val="en-US" w:eastAsia="zh-CN"/>
        </w:rPr>
        <w:t>附件2：</w:t>
      </w:r>
      <w:r>
        <w:rPr>
          <w:rFonts w:hint="eastAsia" w:ascii="宋体" w:hAnsi="宋体"/>
          <w:b/>
          <w:bCs/>
          <w:color w:val="auto"/>
          <w:sz w:val="36"/>
          <w:szCs w:val="36"/>
        </w:rPr>
        <w:t>法定代表人（负责人）为同一人或者存在直接控股、管理关系的不同供应商，不得同时参加本采购项目磋商</w:t>
      </w:r>
    </w:p>
    <w:p w14:paraId="42451191">
      <w:pPr>
        <w:autoSpaceDE w:val="0"/>
        <w:autoSpaceDN w:val="0"/>
        <w:adjustRightInd w:val="0"/>
        <w:spacing w:line="360" w:lineRule="auto"/>
        <w:jc w:val="center"/>
        <w:rPr>
          <w:rFonts w:ascii="宋体" w:hAnsi="宋体" w:cs="宋体"/>
          <w:color w:val="auto"/>
          <w:sz w:val="28"/>
          <w:szCs w:val="28"/>
        </w:rPr>
      </w:pPr>
      <w:r>
        <w:rPr>
          <w:rFonts w:hint="eastAsia" w:ascii="宋体" w:hAnsi="宋体" w:cs="宋体"/>
          <w:color w:val="auto"/>
          <w:sz w:val="28"/>
          <w:szCs w:val="28"/>
        </w:rPr>
        <w:t>供应商企业关系关联的声明</w:t>
      </w:r>
    </w:p>
    <w:p w14:paraId="5E695E90">
      <w:pPr>
        <w:autoSpaceDE w:val="0"/>
        <w:autoSpaceDN w:val="0"/>
        <w:adjustRightInd w:val="0"/>
        <w:spacing w:line="360" w:lineRule="auto"/>
        <w:rPr>
          <w:rFonts w:ascii="宋体" w:hAnsi="宋体" w:cs="宋体"/>
          <w:color w:val="auto"/>
          <w:sz w:val="22"/>
          <w:szCs w:val="22"/>
        </w:rPr>
      </w:pPr>
    </w:p>
    <w:p w14:paraId="4CF3847F">
      <w:pPr>
        <w:autoSpaceDE w:val="0"/>
        <w:autoSpaceDN w:val="0"/>
        <w:adjustRightInd w:val="0"/>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我单位在本磋商项目中，不存在与其它供应商负责人为同一人，有控股、管理等关联关系承诺。</w:t>
      </w:r>
    </w:p>
    <w:p w14:paraId="09400825">
      <w:pPr>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1、管理关系说明：</w:t>
      </w:r>
    </w:p>
    <w:p w14:paraId="4CD8360D">
      <w:pPr>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我单位管理的具有独立法人的下属单位有：</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14:paraId="387F7359">
      <w:pPr>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我单位的上级管理单位有：</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14:paraId="7B8723CB">
      <w:pPr>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2、股权关系说明：</w:t>
      </w:r>
    </w:p>
    <w:p w14:paraId="01384D34">
      <w:pPr>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我单位控股的单位有</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14:paraId="211A5A9B">
      <w:pPr>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我单位被单位控股</w:t>
      </w:r>
      <w:r>
        <w:rPr>
          <w:rFonts w:hint="eastAsia" w:ascii="宋体" w:hAnsi="宋体" w:cs="宋体"/>
          <w:color w:val="auto"/>
          <w:sz w:val="21"/>
          <w:szCs w:val="21"/>
          <w:u w:val="single"/>
        </w:rPr>
        <w:t xml:space="preserve">       </w:t>
      </w:r>
      <w:r>
        <w:rPr>
          <w:rFonts w:hint="eastAsia" w:ascii="宋体" w:hAnsi="宋体" w:cs="宋体"/>
          <w:color w:val="auto"/>
          <w:sz w:val="21"/>
          <w:szCs w:val="21"/>
        </w:rPr>
        <w:t>。</w:t>
      </w:r>
    </w:p>
    <w:p w14:paraId="18500AC8">
      <w:pPr>
        <w:autoSpaceDE w:val="0"/>
        <w:autoSpaceDN w:val="0"/>
        <w:adjustRightInd w:val="0"/>
        <w:snapToGrid w:val="0"/>
        <w:spacing w:line="480" w:lineRule="auto"/>
        <w:ind w:firstLine="420" w:firstLineChars="200"/>
        <w:rPr>
          <w:rFonts w:ascii="宋体" w:hAnsi="宋体" w:cs="宋体"/>
          <w:color w:val="auto"/>
          <w:sz w:val="21"/>
          <w:szCs w:val="21"/>
        </w:rPr>
      </w:pPr>
      <w:r>
        <w:rPr>
          <w:rFonts w:hint="eastAsia" w:ascii="宋体" w:hAnsi="宋体" w:cs="宋体"/>
          <w:color w:val="auto"/>
          <w:sz w:val="21"/>
          <w:szCs w:val="21"/>
        </w:rPr>
        <w:t>我单位承诺以上说明真实有效，无虚假内容或隐瞒。</w:t>
      </w:r>
    </w:p>
    <w:p w14:paraId="3DE47819">
      <w:pPr>
        <w:wordWrap w:val="0"/>
        <w:spacing w:line="360" w:lineRule="auto"/>
        <w:rPr>
          <w:rFonts w:ascii="宋体" w:hAnsi="宋体" w:cs="宋体"/>
          <w:color w:val="auto"/>
          <w:sz w:val="21"/>
          <w:szCs w:val="21"/>
          <w:lang w:val="zh-TW" w:eastAsia="zh-TW" w:bidi="zh-TW"/>
        </w:rPr>
      </w:pPr>
    </w:p>
    <w:p w14:paraId="55C3827F">
      <w:pPr>
        <w:wordWrap w:val="0"/>
        <w:spacing w:line="360" w:lineRule="auto"/>
        <w:ind w:firstLine="420" w:firstLineChars="200"/>
        <w:jc w:val="right"/>
        <w:rPr>
          <w:rFonts w:ascii="宋体" w:hAnsi="宋体" w:cs="宋体"/>
          <w:color w:val="auto"/>
          <w:sz w:val="21"/>
          <w:szCs w:val="21"/>
          <w:lang w:val="zh-TW" w:eastAsia="zh-TW" w:bidi="zh-TW"/>
        </w:rPr>
      </w:pPr>
    </w:p>
    <w:p w14:paraId="4B87F01B">
      <w:pPr>
        <w:pStyle w:val="8"/>
        <w:spacing w:line="480" w:lineRule="auto"/>
        <w:ind w:firstLine="570"/>
        <w:rPr>
          <w:rFonts w:ascii="宋体" w:hAnsi="宋体"/>
          <w:color w:val="auto"/>
          <w:sz w:val="21"/>
          <w:szCs w:val="21"/>
        </w:rPr>
      </w:pPr>
      <w:bookmarkStart w:id="112" w:name="4.3_申请人信用信息报告"/>
      <w:bookmarkEnd w:id="112"/>
      <w:r>
        <w:rPr>
          <w:rFonts w:hint="eastAsia" w:ascii="宋体" w:hAnsi="宋体"/>
          <w:color w:val="auto"/>
          <w:sz w:val="21"/>
          <w:szCs w:val="21"/>
        </w:rPr>
        <w:t>声  明  人</w:t>
      </w:r>
      <w:r>
        <w:rPr>
          <w:rFonts w:hint="eastAsia" w:ascii="宋体" w:hAnsi="宋体"/>
          <w:color w:val="auto"/>
          <w:sz w:val="21"/>
          <w:szCs w:val="21"/>
          <w:lang w:eastAsia="zh-CN"/>
        </w:rPr>
        <w:t>：</w:t>
      </w:r>
      <w:r>
        <w:rPr>
          <w:rFonts w:hint="eastAsia" w:ascii="宋体" w:hAnsi="宋体"/>
          <w:color w:val="auto"/>
          <w:sz w:val="21"/>
          <w:szCs w:val="21"/>
          <w:u w:val="single"/>
        </w:rPr>
        <w:t xml:space="preserve">                      </w:t>
      </w:r>
      <w:r>
        <w:rPr>
          <w:rFonts w:hint="eastAsia" w:ascii="宋体" w:hAnsi="宋体"/>
          <w:color w:val="auto"/>
          <w:sz w:val="21"/>
          <w:szCs w:val="21"/>
        </w:rPr>
        <w:t>(供应商名称、盖单位章)</w:t>
      </w:r>
    </w:p>
    <w:p w14:paraId="080788F8">
      <w:pPr>
        <w:pStyle w:val="8"/>
        <w:spacing w:line="480" w:lineRule="auto"/>
        <w:ind w:firstLine="573"/>
        <w:rPr>
          <w:rFonts w:ascii="宋体" w:hAnsi="宋体"/>
          <w:color w:val="auto"/>
          <w:sz w:val="21"/>
          <w:szCs w:val="21"/>
        </w:rPr>
      </w:pPr>
      <w:r>
        <w:rPr>
          <w:rFonts w:hint="eastAsia" w:ascii="宋体" w:hAnsi="宋体"/>
          <w:color w:val="auto"/>
          <w:sz w:val="21"/>
          <w:szCs w:val="21"/>
        </w:rPr>
        <w:t>法定代表人或委托代理人：</w:t>
      </w:r>
      <w:r>
        <w:rPr>
          <w:rFonts w:hint="eastAsia" w:ascii="宋体" w:hAnsi="宋体"/>
          <w:color w:val="auto"/>
          <w:sz w:val="21"/>
          <w:szCs w:val="21"/>
          <w:u w:val="single"/>
        </w:rPr>
        <w:t xml:space="preserve">         </w:t>
      </w:r>
      <w:r>
        <w:rPr>
          <w:rFonts w:hint="eastAsia" w:ascii="宋体" w:hAnsi="宋体"/>
          <w:color w:val="auto"/>
          <w:sz w:val="21"/>
          <w:szCs w:val="21"/>
        </w:rPr>
        <w:t>（签字或盖章）</w:t>
      </w:r>
    </w:p>
    <w:p w14:paraId="72B9137C">
      <w:pPr>
        <w:pStyle w:val="8"/>
        <w:spacing w:line="480" w:lineRule="auto"/>
        <w:ind w:firstLine="573"/>
        <w:rPr>
          <w:rFonts w:ascii="宋体" w:hAnsi="宋体"/>
          <w:color w:val="auto"/>
          <w:sz w:val="21"/>
          <w:szCs w:val="21"/>
        </w:rPr>
      </w:pPr>
      <w:r>
        <w:rPr>
          <w:rFonts w:hint="eastAsia" w:ascii="宋体" w:hAnsi="宋体"/>
          <w:color w:val="auto"/>
          <w:sz w:val="21"/>
          <w:szCs w:val="21"/>
        </w:rPr>
        <w:t>日      期：</w:t>
      </w:r>
      <w:r>
        <w:rPr>
          <w:rFonts w:hint="eastAsia" w:ascii="宋体" w:hAnsi="宋体"/>
          <w:color w:val="auto"/>
          <w:sz w:val="21"/>
          <w:szCs w:val="21"/>
          <w:u w:val="single"/>
        </w:rPr>
        <w:t xml:space="preserve">                      </w:t>
      </w:r>
    </w:p>
    <w:p w14:paraId="68426376">
      <w:pPr>
        <w:spacing w:line="360" w:lineRule="auto"/>
        <w:ind w:firstLine="482"/>
        <w:rPr>
          <w:rFonts w:ascii="楷体" w:hAnsi="楷体" w:eastAsia="楷体"/>
          <w:color w:val="auto"/>
          <w:szCs w:val="21"/>
        </w:rPr>
      </w:pPr>
      <w:r>
        <w:rPr>
          <w:rFonts w:ascii="宋体" w:hAnsi="宋体"/>
          <w:b/>
          <w:color w:val="auto"/>
          <w:sz w:val="36"/>
          <w:szCs w:val="36"/>
        </w:rPr>
        <w:br w:type="page"/>
      </w:r>
    </w:p>
    <w:p w14:paraId="7B6C935B">
      <w:pPr>
        <w:numPr>
          <w:ilvl w:val="0"/>
          <w:numId w:val="0"/>
        </w:numPr>
        <w:jc w:val="center"/>
        <w:outlineLvl w:val="9"/>
        <w:rPr>
          <w:rFonts w:ascii="宋体" w:hAnsi="宋体" w:eastAsia="宋体"/>
          <w:color w:val="auto"/>
          <w:sz w:val="36"/>
          <w:szCs w:val="36"/>
        </w:rPr>
      </w:pPr>
      <w:r>
        <w:rPr>
          <w:rFonts w:hint="eastAsia" w:ascii="宋体" w:hAnsi="宋体" w:eastAsia="宋体"/>
          <w:color w:val="auto"/>
          <w:sz w:val="36"/>
          <w:szCs w:val="36"/>
          <w:lang w:val="en-US" w:eastAsia="zh-CN"/>
        </w:rPr>
        <w:t>十三、</w:t>
      </w:r>
      <w:r>
        <w:rPr>
          <w:rFonts w:hint="eastAsia" w:ascii="宋体" w:hAnsi="宋体" w:eastAsia="宋体"/>
          <w:color w:val="auto"/>
          <w:sz w:val="36"/>
          <w:szCs w:val="36"/>
        </w:rPr>
        <w:t>提供供应商享受政府采购优惠政策的证明材料</w:t>
      </w:r>
      <w:bookmarkStart w:id="113" w:name="_Toc217446088"/>
    </w:p>
    <w:p w14:paraId="382C041D">
      <w:pPr>
        <w:adjustRightInd w:val="0"/>
        <w:snapToGrid w:val="0"/>
        <w:spacing w:line="360" w:lineRule="auto"/>
        <w:rPr>
          <w:rFonts w:ascii="仿宋_GB2312" w:hAnsi="宋体" w:eastAsia="仿宋_GB2312"/>
          <w:bCs/>
          <w:color w:val="auto"/>
          <w:szCs w:val="21"/>
        </w:rPr>
      </w:pPr>
    </w:p>
    <w:p w14:paraId="2B8969C5">
      <w:pPr>
        <w:pStyle w:val="11"/>
        <w:adjustRightInd w:val="0"/>
        <w:snapToGrid w:val="0"/>
        <w:spacing w:line="360" w:lineRule="auto"/>
        <w:rPr>
          <w:rFonts w:ascii="楷体" w:hAnsi="楷体" w:eastAsia="楷体"/>
          <w:color w:val="auto"/>
        </w:rPr>
      </w:pPr>
      <w:r>
        <w:rPr>
          <w:rFonts w:hint="eastAsia" w:ascii="楷体" w:hAnsi="楷体" w:eastAsia="楷体"/>
          <w:color w:val="auto"/>
        </w:rPr>
        <w:t>说明：</w:t>
      </w:r>
    </w:p>
    <w:p w14:paraId="4930AE9C">
      <w:pPr>
        <w:pStyle w:val="11"/>
        <w:adjustRightInd w:val="0"/>
        <w:snapToGrid w:val="0"/>
        <w:spacing w:line="360" w:lineRule="auto"/>
        <w:ind w:firstLine="630" w:firstLineChars="300"/>
        <w:rPr>
          <w:rFonts w:ascii="楷体" w:hAnsi="楷体" w:eastAsia="楷体"/>
          <w:color w:val="auto"/>
        </w:rPr>
      </w:pPr>
      <w:r>
        <w:rPr>
          <w:rFonts w:hint="eastAsia" w:ascii="楷体" w:hAnsi="楷体" w:eastAsia="楷体"/>
          <w:color w:val="auto"/>
        </w:rPr>
        <w:t>（1）中小企业声明函格式见附件1；</w:t>
      </w:r>
    </w:p>
    <w:p w14:paraId="42982A68">
      <w:pPr>
        <w:pStyle w:val="11"/>
        <w:adjustRightInd w:val="0"/>
        <w:snapToGrid w:val="0"/>
        <w:spacing w:line="360" w:lineRule="auto"/>
        <w:ind w:firstLine="630" w:firstLineChars="300"/>
        <w:rPr>
          <w:rFonts w:ascii="楷体" w:hAnsi="楷体" w:eastAsia="楷体"/>
          <w:color w:val="auto"/>
        </w:rPr>
      </w:pPr>
      <w:r>
        <w:rPr>
          <w:rFonts w:hint="eastAsia" w:ascii="楷体" w:hAnsi="楷体" w:eastAsia="楷体"/>
          <w:color w:val="auto"/>
        </w:rPr>
        <w:t>（2）残疾人福利性单位声明函格式见附件2；</w:t>
      </w:r>
    </w:p>
    <w:p w14:paraId="66CE4172">
      <w:pPr>
        <w:adjustRightInd w:val="0"/>
        <w:snapToGrid w:val="0"/>
        <w:spacing w:line="360" w:lineRule="auto"/>
        <w:ind w:firstLine="630" w:firstLineChars="300"/>
        <w:rPr>
          <w:rFonts w:ascii="楷体" w:hAnsi="楷体" w:eastAsia="楷体"/>
          <w:color w:val="auto"/>
          <w:szCs w:val="21"/>
        </w:rPr>
      </w:pPr>
      <w:r>
        <w:rPr>
          <w:rFonts w:hint="eastAsia" w:ascii="楷体" w:hAnsi="楷体" w:eastAsia="楷体"/>
          <w:color w:val="auto"/>
          <w:szCs w:val="21"/>
        </w:rPr>
        <w:t>（3）监狱企业证明文件见附件3；</w:t>
      </w:r>
    </w:p>
    <w:p w14:paraId="6B8451D1">
      <w:pPr>
        <w:widowControl/>
        <w:jc w:val="left"/>
        <w:rPr>
          <w:color w:val="auto"/>
          <w:kern w:val="0"/>
        </w:rPr>
      </w:pPr>
      <w:r>
        <w:rPr>
          <w:color w:val="auto"/>
          <w:kern w:val="0"/>
        </w:rPr>
        <w:br w:type="page"/>
      </w:r>
    </w:p>
    <w:p w14:paraId="16C75277">
      <w:pPr>
        <w:spacing w:before="312" w:beforeLines="100" w:line="360" w:lineRule="auto"/>
        <w:rPr>
          <w:rFonts w:ascii="黑体" w:hAnsi="宋体" w:eastAsia="黑体"/>
          <w:color w:val="auto"/>
          <w:sz w:val="28"/>
          <w:szCs w:val="28"/>
        </w:rPr>
      </w:pPr>
      <w:r>
        <w:rPr>
          <w:rFonts w:hint="eastAsia" w:ascii="黑体" w:hAnsi="宋体" w:eastAsia="黑体"/>
          <w:color w:val="auto"/>
          <w:sz w:val="28"/>
          <w:szCs w:val="28"/>
        </w:rPr>
        <w:t>附件1：</w:t>
      </w:r>
    </w:p>
    <w:p w14:paraId="6A7C8B13">
      <w:pPr>
        <w:jc w:val="center"/>
        <w:rPr>
          <w:rFonts w:ascii="宋体" w:hAnsi="宋体" w:cs="仿宋"/>
          <w:b/>
          <w:bCs/>
          <w:color w:val="auto"/>
          <w:kern w:val="0"/>
          <w:sz w:val="22"/>
          <w:szCs w:val="22"/>
          <w:highlight w:val="none"/>
        </w:rPr>
      </w:pPr>
      <w:r>
        <w:rPr>
          <w:rFonts w:ascii="宋体" w:hAnsi="宋体" w:cs="仿宋"/>
          <w:b/>
          <w:bCs/>
          <w:color w:val="auto"/>
          <w:kern w:val="0"/>
          <w:sz w:val="22"/>
          <w:szCs w:val="22"/>
          <w:highlight w:val="none"/>
        </w:rPr>
        <w:t>中小企业声明函</w:t>
      </w:r>
      <w:r>
        <w:rPr>
          <w:rFonts w:hint="eastAsia" w:ascii="宋体" w:hAnsi="宋体" w:cs="仿宋"/>
          <w:b/>
          <w:bCs/>
          <w:color w:val="auto"/>
          <w:kern w:val="0"/>
          <w:sz w:val="22"/>
          <w:szCs w:val="22"/>
          <w:highlight w:val="none"/>
        </w:rPr>
        <w:t>（</w:t>
      </w:r>
      <w:r>
        <w:rPr>
          <w:rFonts w:hint="eastAsia" w:ascii="宋体" w:hAnsi="宋体" w:eastAsia="宋体" w:cs="仿宋"/>
          <w:b/>
          <w:bCs/>
          <w:color w:val="auto"/>
          <w:kern w:val="0"/>
          <w:sz w:val="22"/>
          <w:szCs w:val="22"/>
          <w:highlight w:val="none"/>
        </w:rPr>
        <w:t>服务</w:t>
      </w:r>
      <w:r>
        <w:rPr>
          <w:rFonts w:hint="eastAsia" w:ascii="宋体" w:hAnsi="宋体" w:cs="仿宋"/>
          <w:b/>
          <w:bCs/>
          <w:color w:val="auto"/>
          <w:kern w:val="0"/>
          <w:sz w:val="22"/>
          <w:szCs w:val="22"/>
          <w:highlight w:val="none"/>
        </w:rPr>
        <w:t>）</w:t>
      </w:r>
    </w:p>
    <w:p w14:paraId="08882DDB">
      <w:pPr>
        <w:adjustRightInd w:val="0"/>
        <w:snapToGrid w:val="0"/>
        <w:ind w:left="420" w:hanging="420" w:hangingChars="200"/>
        <w:jc w:val="left"/>
        <w:rPr>
          <w:rFonts w:ascii="宋体" w:hAnsi="宋体"/>
          <w:color w:val="auto"/>
          <w:szCs w:val="22"/>
          <w:highlight w:val="none"/>
        </w:rPr>
      </w:pPr>
    </w:p>
    <w:p w14:paraId="3E80FA07">
      <w:pPr>
        <w:spacing w:before="624" w:beforeLines="200" w:line="360" w:lineRule="auto"/>
        <w:ind w:firstLine="444" w:firstLineChars="200"/>
        <w:rPr>
          <w:rFonts w:ascii="宋体" w:hAnsi="宋体"/>
          <w:color w:val="auto"/>
          <w:spacing w:val="6"/>
          <w:szCs w:val="21"/>
          <w:highlight w:val="none"/>
        </w:rPr>
      </w:pPr>
      <w:r>
        <w:rPr>
          <w:rFonts w:ascii="宋体" w:hAnsi="宋体"/>
          <w:color w:val="auto"/>
          <w:spacing w:val="6"/>
          <w:szCs w:val="21"/>
          <w:highlight w:val="none"/>
        </w:rPr>
        <w:t>本公司(联合体)郑重声明，根据《政府采购促进中小企业发展管理办法》(财库〔2020〕46 号)的规定，本公司(联合体)参加</w:t>
      </w:r>
      <w:r>
        <w:rPr>
          <w:rFonts w:hint="eastAsia" w:ascii="宋体" w:hAnsi="宋体"/>
          <w:color w:val="auto"/>
          <w:spacing w:val="6"/>
          <w:szCs w:val="21"/>
          <w:highlight w:val="none"/>
          <w:u w:val="single"/>
        </w:rPr>
        <w:t xml:space="preserve">     </w:t>
      </w:r>
      <w:r>
        <w:rPr>
          <w:rFonts w:hint="eastAsia" w:ascii="宋体" w:hAnsi="宋体"/>
          <w:i/>
          <w:iCs/>
          <w:color w:val="auto"/>
          <w:spacing w:val="6"/>
          <w:szCs w:val="21"/>
          <w:highlight w:val="none"/>
          <w:u w:val="single"/>
        </w:rPr>
        <w:t xml:space="preserve"> </w:t>
      </w:r>
      <w:r>
        <w:rPr>
          <w:rFonts w:ascii="宋体" w:hAnsi="宋体"/>
          <w:i/>
          <w:iCs/>
          <w:color w:val="auto"/>
          <w:spacing w:val="6"/>
          <w:szCs w:val="21"/>
          <w:highlight w:val="none"/>
          <w:u w:val="single"/>
        </w:rPr>
        <w:t>(</w:t>
      </w:r>
      <w:r>
        <w:rPr>
          <w:rFonts w:hint="eastAsia" w:ascii="宋体" w:hAnsi="宋体"/>
          <w:i/>
          <w:iCs/>
          <w:color w:val="auto"/>
          <w:spacing w:val="6"/>
          <w:szCs w:val="21"/>
          <w:highlight w:val="none"/>
          <w:u w:val="single"/>
        </w:rPr>
        <w:t>单位</w:t>
      </w:r>
      <w:r>
        <w:rPr>
          <w:rFonts w:ascii="宋体" w:hAnsi="宋体"/>
          <w:i/>
          <w:iCs/>
          <w:color w:val="auto"/>
          <w:spacing w:val="6"/>
          <w:szCs w:val="21"/>
          <w:highlight w:val="none"/>
          <w:u w:val="single"/>
        </w:rPr>
        <w:t>名称</w:t>
      </w:r>
      <w:r>
        <w:rPr>
          <w:rFonts w:ascii="宋体" w:hAnsi="宋体"/>
          <w:i/>
          <w:iCs/>
          <w:color w:val="auto"/>
          <w:spacing w:val="6"/>
          <w:szCs w:val="21"/>
          <w:highlight w:val="none"/>
        </w:rPr>
        <w:t>)</w:t>
      </w:r>
      <w:r>
        <w:rPr>
          <w:rFonts w:ascii="宋体" w:hAnsi="宋体"/>
          <w:color w:val="auto"/>
          <w:spacing w:val="6"/>
          <w:szCs w:val="21"/>
          <w:highlight w:val="none"/>
        </w:rPr>
        <w:t>的</w:t>
      </w:r>
      <w:r>
        <w:rPr>
          <w:rFonts w:hint="eastAsia" w:ascii="宋体" w:hAnsi="宋体"/>
          <w:color w:val="auto"/>
          <w:spacing w:val="6"/>
          <w:szCs w:val="21"/>
          <w:highlight w:val="none"/>
          <w:u w:val="single"/>
        </w:rPr>
        <w:t xml:space="preserve">   </w:t>
      </w:r>
      <w:r>
        <w:rPr>
          <w:rFonts w:hint="eastAsia" w:ascii="宋体" w:hAnsi="宋体"/>
          <w:i/>
          <w:iCs/>
          <w:color w:val="auto"/>
          <w:spacing w:val="6"/>
          <w:szCs w:val="21"/>
          <w:highlight w:val="none"/>
          <w:u w:val="single"/>
        </w:rPr>
        <w:t xml:space="preserve">  </w:t>
      </w:r>
      <w:r>
        <w:rPr>
          <w:rFonts w:ascii="宋体" w:hAnsi="宋体"/>
          <w:i/>
          <w:iCs/>
          <w:color w:val="auto"/>
          <w:spacing w:val="6"/>
          <w:szCs w:val="21"/>
          <w:highlight w:val="none"/>
          <w:u w:val="single"/>
        </w:rPr>
        <w:t>(项目名称</w:t>
      </w:r>
      <w:r>
        <w:rPr>
          <w:rFonts w:ascii="宋体" w:hAnsi="宋体"/>
          <w:i/>
          <w:iCs/>
          <w:color w:val="auto"/>
          <w:spacing w:val="6"/>
          <w:szCs w:val="21"/>
          <w:highlight w:val="none"/>
        </w:rPr>
        <w:t>)</w:t>
      </w:r>
      <w:r>
        <w:rPr>
          <w:rFonts w:ascii="宋体" w:hAnsi="宋体"/>
          <w:color w:val="auto"/>
          <w:spacing w:val="6"/>
          <w:szCs w:val="21"/>
          <w:highlight w:val="none"/>
        </w:rPr>
        <w:t>采购活动，</w:t>
      </w:r>
      <w:r>
        <w:rPr>
          <w:rFonts w:hint="eastAsia" w:ascii="宋体" w:hAnsi="宋体"/>
          <w:color w:val="auto"/>
          <w:spacing w:val="6"/>
          <w:szCs w:val="21"/>
          <w:highlight w:val="none"/>
        </w:rPr>
        <w:t>工程的施工单位全部为符合要求的中小企业（或者：</w:t>
      </w:r>
      <w:r>
        <w:rPr>
          <w:rFonts w:ascii="宋体" w:hAnsi="宋体"/>
          <w:color w:val="auto"/>
          <w:spacing w:val="6"/>
          <w:szCs w:val="21"/>
          <w:highlight w:val="none"/>
        </w:rPr>
        <w:t>服务全部由符合政策要求的中小企业承接</w:t>
      </w:r>
      <w:r>
        <w:rPr>
          <w:rFonts w:hint="eastAsia" w:ascii="宋体" w:hAnsi="宋体"/>
          <w:color w:val="auto"/>
          <w:spacing w:val="6"/>
          <w:szCs w:val="21"/>
          <w:highlight w:val="none"/>
        </w:rPr>
        <w:t>）</w:t>
      </w:r>
      <w:r>
        <w:rPr>
          <w:rFonts w:ascii="宋体" w:hAnsi="宋体"/>
          <w:color w:val="auto"/>
          <w:spacing w:val="6"/>
          <w:szCs w:val="21"/>
          <w:highlight w:val="none"/>
        </w:rPr>
        <w:t>。相关企业(含联合体中的中小企业、签订分包意向协议的中小企业)的具体情况如下:</w:t>
      </w:r>
    </w:p>
    <w:p w14:paraId="2C2395A1">
      <w:pPr>
        <w:spacing w:line="360" w:lineRule="auto"/>
        <w:ind w:firstLine="419" w:firstLineChars="189"/>
        <w:rPr>
          <w:rFonts w:ascii="宋体" w:hAnsi="宋体"/>
          <w:color w:val="auto"/>
          <w:spacing w:val="6"/>
          <w:szCs w:val="21"/>
          <w:highlight w:val="none"/>
        </w:rPr>
      </w:pPr>
      <w:r>
        <w:rPr>
          <w:rFonts w:ascii="宋体" w:hAnsi="宋体"/>
          <w:color w:val="auto"/>
          <w:spacing w:val="6"/>
          <w:szCs w:val="21"/>
          <w:highlight w:val="none"/>
        </w:rPr>
        <w:t>1.</w:t>
      </w:r>
      <w:r>
        <w:rPr>
          <w:rFonts w:hint="eastAsia" w:ascii="宋体" w:hAnsi="宋体"/>
          <w:color w:val="auto"/>
          <w:spacing w:val="6"/>
          <w:szCs w:val="21"/>
          <w:highlight w:val="none"/>
          <w:u w:val="single"/>
        </w:rPr>
        <w:t xml:space="preserve">       </w:t>
      </w:r>
      <w:r>
        <w:rPr>
          <w:rFonts w:ascii="宋体" w:hAnsi="宋体"/>
          <w:i/>
          <w:iCs/>
          <w:color w:val="auto"/>
          <w:spacing w:val="6"/>
          <w:szCs w:val="21"/>
          <w:highlight w:val="none"/>
          <w:u w:val="single"/>
        </w:rPr>
        <w:t>(标的名称)</w:t>
      </w:r>
      <w:r>
        <w:rPr>
          <w:rFonts w:ascii="宋体" w:hAnsi="宋体"/>
          <w:color w:val="auto"/>
          <w:spacing w:val="6"/>
          <w:szCs w:val="21"/>
          <w:highlight w:val="none"/>
        </w:rPr>
        <w:t>，属于</w:t>
      </w:r>
      <w:r>
        <w:rPr>
          <w:rFonts w:hint="eastAsia" w:ascii="宋体" w:hAnsi="宋体"/>
          <w:color w:val="auto"/>
          <w:spacing w:val="6"/>
          <w:szCs w:val="21"/>
          <w:highlight w:val="none"/>
          <w:u w:val="single"/>
        </w:rPr>
        <w:t xml:space="preserve">     </w:t>
      </w:r>
      <w:r>
        <w:rPr>
          <w:rFonts w:hint="eastAsia" w:ascii="宋体" w:hAnsi="宋体" w:eastAsia="宋体" w:cs="Times New Roman"/>
          <w:i/>
          <w:iCs/>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(采购文件中明确的所属行业)</w:t>
      </w:r>
      <w:r>
        <w:rPr>
          <w:rFonts w:hint="eastAsia" w:ascii="宋体" w:hAnsi="宋体"/>
          <w:color w:val="auto"/>
          <w:spacing w:val="6"/>
          <w:szCs w:val="21"/>
          <w:highlight w:val="none"/>
        </w:rPr>
        <w:t>；</w:t>
      </w:r>
      <w:r>
        <w:rPr>
          <w:rFonts w:ascii="宋体" w:hAnsi="宋体"/>
          <w:color w:val="auto"/>
          <w:spacing w:val="6"/>
          <w:szCs w:val="21"/>
          <w:highlight w:val="none"/>
        </w:rPr>
        <w:t>承</w:t>
      </w:r>
      <w:r>
        <w:rPr>
          <w:rFonts w:hint="eastAsia" w:ascii="宋体" w:hAnsi="宋体"/>
          <w:color w:val="auto"/>
          <w:spacing w:val="6"/>
          <w:szCs w:val="21"/>
          <w:highlight w:val="none"/>
        </w:rPr>
        <w:t>建（</w:t>
      </w:r>
      <w:r>
        <w:rPr>
          <w:rFonts w:ascii="宋体" w:hAnsi="宋体"/>
          <w:color w:val="auto"/>
          <w:spacing w:val="6"/>
          <w:szCs w:val="21"/>
          <w:highlight w:val="none"/>
        </w:rPr>
        <w:t>承接</w:t>
      </w:r>
      <w:r>
        <w:rPr>
          <w:rFonts w:hint="eastAsia" w:ascii="宋体" w:hAnsi="宋体"/>
          <w:color w:val="auto"/>
          <w:spacing w:val="6"/>
          <w:szCs w:val="21"/>
          <w:highlight w:val="none"/>
        </w:rPr>
        <w:t>）</w:t>
      </w:r>
      <w:r>
        <w:rPr>
          <w:rFonts w:ascii="宋体" w:hAnsi="宋体"/>
          <w:color w:val="auto"/>
          <w:spacing w:val="6"/>
          <w:szCs w:val="21"/>
          <w:highlight w:val="none"/>
        </w:rPr>
        <w:t>企业为</w:t>
      </w:r>
      <w:r>
        <w:rPr>
          <w:rFonts w:hint="eastAsia" w:ascii="宋体" w:hAnsi="宋体"/>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(企业名称)</w:t>
      </w:r>
      <w:r>
        <w:rPr>
          <w:rFonts w:ascii="宋体" w:hAnsi="宋体"/>
          <w:color w:val="auto"/>
          <w:spacing w:val="6"/>
          <w:szCs w:val="21"/>
          <w:highlight w:val="none"/>
        </w:rPr>
        <w:t>，从业人员</w:t>
      </w:r>
      <w:r>
        <w:rPr>
          <w:rFonts w:hint="eastAsia" w:ascii="宋体" w:hAnsi="宋体"/>
          <w:color w:val="auto"/>
          <w:spacing w:val="6"/>
          <w:szCs w:val="21"/>
          <w:highlight w:val="none"/>
          <w:u w:val="single"/>
        </w:rPr>
        <w:t xml:space="preserve">          </w:t>
      </w:r>
      <w:r>
        <w:rPr>
          <w:rFonts w:ascii="宋体" w:hAnsi="宋体"/>
          <w:color w:val="auto"/>
          <w:spacing w:val="6"/>
          <w:szCs w:val="21"/>
          <w:highlight w:val="none"/>
        </w:rPr>
        <w:t>人，营业收入为</w:t>
      </w:r>
      <w:r>
        <w:rPr>
          <w:rFonts w:hint="eastAsia" w:ascii="宋体" w:hAnsi="宋体"/>
          <w:color w:val="auto"/>
          <w:spacing w:val="6"/>
          <w:szCs w:val="21"/>
          <w:highlight w:val="none"/>
          <w:u w:val="single"/>
        </w:rPr>
        <w:t xml:space="preserve">         </w:t>
      </w:r>
      <w:r>
        <w:rPr>
          <w:rFonts w:ascii="宋体" w:hAnsi="宋体"/>
          <w:color w:val="auto"/>
          <w:spacing w:val="6"/>
          <w:szCs w:val="21"/>
          <w:highlight w:val="none"/>
        </w:rPr>
        <w:t>万元，资产总额为</w:t>
      </w:r>
      <w:r>
        <w:rPr>
          <w:rFonts w:hint="eastAsia" w:ascii="宋体" w:hAnsi="宋体"/>
          <w:color w:val="auto"/>
          <w:spacing w:val="6"/>
          <w:szCs w:val="21"/>
          <w:highlight w:val="none"/>
          <w:u w:val="single"/>
        </w:rPr>
        <w:t xml:space="preserve">       </w:t>
      </w:r>
      <w:r>
        <w:rPr>
          <w:rFonts w:ascii="宋体" w:hAnsi="宋体"/>
          <w:color w:val="auto"/>
          <w:spacing w:val="6"/>
          <w:szCs w:val="21"/>
          <w:highlight w:val="none"/>
        </w:rPr>
        <w:t>万元</w:t>
      </w:r>
      <w:r>
        <w:rPr>
          <w:rFonts w:hint="eastAsia" w:ascii="宋体" w:hAnsi="宋体"/>
          <w:color w:val="auto"/>
          <w:szCs w:val="20"/>
          <w:vertAlign w:val="superscript"/>
        </w:rPr>
        <w:t>1</w:t>
      </w:r>
      <w:r>
        <w:rPr>
          <w:rFonts w:ascii="宋体" w:hAnsi="宋体"/>
          <w:color w:val="auto"/>
          <w:spacing w:val="6"/>
          <w:szCs w:val="21"/>
          <w:highlight w:val="none"/>
        </w:rPr>
        <w:t>，属于</w:t>
      </w:r>
      <w:r>
        <w:rPr>
          <w:rFonts w:hint="eastAsia" w:ascii="宋体" w:hAnsi="宋体"/>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(中型企业、小型企业、微型企业</w:t>
      </w:r>
      <w:r>
        <w:rPr>
          <w:rFonts w:ascii="宋体" w:hAnsi="宋体"/>
          <w:color w:val="auto"/>
          <w:spacing w:val="6"/>
          <w:szCs w:val="21"/>
          <w:highlight w:val="none"/>
          <w:u w:val="single"/>
        </w:rPr>
        <w:t>)</w:t>
      </w:r>
      <w:r>
        <w:rPr>
          <w:rFonts w:ascii="宋体" w:hAnsi="宋体"/>
          <w:color w:val="auto"/>
          <w:spacing w:val="6"/>
          <w:szCs w:val="21"/>
          <w:highlight w:val="none"/>
        </w:rPr>
        <w:t>;</w:t>
      </w:r>
    </w:p>
    <w:p w14:paraId="6378469B">
      <w:pPr>
        <w:spacing w:line="360" w:lineRule="auto"/>
        <w:ind w:firstLine="444" w:firstLineChars="200"/>
        <w:rPr>
          <w:rFonts w:ascii="宋体" w:hAnsi="宋体"/>
          <w:color w:val="auto"/>
          <w:spacing w:val="6"/>
          <w:szCs w:val="21"/>
          <w:highlight w:val="none"/>
        </w:rPr>
      </w:pPr>
      <w:r>
        <w:rPr>
          <w:rFonts w:hint="eastAsia" w:ascii="宋体" w:hAnsi="宋体"/>
          <w:color w:val="auto"/>
          <w:spacing w:val="6"/>
          <w:szCs w:val="21"/>
          <w:highlight w:val="none"/>
        </w:rPr>
        <w:t>2</w:t>
      </w:r>
      <w:r>
        <w:rPr>
          <w:rFonts w:ascii="宋体" w:hAnsi="宋体"/>
          <w:color w:val="auto"/>
          <w:spacing w:val="6"/>
          <w:szCs w:val="21"/>
          <w:highlight w:val="none"/>
        </w:rPr>
        <w:t>.</w:t>
      </w:r>
      <w:r>
        <w:rPr>
          <w:rFonts w:hint="eastAsia" w:ascii="宋体" w:hAnsi="宋体"/>
          <w:color w:val="auto"/>
          <w:spacing w:val="6"/>
          <w:szCs w:val="21"/>
          <w:highlight w:val="none"/>
          <w:u w:val="single"/>
        </w:rPr>
        <w:t xml:space="preserve">     </w:t>
      </w:r>
      <w:r>
        <w:rPr>
          <w:rFonts w:hint="eastAsia" w:ascii="宋体" w:hAnsi="宋体" w:eastAsia="宋体" w:cs="Times New Roman"/>
          <w:i/>
          <w:iCs/>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(标的名称)</w:t>
      </w:r>
      <w:r>
        <w:rPr>
          <w:rFonts w:ascii="宋体" w:hAnsi="宋体"/>
          <w:color w:val="auto"/>
          <w:spacing w:val="6"/>
          <w:szCs w:val="21"/>
          <w:highlight w:val="none"/>
        </w:rPr>
        <w:t>，属于</w:t>
      </w:r>
      <w:r>
        <w:rPr>
          <w:rFonts w:hint="eastAsia" w:ascii="宋体" w:hAnsi="宋体"/>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(采购文件中明确的所属行业)</w:t>
      </w:r>
      <w:r>
        <w:rPr>
          <w:rFonts w:ascii="宋体" w:hAnsi="宋体"/>
          <w:color w:val="auto"/>
          <w:spacing w:val="6"/>
          <w:szCs w:val="21"/>
          <w:highlight w:val="none"/>
        </w:rPr>
        <w:t>;承接企业为</w:t>
      </w:r>
      <w:r>
        <w:rPr>
          <w:rFonts w:hint="eastAsia" w:ascii="宋体" w:hAnsi="宋体"/>
          <w:color w:val="auto"/>
          <w:spacing w:val="6"/>
          <w:szCs w:val="21"/>
          <w:highlight w:val="none"/>
          <w:u w:val="single"/>
        </w:rPr>
        <w:t xml:space="preserve">  </w:t>
      </w:r>
      <w:r>
        <w:rPr>
          <w:rFonts w:hint="eastAsia" w:ascii="宋体" w:hAnsi="宋体" w:eastAsia="宋体" w:cs="Times New Roman"/>
          <w:i/>
          <w:iCs/>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(企业名称)</w:t>
      </w:r>
      <w:r>
        <w:rPr>
          <w:rFonts w:ascii="宋体" w:hAnsi="宋体"/>
          <w:color w:val="auto"/>
          <w:spacing w:val="6"/>
          <w:szCs w:val="21"/>
          <w:highlight w:val="none"/>
        </w:rPr>
        <w:t>，从业人员</w:t>
      </w:r>
      <w:r>
        <w:rPr>
          <w:rFonts w:hint="eastAsia" w:ascii="宋体" w:hAnsi="宋体"/>
          <w:color w:val="auto"/>
          <w:spacing w:val="6"/>
          <w:szCs w:val="21"/>
          <w:highlight w:val="none"/>
          <w:u w:val="single"/>
        </w:rPr>
        <w:t xml:space="preserve">          </w:t>
      </w:r>
      <w:r>
        <w:rPr>
          <w:rFonts w:ascii="宋体" w:hAnsi="宋体"/>
          <w:color w:val="auto"/>
          <w:spacing w:val="6"/>
          <w:szCs w:val="21"/>
          <w:highlight w:val="none"/>
        </w:rPr>
        <w:t>人，营业收入为</w:t>
      </w:r>
      <w:r>
        <w:rPr>
          <w:rFonts w:hint="eastAsia" w:ascii="宋体" w:hAnsi="宋体"/>
          <w:color w:val="auto"/>
          <w:spacing w:val="6"/>
          <w:szCs w:val="21"/>
          <w:highlight w:val="none"/>
          <w:u w:val="single"/>
        </w:rPr>
        <w:t xml:space="preserve">         </w:t>
      </w:r>
      <w:r>
        <w:rPr>
          <w:rFonts w:ascii="宋体" w:hAnsi="宋体"/>
          <w:color w:val="auto"/>
          <w:spacing w:val="6"/>
          <w:szCs w:val="21"/>
          <w:highlight w:val="none"/>
        </w:rPr>
        <w:t>万元，资产总额为</w:t>
      </w:r>
      <w:r>
        <w:rPr>
          <w:rFonts w:hint="eastAsia" w:ascii="宋体" w:hAnsi="宋体"/>
          <w:color w:val="auto"/>
          <w:spacing w:val="6"/>
          <w:szCs w:val="21"/>
          <w:highlight w:val="none"/>
          <w:u w:val="single"/>
        </w:rPr>
        <w:t xml:space="preserve">         </w:t>
      </w:r>
      <w:r>
        <w:rPr>
          <w:rFonts w:ascii="宋体" w:hAnsi="宋体"/>
          <w:color w:val="auto"/>
          <w:spacing w:val="6"/>
          <w:szCs w:val="21"/>
          <w:highlight w:val="none"/>
        </w:rPr>
        <w:t>万元，属于</w:t>
      </w:r>
      <w:r>
        <w:rPr>
          <w:rFonts w:hint="eastAsia" w:ascii="宋体" w:hAnsi="宋体"/>
          <w:color w:val="auto"/>
          <w:spacing w:val="6"/>
          <w:szCs w:val="21"/>
          <w:highlight w:val="none"/>
          <w:u w:val="single"/>
        </w:rPr>
        <w:t xml:space="preserve">            </w:t>
      </w:r>
      <w:r>
        <w:rPr>
          <w:rFonts w:ascii="宋体" w:hAnsi="宋体" w:eastAsia="宋体" w:cs="Times New Roman"/>
          <w:i/>
          <w:iCs/>
          <w:color w:val="auto"/>
          <w:spacing w:val="6"/>
          <w:szCs w:val="21"/>
          <w:highlight w:val="none"/>
          <w:u w:val="single"/>
        </w:rPr>
        <w:t>(中型企业、小型企业、微型企业)</w:t>
      </w:r>
      <w:r>
        <w:rPr>
          <w:rFonts w:hint="eastAsia" w:ascii="宋体" w:hAnsi="宋体"/>
          <w:color w:val="auto"/>
          <w:spacing w:val="6"/>
          <w:szCs w:val="21"/>
          <w:highlight w:val="none"/>
        </w:rPr>
        <w:t>。</w:t>
      </w:r>
    </w:p>
    <w:p w14:paraId="30B6F4FD">
      <w:pPr>
        <w:ind w:firstLine="444" w:firstLineChars="200"/>
        <w:rPr>
          <w:rFonts w:ascii="宋体" w:hAnsi="宋体"/>
          <w:color w:val="auto"/>
          <w:spacing w:val="6"/>
          <w:szCs w:val="21"/>
          <w:highlight w:val="none"/>
        </w:rPr>
      </w:pPr>
    </w:p>
    <w:p w14:paraId="022416B7">
      <w:pPr>
        <w:ind w:firstLine="444" w:firstLineChars="200"/>
        <w:rPr>
          <w:color w:val="auto"/>
          <w:highlight w:val="none"/>
        </w:rPr>
      </w:pPr>
      <w:r>
        <w:rPr>
          <w:rFonts w:ascii="宋体" w:hAnsi="宋体"/>
          <w:color w:val="auto"/>
          <w:spacing w:val="6"/>
          <w:szCs w:val="21"/>
          <w:highlight w:val="none"/>
        </w:rPr>
        <w:t>......</w:t>
      </w:r>
    </w:p>
    <w:p w14:paraId="34F89A77">
      <w:pPr>
        <w:spacing w:line="360" w:lineRule="auto"/>
        <w:ind w:firstLine="444" w:firstLineChars="200"/>
        <w:rPr>
          <w:rFonts w:ascii="宋体" w:hAnsi="宋体"/>
          <w:color w:val="auto"/>
          <w:spacing w:val="6"/>
          <w:szCs w:val="21"/>
          <w:highlight w:val="none"/>
        </w:rPr>
      </w:pPr>
    </w:p>
    <w:p w14:paraId="1B3662EC">
      <w:pPr>
        <w:snapToGrid w:val="0"/>
        <w:spacing w:line="360" w:lineRule="auto"/>
        <w:ind w:firstLine="444" w:firstLineChars="200"/>
        <w:rPr>
          <w:rFonts w:ascii="宋体" w:hAnsi="宋体"/>
          <w:color w:val="auto"/>
          <w:spacing w:val="6"/>
          <w:szCs w:val="21"/>
          <w:highlight w:val="none"/>
        </w:rPr>
      </w:pPr>
      <w:r>
        <w:rPr>
          <w:rFonts w:ascii="宋体" w:hAnsi="宋体"/>
          <w:color w:val="auto"/>
          <w:spacing w:val="6"/>
          <w:szCs w:val="21"/>
          <w:highlight w:val="none"/>
        </w:rPr>
        <w:t>以上企业，不属于大企业的分支机构，不存在控股股东为大企业的情形，也不存在与大企业的负责人为同一人的情形。</w:t>
      </w:r>
    </w:p>
    <w:p w14:paraId="5A7DF6C5">
      <w:pPr>
        <w:snapToGrid w:val="0"/>
        <w:spacing w:line="360" w:lineRule="auto"/>
        <w:ind w:firstLine="444" w:firstLineChars="200"/>
        <w:rPr>
          <w:rFonts w:ascii="宋体" w:hAnsi="宋体"/>
          <w:color w:val="auto"/>
          <w:spacing w:val="6"/>
          <w:szCs w:val="21"/>
          <w:highlight w:val="none"/>
        </w:rPr>
      </w:pPr>
      <w:r>
        <w:rPr>
          <w:rFonts w:ascii="宋体" w:hAnsi="宋体"/>
          <w:color w:val="auto"/>
          <w:spacing w:val="6"/>
          <w:szCs w:val="21"/>
          <w:highlight w:val="none"/>
        </w:rPr>
        <w:t>本企业对上述声明内容的真实性负责。如有虚假，将依法承担相应责任。</w:t>
      </w:r>
    </w:p>
    <w:p w14:paraId="0F490CBE">
      <w:pPr>
        <w:spacing w:line="360" w:lineRule="auto"/>
        <w:ind w:firstLine="444" w:firstLineChars="200"/>
        <w:rPr>
          <w:rFonts w:ascii="宋体" w:hAnsi="宋体"/>
          <w:color w:val="auto"/>
          <w:spacing w:val="6"/>
          <w:szCs w:val="21"/>
          <w:highlight w:val="none"/>
        </w:rPr>
      </w:pPr>
    </w:p>
    <w:p w14:paraId="7A590AED">
      <w:pPr>
        <w:snapToGrid w:val="0"/>
        <w:spacing w:line="480" w:lineRule="auto"/>
        <w:ind w:left="4620" w:leftChars="2200"/>
        <w:rPr>
          <w:rFonts w:hint="eastAsia" w:ascii="宋体" w:hAnsi="宋体"/>
          <w:color w:val="auto"/>
          <w:szCs w:val="20"/>
        </w:rPr>
      </w:pPr>
      <w:r>
        <w:rPr>
          <w:rFonts w:ascii="宋体" w:hAnsi="宋体"/>
          <w:color w:val="auto"/>
          <w:szCs w:val="20"/>
        </w:rPr>
        <w:t>企业名称（盖章）：</w:t>
      </w:r>
    </w:p>
    <w:p w14:paraId="2DE023EF">
      <w:pPr>
        <w:snapToGrid w:val="0"/>
        <w:spacing w:line="480" w:lineRule="auto"/>
        <w:ind w:left="4620" w:leftChars="2200"/>
        <w:rPr>
          <w:rFonts w:ascii="宋体" w:hAnsi="宋体"/>
          <w:color w:val="auto"/>
          <w:szCs w:val="20"/>
        </w:rPr>
      </w:pPr>
      <w:r>
        <w:rPr>
          <w:rFonts w:ascii="宋体" w:hAnsi="宋体"/>
          <w:color w:val="auto"/>
          <w:szCs w:val="20"/>
        </w:rPr>
        <w:t>日期：</w:t>
      </w:r>
    </w:p>
    <w:p w14:paraId="3B323D16">
      <w:pPr>
        <w:snapToGrid w:val="0"/>
        <w:spacing w:line="480" w:lineRule="auto"/>
        <w:ind w:left="4620" w:leftChars="2200"/>
        <w:rPr>
          <w:rFonts w:ascii="宋体" w:hAnsi="宋体"/>
          <w:color w:val="auto"/>
          <w:szCs w:val="20"/>
          <w:highlight w:val="none"/>
        </w:rPr>
      </w:pPr>
    </w:p>
    <w:p w14:paraId="48C33213">
      <w:pPr>
        <w:spacing w:line="360" w:lineRule="auto"/>
        <w:rPr>
          <w:rFonts w:ascii="宋体" w:hAnsi="宋体"/>
          <w:color w:val="auto"/>
          <w:szCs w:val="22"/>
          <w:highlight w:val="none"/>
        </w:rPr>
      </w:pPr>
    </w:p>
    <w:p w14:paraId="2C752C3E">
      <w:pPr>
        <w:spacing w:line="360" w:lineRule="auto"/>
        <w:rPr>
          <w:rFonts w:ascii="宋体" w:hAnsi="宋体"/>
          <w:color w:val="auto"/>
          <w:szCs w:val="22"/>
          <w:highlight w:val="none"/>
        </w:rPr>
      </w:pPr>
    </w:p>
    <w:p w14:paraId="22464EEE">
      <w:pPr>
        <w:spacing w:line="360" w:lineRule="auto"/>
        <w:rPr>
          <w:rFonts w:ascii="宋体" w:hAnsi="宋体"/>
          <w:color w:val="auto"/>
          <w:szCs w:val="22"/>
          <w:highlight w:val="none"/>
        </w:rPr>
      </w:pPr>
    </w:p>
    <w:p w14:paraId="386CA126">
      <w:pPr>
        <w:tabs>
          <w:tab w:val="left" w:pos="1755"/>
        </w:tabs>
        <w:spacing w:line="500" w:lineRule="atLeast"/>
        <w:rPr>
          <w:rFonts w:ascii="宋体" w:hAnsi="宋体"/>
          <w:color w:val="auto"/>
          <w:szCs w:val="22"/>
          <w:highlight w:val="none"/>
        </w:rPr>
      </w:pPr>
      <w:r>
        <w:rPr>
          <w:rFonts w:hint="eastAsia" w:ascii="宋体" w:hAnsi="宋体"/>
          <w:color w:val="auto"/>
          <w:szCs w:val="22"/>
          <w:highlight w:val="none"/>
          <w:vertAlign w:val="superscript"/>
        </w:rPr>
        <w:t>1</w:t>
      </w:r>
      <w:r>
        <w:rPr>
          <w:rFonts w:ascii="宋体" w:hAnsi="宋体"/>
          <w:color w:val="auto"/>
          <w:szCs w:val="22"/>
          <w:highlight w:val="none"/>
        </w:rPr>
        <w:t>从业人员、营业收入、资产总额填报上一年度数据， 无上一年度数据的新成立企业可不填报。</w:t>
      </w:r>
    </w:p>
    <w:p w14:paraId="6D5A3B51">
      <w:pPr>
        <w:rPr>
          <w:rFonts w:ascii="黑体" w:hAnsi="宋体" w:eastAsia="黑体"/>
          <w:color w:val="auto"/>
          <w:sz w:val="28"/>
          <w:szCs w:val="28"/>
        </w:rPr>
      </w:pPr>
    </w:p>
    <w:p w14:paraId="57488761">
      <w:pPr>
        <w:pStyle w:val="2"/>
        <w:rPr>
          <w:rFonts w:ascii="黑体" w:hAnsi="宋体" w:eastAsia="黑体"/>
          <w:color w:val="auto"/>
          <w:sz w:val="28"/>
          <w:szCs w:val="28"/>
        </w:rPr>
      </w:pPr>
    </w:p>
    <w:p w14:paraId="454C4A03">
      <w:pPr>
        <w:rPr>
          <w:rFonts w:ascii="黑体" w:hAnsi="宋体" w:eastAsia="黑体"/>
          <w:color w:val="auto"/>
          <w:sz w:val="28"/>
          <w:szCs w:val="28"/>
        </w:rPr>
      </w:pPr>
    </w:p>
    <w:p w14:paraId="6973A773">
      <w:pPr>
        <w:pStyle w:val="2"/>
        <w:rPr>
          <w:rFonts w:ascii="黑体" w:hAnsi="宋体" w:eastAsia="黑体"/>
          <w:color w:val="auto"/>
          <w:sz w:val="28"/>
          <w:szCs w:val="28"/>
        </w:rPr>
      </w:pPr>
    </w:p>
    <w:p w14:paraId="6CA94D1A">
      <w:pPr>
        <w:rPr>
          <w:color w:val="auto"/>
        </w:rPr>
      </w:pPr>
    </w:p>
    <w:p w14:paraId="00AD2B2D">
      <w:pPr>
        <w:adjustRightInd w:val="0"/>
        <w:snapToGrid w:val="0"/>
        <w:spacing w:line="360" w:lineRule="auto"/>
        <w:rPr>
          <w:rFonts w:ascii="黑体" w:hAnsi="宋体" w:eastAsia="黑体"/>
          <w:color w:val="auto"/>
          <w:sz w:val="28"/>
          <w:szCs w:val="28"/>
        </w:rPr>
      </w:pPr>
      <w:r>
        <w:rPr>
          <w:rFonts w:hint="eastAsia" w:ascii="黑体" w:hAnsi="宋体" w:eastAsia="黑体"/>
          <w:color w:val="auto"/>
          <w:sz w:val="28"/>
          <w:szCs w:val="28"/>
        </w:rPr>
        <w:t>附件2：</w:t>
      </w:r>
    </w:p>
    <w:p w14:paraId="67DBE309">
      <w:pPr>
        <w:spacing w:line="588" w:lineRule="exact"/>
        <w:jc w:val="center"/>
        <w:rPr>
          <w:rFonts w:ascii="宋体" w:hAnsi="宋体"/>
          <w:b/>
          <w:color w:val="auto"/>
          <w:spacing w:val="6"/>
          <w:sz w:val="36"/>
          <w:szCs w:val="36"/>
        </w:rPr>
      </w:pPr>
      <w:bookmarkStart w:id="114" w:name="OLE_LINK14"/>
      <w:bookmarkStart w:id="115" w:name="OLE_LINK13"/>
    </w:p>
    <w:p w14:paraId="5EAD639C">
      <w:pPr>
        <w:spacing w:line="588" w:lineRule="exact"/>
        <w:jc w:val="center"/>
        <w:rPr>
          <w:rFonts w:ascii="宋体" w:hAnsi="宋体"/>
          <w:b/>
          <w:color w:val="auto"/>
          <w:spacing w:val="6"/>
          <w:sz w:val="36"/>
          <w:szCs w:val="36"/>
        </w:rPr>
      </w:pPr>
      <w:r>
        <w:rPr>
          <w:rFonts w:hint="eastAsia" w:ascii="宋体" w:hAnsi="宋体"/>
          <w:b/>
          <w:color w:val="auto"/>
          <w:spacing w:val="6"/>
          <w:sz w:val="36"/>
          <w:szCs w:val="36"/>
        </w:rPr>
        <w:t>残疾人福利性单位声明函</w:t>
      </w:r>
    </w:p>
    <w:bookmarkEnd w:id="114"/>
    <w:bookmarkEnd w:id="115"/>
    <w:p w14:paraId="25B57041">
      <w:pPr>
        <w:spacing w:line="588" w:lineRule="exact"/>
        <w:rPr>
          <w:rFonts w:ascii="仿宋_GB2312" w:eastAsia="仿宋_GB2312"/>
          <w:b/>
          <w:color w:val="auto"/>
          <w:spacing w:val="6"/>
          <w:sz w:val="30"/>
          <w:szCs w:val="30"/>
        </w:rPr>
      </w:pPr>
    </w:p>
    <w:p w14:paraId="23841CDE">
      <w:pPr>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本单位郑重声明，根据《财政部</w:t>
      </w:r>
      <w:r>
        <w:rPr>
          <w:rFonts w:ascii="宋体" w:hAnsi="宋体"/>
          <w:color w:val="auto"/>
          <w:spacing w:val="6"/>
          <w:szCs w:val="21"/>
        </w:rPr>
        <w:t xml:space="preserve"> </w:t>
      </w:r>
      <w:r>
        <w:rPr>
          <w:rFonts w:hint="eastAsia" w:ascii="宋体" w:hAnsi="宋体"/>
          <w:color w:val="auto"/>
          <w:spacing w:val="6"/>
          <w:szCs w:val="21"/>
        </w:rPr>
        <w:t>民政部</w:t>
      </w:r>
      <w:r>
        <w:rPr>
          <w:rFonts w:ascii="宋体" w:hAnsi="宋体"/>
          <w:color w:val="auto"/>
          <w:spacing w:val="6"/>
          <w:szCs w:val="21"/>
        </w:rPr>
        <w:t xml:space="preserve"> </w:t>
      </w:r>
      <w:r>
        <w:rPr>
          <w:rFonts w:hint="eastAsia" w:ascii="宋体" w:hAnsi="宋体"/>
          <w:color w:val="auto"/>
          <w:spacing w:val="6"/>
          <w:szCs w:val="21"/>
        </w:rPr>
        <w:t>中国残疾人联合会关于促进残疾人就业政府采购政策的通知》（财库</w:t>
      </w:r>
      <w:r>
        <w:rPr>
          <w:rFonts w:hint="eastAsia" w:ascii="宋体" w:hAnsi="宋体"/>
          <w:color w:val="auto"/>
          <w:szCs w:val="21"/>
        </w:rPr>
        <w:t>〔</w:t>
      </w:r>
      <w:r>
        <w:rPr>
          <w:rFonts w:ascii="宋体" w:hAnsi="宋体"/>
          <w:color w:val="auto"/>
          <w:szCs w:val="21"/>
        </w:rPr>
        <w:t>2</w:t>
      </w:r>
      <w:r>
        <w:rPr>
          <w:rFonts w:hint="eastAsia" w:ascii="宋体" w:hAnsi="宋体"/>
          <w:color w:val="auto"/>
          <w:szCs w:val="21"/>
          <w:lang w:eastAsia="zh-CN"/>
        </w:rPr>
        <w:t>037</w:t>
      </w:r>
      <w:r>
        <w:rPr>
          <w:rFonts w:hint="eastAsia" w:ascii="宋体" w:hAnsi="宋体"/>
          <w:color w:val="auto"/>
          <w:szCs w:val="21"/>
        </w:rPr>
        <w:t>〕</w:t>
      </w:r>
      <w:r>
        <w:rPr>
          <w:rFonts w:ascii="宋体" w:hAnsi="宋体"/>
          <w:color w:val="auto"/>
          <w:szCs w:val="21"/>
        </w:rPr>
        <w:t>141</w:t>
      </w:r>
      <w:r>
        <w:rPr>
          <w:rFonts w:hint="eastAsia" w:ascii="宋体" w:hAnsi="宋体"/>
          <w:color w:val="auto"/>
          <w:spacing w:val="6"/>
          <w:szCs w:val="21"/>
        </w:rPr>
        <w:t>号）的规定，本单位为符合条件的残疾人福利性单位，且本单位参加</w:t>
      </w:r>
      <w:r>
        <w:rPr>
          <w:rFonts w:ascii="宋体" w:hAnsi="宋体"/>
          <w:color w:val="auto"/>
          <w:spacing w:val="6"/>
          <w:szCs w:val="21"/>
        </w:rPr>
        <w:t>______</w:t>
      </w:r>
      <w:r>
        <w:rPr>
          <w:rFonts w:hint="eastAsia" w:ascii="宋体" w:hAnsi="宋体"/>
          <w:color w:val="auto"/>
          <w:spacing w:val="6"/>
          <w:szCs w:val="21"/>
        </w:rPr>
        <w:t>单位的</w:t>
      </w:r>
      <w:r>
        <w:rPr>
          <w:rFonts w:ascii="宋体" w:hAnsi="宋体"/>
          <w:color w:val="auto"/>
          <w:spacing w:val="6"/>
          <w:szCs w:val="21"/>
        </w:rPr>
        <w:t>______</w:t>
      </w:r>
      <w:r>
        <w:rPr>
          <w:rFonts w:hint="eastAsia" w:ascii="宋体" w:hAnsi="宋体"/>
          <w:color w:val="auto"/>
          <w:spacing w:val="6"/>
          <w:szCs w:val="21"/>
        </w:rPr>
        <w:t>项目采购活动提供本单位制造的货物（由本单位承担工程</w:t>
      </w:r>
      <w:r>
        <w:rPr>
          <w:rFonts w:ascii="宋体" w:hAnsi="宋体"/>
          <w:color w:val="auto"/>
          <w:spacing w:val="6"/>
          <w:szCs w:val="21"/>
        </w:rPr>
        <w:t>/</w:t>
      </w:r>
      <w:r>
        <w:rPr>
          <w:rFonts w:hint="eastAsia" w:ascii="宋体" w:hAnsi="宋体"/>
          <w:color w:val="auto"/>
          <w:spacing w:val="6"/>
          <w:szCs w:val="21"/>
        </w:rPr>
        <w:t>提供服务），或者提供其他残疾人福利性单位制造的货物（不包括使用非残疾人福利性单位注册商标的货物）。</w:t>
      </w:r>
    </w:p>
    <w:p w14:paraId="67158C76">
      <w:pPr>
        <w:spacing w:line="360" w:lineRule="auto"/>
        <w:ind w:firstLine="444" w:firstLineChars="200"/>
        <w:rPr>
          <w:rFonts w:ascii="宋体" w:hAnsi="宋体"/>
          <w:color w:val="auto"/>
          <w:spacing w:val="6"/>
          <w:szCs w:val="21"/>
        </w:rPr>
      </w:pPr>
      <w:r>
        <w:rPr>
          <w:rFonts w:hint="eastAsia" w:ascii="宋体" w:hAnsi="宋体"/>
          <w:color w:val="auto"/>
          <w:spacing w:val="6"/>
          <w:szCs w:val="21"/>
        </w:rPr>
        <w:t>本单位对上述声明的真实性负责。如有虚假，将依法承担相应责任。</w:t>
      </w:r>
    </w:p>
    <w:p w14:paraId="68BE78A1">
      <w:pPr>
        <w:spacing w:line="360" w:lineRule="auto"/>
        <w:ind w:firstLine="444" w:firstLineChars="200"/>
        <w:rPr>
          <w:rFonts w:ascii="宋体" w:hAnsi="宋体"/>
          <w:color w:val="auto"/>
          <w:spacing w:val="6"/>
          <w:szCs w:val="21"/>
        </w:rPr>
      </w:pPr>
    </w:p>
    <w:p w14:paraId="2715AB9F">
      <w:pPr>
        <w:spacing w:line="360" w:lineRule="auto"/>
        <w:ind w:firstLine="444" w:firstLineChars="200"/>
        <w:rPr>
          <w:rFonts w:ascii="宋体" w:hAnsi="宋体"/>
          <w:color w:val="auto"/>
          <w:spacing w:val="6"/>
          <w:szCs w:val="21"/>
        </w:rPr>
      </w:pPr>
    </w:p>
    <w:p w14:paraId="36DC4EE9">
      <w:pPr>
        <w:tabs>
          <w:tab w:val="left" w:pos="4860"/>
        </w:tabs>
        <w:spacing w:line="360" w:lineRule="auto"/>
        <w:ind w:right="1560" w:firstLine="444" w:firstLineChars="200"/>
        <w:jc w:val="center"/>
        <w:rPr>
          <w:rFonts w:ascii="宋体" w:hAnsi="宋体"/>
          <w:color w:val="auto"/>
          <w:spacing w:val="6"/>
          <w:szCs w:val="21"/>
        </w:rPr>
      </w:pPr>
      <w:r>
        <w:rPr>
          <w:rFonts w:ascii="宋体" w:hAnsi="宋体"/>
          <w:color w:val="auto"/>
          <w:spacing w:val="6"/>
          <w:szCs w:val="21"/>
        </w:rPr>
        <w:t xml:space="preserve">              </w:t>
      </w:r>
      <w:r>
        <w:rPr>
          <w:rFonts w:hint="eastAsia" w:ascii="宋体" w:hAnsi="宋体"/>
          <w:color w:val="auto"/>
          <w:spacing w:val="6"/>
          <w:szCs w:val="21"/>
        </w:rPr>
        <w:t xml:space="preserve">            单位名称：</w:t>
      </w:r>
      <w:r>
        <w:rPr>
          <w:rFonts w:hint="eastAsia" w:ascii="宋体" w:hAnsi="宋体"/>
          <w:color w:val="auto"/>
          <w:spacing w:val="6"/>
          <w:szCs w:val="21"/>
          <w:u w:val="single"/>
        </w:rPr>
        <w:t xml:space="preserve">              </w:t>
      </w:r>
      <w:r>
        <w:rPr>
          <w:rFonts w:hint="eastAsia" w:ascii="宋体" w:hAnsi="宋体"/>
          <w:color w:val="auto"/>
          <w:spacing w:val="6"/>
          <w:szCs w:val="21"/>
        </w:rPr>
        <w:t>（盖单位章）</w:t>
      </w:r>
    </w:p>
    <w:p w14:paraId="6B2A81CC">
      <w:pPr>
        <w:tabs>
          <w:tab w:val="left" w:pos="4860"/>
        </w:tabs>
        <w:spacing w:line="360" w:lineRule="auto"/>
        <w:ind w:right="1560" w:firstLine="444" w:firstLineChars="200"/>
        <w:jc w:val="center"/>
        <w:rPr>
          <w:rFonts w:ascii="宋体" w:hAnsi="宋体"/>
          <w:color w:val="auto"/>
          <w:spacing w:val="6"/>
          <w:szCs w:val="21"/>
        </w:rPr>
      </w:pPr>
      <w:r>
        <w:rPr>
          <w:rFonts w:ascii="宋体" w:hAnsi="宋体"/>
          <w:color w:val="auto"/>
          <w:spacing w:val="6"/>
          <w:szCs w:val="21"/>
        </w:rPr>
        <w:t xml:space="preserve"> </w:t>
      </w:r>
    </w:p>
    <w:p w14:paraId="4226F4CE">
      <w:pPr>
        <w:tabs>
          <w:tab w:val="left" w:pos="4860"/>
        </w:tabs>
        <w:spacing w:line="360" w:lineRule="auto"/>
        <w:ind w:right="1560" w:firstLine="444" w:firstLineChars="200"/>
        <w:jc w:val="center"/>
        <w:rPr>
          <w:rFonts w:ascii="宋体" w:hAnsi="宋体"/>
          <w:color w:val="auto"/>
          <w:szCs w:val="21"/>
        </w:rPr>
      </w:pPr>
      <w:r>
        <w:rPr>
          <w:rFonts w:hint="eastAsia" w:ascii="宋体" w:hAnsi="宋体"/>
          <w:color w:val="auto"/>
          <w:spacing w:val="6"/>
          <w:szCs w:val="21"/>
        </w:rPr>
        <w:t xml:space="preserve">                   日</w:t>
      </w:r>
      <w:r>
        <w:rPr>
          <w:rFonts w:ascii="宋体" w:hAnsi="宋体"/>
          <w:color w:val="auto"/>
          <w:spacing w:val="6"/>
          <w:szCs w:val="21"/>
        </w:rPr>
        <w:t xml:space="preserve"> </w:t>
      </w:r>
      <w:r>
        <w:rPr>
          <w:rFonts w:hint="eastAsia" w:ascii="宋体" w:hAnsi="宋体"/>
          <w:color w:val="auto"/>
          <w:spacing w:val="6"/>
          <w:szCs w:val="21"/>
        </w:rPr>
        <w:t xml:space="preserve">   期：</w:t>
      </w:r>
      <w:r>
        <w:rPr>
          <w:rFonts w:hint="eastAsia" w:ascii="宋体" w:hAnsi="宋体"/>
          <w:color w:val="auto"/>
          <w:spacing w:val="6"/>
          <w:szCs w:val="21"/>
          <w:u w:val="single"/>
        </w:rPr>
        <w:t xml:space="preserve">    </w:t>
      </w:r>
      <w:r>
        <w:rPr>
          <w:rFonts w:hint="eastAsia" w:ascii="宋体" w:hAnsi="宋体"/>
          <w:color w:val="auto"/>
          <w:spacing w:val="6"/>
          <w:szCs w:val="21"/>
        </w:rPr>
        <w:t>年</w:t>
      </w:r>
      <w:r>
        <w:rPr>
          <w:rFonts w:hint="eastAsia" w:ascii="宋体" w:hAnsi="宋体"/>
          <w:color w:val="auto"/>
          <w:spacing w:val="6"/>
          <w:szCs w:val="21"/>
          <w:u w:val="single"/>
        </w:rPr>
        <w:t xml:space="preserve">    </w:t>
      </w:r>
      <w:r>
        <w:rPr>
          <w:rFonts w:hint="eastAsia" w:ascii="宋体" w:hAnsi="宋体"/>
          <w:color w:val="auto"/>
          <w:spacing w:val="6"/>
          <w:szCs w:val="21"/>
        </w:rPr>
        <w:t>月</w:t>
      </w:r>
      <w:r>
        <w:rPr>
          <w:rFonts w:hint="eastAsia" w:ascii="宋体" w:hAnsi="宋体"/>
          <w:color w:val="auto"/>
          <w:spacing w:val="6"/>
          <w:szCs w:val="21"/>
          <w:u w:val="single"/>
        </w:rPr>
        <w:t xml:space="preserve">   </w:t>
      </w:r>
      <w:r>
        <w:rPr>
          <w:rFonts w:hint="eastAsia" w:ascii="宋体" w:hAnsi="宋体"/>
          <w:color w:val="auto"/>
          <w:spacing w:val="6"/>
          <w:szCs w:val="21"/>
        </w:rPr>
        <w:t>日</w:t>
      </w:r>
    </w:p>
    <w:p w14:paraId="515528CC">
      <w:pPr>
        <w:adjustRightInd w:val="0"/>
        <w:snapToGrid w:val="0"/>
        <w:spacing w:line="360" w:lineRule="auto"/>
        <w:rPr>
          <w:rFonts w:ascii="宋体" w:hAnsi="宋体"/>
          <w:b/>
          <w:color w:val="auto"/>
          <w:sz w:val="24"/>
        </w:rPr>
      </w:pPr>
    </w:p>
    <w:p w14:paraId="63CC75BE">
      <w:pPr>
        <w:adjustRightInd w:val="0"/>
        <w:snapToGrid w:val="0"/>
        <w:spacing w:before="50" w:line="360" w:lineRule="auto"/>
        <w:jc w:val="center"/>
        <w:rPr>
          <w:rFonts w:ascii="宋体" w:hAnsi="宋体"/>
          <w:b/>
          <w:color w:val="auto"/>
          <w:sz w:val="36"/>
          <w:szCs w:val="36"/>
        </w:rPr>
      </w:pPr>
    </w:p>
    <w:p w14:paraId="0527B26E">
      <w:pPr>
        <w:adjustRightInd w:val="0"/>
        <w:snapToGrid w:val="0"/>
        <w:spacing w:before="50" w:line="360" w:lineRule="auto"/>
        <w:jc w:val="center"/>
        <w:rPr>
          <w:rFonts w:ascii="宋体" w:hAnsi="宋体"/>
          <w:b/>
          <w:color w:val="auto"/>
          <w:sz w:val="36"/>
          <w:szCs w:val="36"/>
        </w:rPr>
      </w:pPr>
    </w:p>
    <w:p w14:paraId="52CC5AF0">
      <w:pPr>
        <w:adjustRightInd w:val="0"/>
        <w:snapToGrid w:val="0"/>
        <w:spacing w:before="50" w:line="360" w:lineRule="auto"/>
        <w:jc w:val="center"/>
        <w:rPr>
          <w:rFonts w:ascii="宋体" w:hAnsi="宋体"/>
          <w:b/>
          <w:color w:val="auto"/>
          <w:sz w:val="36"/>
          <w:szCs w:val="36"/>
        </w:rPr>
      </w:pPr>
    </w:p>
    <w:p w14:paraId="2551173D">
      <w:pPr>
        <w:adjustRightInd w:val="0"/>
        <w:snapToGrid w:val="0"/>
        <w:spacing w:before="50" w:line="360" w:lineRule="auto"/>
        <w:jc w:val="center"/>
        <w:rPr>
          <w:rFonts w:ascii="宋体" w:hAnsi="宋体"/>
          <w:b/>
          <w:color w:val="auto"/>
          <w:sz w:val="36"/>
          <w:szCs w:val="36"/>
        </w:rPr>
      </w:pPr>
    </w:p>
    <w:p w14:paraId="278ADBB7">
      <w:pPr>
        <w:adjustRightInd w:val="0"/>
        <w:snapToGrid w:val="0"/>
        <w:spacing w:line="360" w:lineRule="exact"/>
        <w:rPr>
          <w:rFonts w:ascii="楷体" w:hAnsi="楷体" w:eastAsia="楷体"/>
          <w:color w:val="auto"/>
          <w:szCs w:val="21"/>
        </w:rPr>
      </w:pPr>
      <w:r>
        <w:rPr>
          <w:rFonts w:hint="eastAsia" w:ascii="楷体" w:hAnsi="楷体" w:eastAsia="楷体"/>
          <w:color w:val="auto"/>
          <w:szCs w:val="21"/>
        </w:rPr>
        <w:t>说明：（1）填报前请认真阅读</w:t>
      </w:r>
      <w:r>
        <w:rPr>
          <w:rFonts w:hint="eastAsia" w:ascii="楷体" w:hAnsi="楷体" w:eastAsia="楷体"/>
          <w:color w:val="auto"/>
          <w:spacing w:val="6"/>
          <w:szCs w:val="21"/>
        </w:rPr>
        <w:t>《财政部、民政部、中国残疾人联合会关于促进残疾人就业政府采购政策的通知》（财库</w:t>
      </w:r>
      <w:r>
        <w:rPr>
          <w:rFonts w:hint="eastAsia" w:ascii="楷体" w:hAnsi="楷体" w:eastAsia="楷体"/>
          <w:color w:val="auto"/>
          <w:szCs w:val="21"/>
        </w:rPr>
        <w:t>〔</w:t>
      </w:r>
      <w:r>
        <w:rPr>
          <w:rFonts w:ascii="楷体" w:hAnsi="楷体" w:eastAsia="楷体"/>
          <w:color w:val="auto"/>
          <w:szCs w:val="21"/>
        </w:rPr>
        <w:t>2</w:t>
      </w:r>
      <w:r>
        <w:rPr>
          <w:rFonts w:hint="eastAsia" w:ascii="楷体" w:hAnsi="楷体" w:eastAsia="楷体"/>
          <w:color w:val="auto"/>
          <w:szCs w:val="21"/>
          <w:lang w:eastAsia="zh-CN"/>
        </w:rPr>
        <w:t>037</w:t>
      </w:r>
      <w:r>
        <w:rPr>
          <w:rFonts w:hint="eastAsia" w:ascii="楷体" w:hAnsi="楷体" w:eastAsia="楷体"/>
          <w:color w:val="auto"/>
          <w:szCs w:val="21"/>
        </w:rPr>
        <w:t>〕</w:t>
      </w:r>
      <w:r>
        <w:rPr>
          <w:rFonts w:ascii="楷体" w:hAnsi="楷体" w:eastAsia="楷体"/>
          <w:color w:val="auto"/>
          <w:szCs w:val="21"/>
        </w:rPr>
        <w:t>14</w:t>
      </w:r>
      <w:r>
        <w:rPr>
          <w:rFonts w:hint="eastAsia" w:ascii="楷体" w:hAnsi="楷体" w:eastAsia="楷体"/>
          <w:color w:val="auto"/>
          <w:szCs w:val="21"/>
        </w:rPr>
        <w:t>1</w:t>
      </w:r>
      <w:r>
        <w:rPr>
          <w:rFonts w:hint="eastAsia" w:ascii="楷体" w:hAnsi="楷体" w:eastAsia="楷体"/>
          <w:color w:val="auto"/>
          <w:spacing w:val="6"/>
          <w:szCs w:val="21"/>
        </w:rPr>
        <w:t>号）的规定。</w:t>
      </w:r>
    </w:p>
    <w:p w14:paraId="454AC792">
      <w:pPr>
        <w:adjustRightInd w:val="0"/>
        <w:snapToGrid w:val="0"/>
        <w:spacing w:line="360" w:lineRule="exact"/>
        <w:ind w:firstLine="525" w:firstLineChars="250"/>
        <w:rPr>
          <w:rFonts w:ascii="楷体" w:hAnsi="楷体" w:eastAsia="楷体"/>
          <w:bCs/>
          <w:color w:val="auto"/>
          <w:szCs w:val="21"/>
        </w:rPr>
      </w:pPr>
      <w:r>
        <w:rPr>
          <w:rFonts w:hint="eastAsia" w:ascii="楷体" w:hAnsi="楷体" w:eastAsia="楷体"/>
          <w:color w:val="auto"/>
          <w:szCs w:val="21"/>
        </w:rPr>
        <w:t>（2）供应商属于残疾人福利性单位的，必须填报有关数据，</w:t>
      </w:r>
      <w:r>
        <w:rPr>
          <w:rFonts w:hint="eastAsia" w:ascii="楷体" w:hAnsi="楷体" w:eastAsia="楷体"/>
          <w:bCs/>
          <w:color w:val="auto"/>
          <w:szCs w:val="21"/>
        </w:rPr>
        <w:t>未按要求提供的，不享受报价扣除优惠政策。</w:t>
      </w:r>
    </w:p>
    <w:p w14:paraId="3FEC2CA1">
      <w:pPr>
        <w:adjustRightInd w:val="0"/>
        <w:snapToGrid w:val="0"/>
        <w:spacing w:line="360" w:lineRule="exact"/>
        <w:ind w:firstLine="525" w:firstLineChars="250"/>
        <w:rPr>
          <w:rFonts w:ascii="楷体" w:hAnsi="楷体" w:eastAsia="楷体"/>
          <w:color w:val="auto"/>
          <w:szCs w:val="21"/>
        </w:rPr>
      </w:pPr>
    </w:p>
    <w:p w14:paraId="0001D13B">
      <w:pPr>
        <w:pStyle w:val="11"/>
        <w:rPr>
          <w:color w:val="auto"/>
        </w:rPr>
      </w:pPr>
    </w:p>
    <w:p w14:paraId="68EB5ADC">
      <w:pPr>
        <w:adjustRightInd w:val="0"/>
        <w:snapToGrid w:val="0"/>
        <w:spacing w:line="360" w:lineRule="auto"/>
        <w:rPr>
          <w:rFonts w:ascii="宋体" w:hAnsi="宋体"/>
          <w:b/>
          <w:color w:val="auto"/>
          <w:sz w:val="28"/>
          <w:szCs w:val="28"/>
        </w:rPr>
      </w:pPr>
    </w:p>
    <w:p w14:paraId="2EBB6B41">
      <w:pPr>
        <w:pStyle w:val="2"/>
        <w:rPr>
          <w:rFonts w:ascii="宋体" w:hAnsi="宋体"/>
          <w:b/>
          <w:color w:val="auto"/>
          <w:sz w:val="28"/>
          <w:szCs w:val="28"/>
        </w:rPr>
      </w:pPr>
    </w:p>
    <w:p w14:paraId="6FE1A832">
      <w:pPr>
        <w:rPr>
          <w:color w:val="auto"/>
        </w:rPr>
      </w:pPr>
    </w:p>
    <w:p w14:paraId="3328E988">
      <w:pPr>
        <w:pStyle w:val="11"/>
        <w:rPr>
          <w:color w:val="auto"/>
        </w:rPr>
      </w:pPr>
    </w:p>
    <w:p w14:paraId="3BECD423">
      <w:pPr>
        <w:adjustRightInd w:val="0"/>
        <w:snapToGrid w:val="0"/>
        <w:spacing w:line="360" w:lineRule="auto"/>
        <w:rPr>
          <w:rFonts w:hint="eastAsia" w:ascii="黑体" w:hAnsi="宋体" w:eastAsia="黑体"/>
          <w:color w:val="auto"/>
          <w:sz w:val="28"/>
          <w:szCs w:val="28"/>
        </w:rPr>
      </w:pPr>
      <w:r>
        <w:rPr>
          <w:rFonts w:hint="eastAsia" w:ascii="黑体" w:hAnsi="宋体" w:eastAsia="黑体"/>
          <w:color w:val="auto"/>
          <w:sz w:val="28"/>
          <w:szCs w:val="28"/>
        </w:rPr>
        <w:t>附件3：</w:t>
      </w:r>
    </w:p>
    <w:p w14:paraId="69DFE21B">
      <w:pPr>
        <w:adjustRightInd w:val="0"/>
        <w:snapToGrid w:val="0"/>
        <w:spacing w:before="50" w:line="360" w:lineRule="auto"/>
        <w:jc w:val="center"/>
        <w:rPr>
          <w:rFonts w:ascii="宋体" w:hAnsi="宋体"/>
          <w:b/>
          <w:color w:val="auto"/>
          <w:sz w:val="36"/>
          <w:szCs w:val="36"/>
        </w:rPr>
      </w:pPr>
      <w:r>
        <w:rPr>
          <w:rFonts w:hint="eastAsia" w:ascii="宋体" w:hAnsi="宋体"/>
          <w:b/>
          <w:color w:val="auto"/>
          <w:sz w:val="36"/>
          <w:szCs w:val="36"/>
        </w:rPr>
        <w:t>监狱企业证明文件</w:t>
      </w:r>
    </w:p>
    <w:p w14:paraId="39304CC2">
      <w:pPr>
        <w:adjustRightInd w:val="0"/>
        <w:snapToGrid w:val="0"/>
        <w:spacing w:before="50" w:line="360" w:lineRule="auto"/>
        <w:jc w:val="center"/>
        <w:rPr>
          <w:rFonts w:ascii="宋体" w:hAnsi="宋体"/>
          <w:b/>
          <w:color w:val="auto"/>
          <w:sz w:val="36"/>
          <w:szCs w:val="36"/>
        </w:rPr>
      </w:pPr>
    </w:p>
    <w:p w14:paraId="553BDA1C">
      <w:pPr>
        <w:pStyle w:val="2"/>
        <w:rPr>
          <w:rFonts w:ascii="宋体" w:hAnsi="宋体"/>
          <w:b/>
          <w:color w:val="auto"/>
          <w:sz w:val="36"/>
          <w:szCs w:val="36"/>
        </w:rPr>
      </w:pPr>
    </w:p>
    <w:p w14:paraId="5C3D1E54">
      <w:pPr>
        <w:rPr>
          <w:rFonts w:ascii="宋体" w:hAnsi="宋体"/>
          <w:b/>
          <w:color w:val="auto"/>
          <w:sz w:val="36"/>
          <w:szCs w:val="36"/>
        </w:rPr>
      </w:pPr>
    </w:p>
    <w:p w14:paraId="30C7B880">
      <w:pPr>
        <w:pStyle w:val="2"/>
        <w:rPr>
          <w:rFonts w:ascii="宋体" w:hAnsi="宋体"/>
          <w:b/>
          <w:color w:val="auto"/>
          <w:sz w:val="36"/>
          <w:szCs w:val="36"/>
        </w:rPr>
      </w:pPr>
    </w:p>
    <w:p w14:paraId="2812E39D">
      <w:pPr>
        <w:rPr>
          <w:rFonts w:ascii="宋体" w:hAnsi="宋体"/>
          <w:b/>
          <w:color w:val="auto"/>
          <w:sz w:val="36"/>
          <w:szCs w:val="36"/>
        </w:rPr>
      </w:pPr>
    </w:p>
    <w:p w14:paraId="64B4714E">
      <w:pPr>
        <w:pStyle w:val="2"/>
        <w:rPr>
          <w:rFonts w:ascii="宋体" w:hAnsi="宋体"/>
          <w:b/>
          <w:color w:val="auto"/>
          <w:sz w:val="36"/>
          <w:szCs w:val="36"/>
        </w:rPr>
      </w:pPr>
    </w:p>
    <w:p w14:paraId="4C5B6063">
      <w:pPr>
        <w:rPr>
          <w:rFonts w:ascii="宋体" w:hAnsi="宋体"/>
          <w:b/>
          <w:color w:val="auto"/>
          <w:sz w:val="36"/>
          <w:szCs w:val="36"/>
        </w:rPr>
      </w:pPr>
    </w:p>
    <w:p w14:paraId="01AE1ECE">
      <w:pPr>
        <w:pStyle w:val="2"/>
        <w:rPr>
          <w:rFonts w:ascii="宋体" w:hAnsi="宋体"/>
          <w:b/>
          <w:color w:val="auto"/>
          <w:sz w:val="36"/>
          <w:szCs w:val="36"/>
        </w:rPr>
      </w:pPr>
    </w:p>
    <w:p w14:paraId="1BB66335">
      <w:pPr>
        <w:rPr>
          <w:rFonts w:ascii="宋体" w:hAnsi="宋体"/>
          <w:b/>
          <w:color w:val="auto"/>
          <w:sz w:val="36"/>
          <w:szCs w:val="36"/>
        </w:rPr>
      </w:pPr>
    </w:p>
    <w:p w14:paraId="33677FB2">
      <w:pPr>
        <w:pStyle w:val="2"/>
        <w:rPr>
          <w:rFonts w:ascii="宋体" w:hAnsi="宋体"/>
          <w:b/>
          <w:color w:val="auto"/>
          <w:sz w:val="36"/>
          <w:szCs w:val="36"/>
        </w:rPr>
      </w:pPr>
    </w:p>
    <w:p w14:paraId="1A421F1D">
      <w:pPr>
        <w:rPr>
          <w:rFonts w:ascii="宋体" w:hAnsi="宋体"/>
          <w:b/>
          <w:color w:val="auto"/>
          <w:sz w:val="36"/>
          <w:szCs w:val="36"/>
        </w:rPr>
      </w:pPr>
    </w:p>
    <w:p w14:paraId="63BF1990">
      <w:pPr>
        <w:pStyle w:val="2"/>
        <w:rPr>
          <w:color w:val="auto"/>
        </w:rPr>
      </w:pPr>
    </w:p>
    <w:p w14:paraId="28124EEF">
      <w:pPr>
        <w:adjustRightInd w:val="0"/>
        <w:snapToGrid w:val="0"/>
        <w:spacing w:line="360" w:lineRule="auto"/>
        <w:rPr>
          <w:rFonts w:ascii="楷体" w:hAnsi="楷体" w:eastAsia="楷体"/>
          <w:color w:val="auto"/>
          <w:szCs w:val="21"/>
        </w:rPr>
      </w:pPr>
      <w:r>
        <w:rPr>
          <w:rFonts w:hint="eastAsia" w:ascii="楷体" w:hAnsi="楷体" w:eastAsia="楷体"/>
          <w:color w:val="auto"/>
          <w:szCs w:val="21"/>
        </w:rPr>
        <w:t>说明：</w:t>
      </w:r>
    </w:p>
    <w:p w14:paraId="039E1DF6">
      <w:pPr>
        <w:adjustRightInd w:val="0"/>
        <w:snapToGrid w:val="0"/>
        <w:spacing w:line="360" w:lineRule="exact"/>
        <w:ind w:firstLine="420" w:firstLineChars="200"/>
        <w:rPr>
          <w:rFonts w:ascii="楷体" w:hAnsi="楷体" w:eastAsia="楷体"/>
          <w:bCs/>
          <w:color w:val="auto"/>
          <w:szCs w:val="21"/>
        </w:rPr>
      </w:pPr>
      <w:r>
        <w:rPr>
          <w:rFonts w:hint="eastAsia" w:ascii="楷体" w:hAnsi="楷体" w:eastAsia="楷体"/>
          <w:color w:val="auto"/>
          <w:szCs w:val="21"/>
        </w:rPr>
        <w:t>1.填报前请认真阅读</w:t>
      </w:r>
      <w:r>
        <w:rPr>
          <w:rFonts w:hint="eastAsia" w:ascii="楷体" w:hAnsi="楷体" w:eastAsia="楷体"/>
          <w:color w:val="auto"/>
          <w:spacing w:val="6"/>
          <w:szCs w:val="21"/>
        </w:rPr>
        <w:t>《财政部、司法部关于政府采购支持监狱企业发展有关问题的通知》（财库</w:t>
      </w:r>
      <w:r>
        <w:rPr>
          <w:rFonts w:hint="eastAsia" w:ascii="楷体" w:hAnsi="楷体" w:eastAsia="楷体"/>
          <w:color w:val="auto"/>
          <w:szCs w:val="21"/>
        </w:rPr>
        <w:t>〔</w:t>
      </w:r>
      <w:r>
        <w:rPr>
          <w:rFonts w:ascii="楷体" w:hAnsi="楷体" w:eastAsia="楷体"/>
          <w:color w:val="auto"/>
          <w:szCs w:val="21"/>
        </w:rPr>
        <w:t>201</w:t>
      </w:r>
      <w:r>
        <w:rPr>
          <w:rFonts w:hint="eastAsia" w:ascii="楷体" w:hAnsi="楷体" w:eastAsia="楷体"/>
          <w:color w:val="auto"/>
          <w:szCs w:val="21"/>
        </w:rPr>
        <w:t>4〕68</w:t>
      </w:r>
      <w:r>
        <w:rPr>
          <w:rFonts w:hint="eastAsia" w:ascii="楷体" w:hAnsi="楷体" w:eastAsia="楷体"/>
          <w:color w:val="auto"/>
          <w:spacing w:val="6"/>
          <w:szCs w:val="21"/>
        </w:rPr>
        <w:t>号）的规定；</w:t>
      </w:r>
    </w:p>
    <w:p w14:paraId="5B88FC5A">
      <w:pPr>
        <w:adjustRightInd w:val="0"/>
        <w:snapToGrid w:val="0"/>
        <w:spacing w:line="360" w:lineRule="exact"/>
        <w:ind w:firstLine="420" w:firstLineChars="200"/>
        <w:rPr>
          <w:rFonts w:ascii="楷体" w:hAnsi="楷体" w:eastAsia="楷体"/>
          <w:bCs/>
          <w:color w:val="auto"/>
          <w:szCs w:val="21"/>
        </w:rPr>
      </w:pPr>
      <w:r>
        <w:rPr>
          <w:rFonts w:hint="eastAsia" w:ascii="楷体" w:hAnsi="楷体" w:eastAsia="楷体"/>
          <w:bCs/>
          <w:color w:val="auto"/>
          <w:szCs w:val="21"/>
        </w:rPr>
        <w:t>2.无格式要求，由出具监狱企业证明的单位自行拟定；</w:t>
      </w:r>
    </w:p>
    <w:p w14:paraId="39AFE2E8">
      <w:pPr>
        <w:adjustRightInd w:val="0"/>
        <w:snapToGrid w:val="0"/>
        <w:spacing w:line="360" w:lineRule="exact"/>
        <w:ind w:firstLine="525" w:firstLineChars="250"/>
        <w:rPr>
          <w:rFonts w:ascii="楷体" w:hAnsi="楷体" w:eastAsia="楷体"/>
          <w:bCs/>
          <w:color w:val="auto"/>
          <w:szCs w:val="21"/>
        </w:rPr>
      </w:pPr>
      <w:r>
        <w:rPr>
          <w:rFonts w:hint="eastAsia" w:ascii="楷体" w:hAnsi="楷体" w:eastAsia="楷体"/>
          <w:color w:val="auto"/>
          <w:szCs w:val="21"/>
        </w:rPr>
        <w:t>供应商属于监狱企业的，</w:t>
      </w:r>
      <w:r>
        <w:rPr>
          <w:rFonts w:hint="eastAsia" w:ascii="楷体" w:hAnsi="楷体" w:eastAsia="楷体"/>
          <w:bCs/>
          <w:color w:val="auto"/>
          <w:szCs w:val="21"/>
        </w:rPr>
        <w:t>未按上述要求提供的，不享受报价扣除优惠政策。</w:t>
      </w:r>
    </w:p>
    <w:p w14:paraId="375DBBD4">
      <w:pPr>
        <w:adjustRightInd w:val="0"/>
        <w:snapToGrid w:val="0"/>
        <w:spacing w:line="360" w:lineRule="exact"/>
        <w:ind w:left="525" w:leftChars="250"/>
        <w:rPr>
          <w:rFonts w:ascii="楷体" w:hAnsi="楷体" w:eastAsia="楷体"/>
          <w:bCs/>
          <w:color w:val="auto"/>
          <w:szCs w:val="21"/>
        </w:rPr>
      </w:pPr>
    </w:p>
    <w:p w14:paraId="2AFDA664">
      <w:pPr>
        <w:pStyle w:val="2"/>
        <w:rPr>
          <w:rFonts w:eastAsia="楷体"/>
          <w:color w:val="auto"/>
        </w:rPr>
      </w:pPr>
    </w:p>
    <w:p w14:paraId="22350E93">
      <w:pPr>
        <w:adjustRightInd w:val="0"/>
        <w:snapToGrid w:val="0"/>
        <w:spacing w:line="360" w:lineRule="auto"/>
        <w:ind w:firstLine="525"/>
        <w:rPr>
          <w:rFonts w:ascii="楷体" w:hAnsi="楷体" w:eastAsia="楷体"/>
          <w:color w:val="auto"/>
          <w:szCs w:val="21"/>
        </w:rPr>
      </w:pPr>
    </w:p>
    <w:p w14:paraId="565C16B4">
      <w:pPr>
        <w:rPr>
          <w:rFonts w:ascii="楷体" w:hAnsi="楷体" w:eastAsia="楷体"/>
          <w:color w:val="auto"/>
          <w:szCs w:val="21"/>
        </w:rPr>
      </w:pPr>
      <w:r>
        <w:rPr>
          <w:rFonts w:hint="eastAsia" w:ascii="楷体" w:hAnsi="楷体" w:eastAsia="楷体"/>
          <w:color w:val="auto"/>
          <w:szCs w:val="21"/>
        </w:rPr>
        <w:br w:type="page"/>
      </w:r>
    </w:p>
    <w:bookmarkEnd w:id="113"/>
    <w:p w14:paraId="2E7561E1">
      <w:pPr>
        <w:adjustRightInd w:val="0"/>
        <w:snapToGrid w:val="0"/>
        <w:jc w:val="center"/>
        <w:rPr>
          <w:rFonts w:ascii="宋体" w:hAnsi="宋体"/>
          <w:b/>
          <w:bCs/>
          <w:color w:val="auto"/>
          <w:sz w:val="36"/>
          <w:szCs w:val="36"/>
        </w:rPr>
      </w:pPr>
      <w:r>
        <w:rPr>
          <w:rFonts w:hint="eastAsia" w:ascii="宋体" w:hAnsi="宋体"/>
          <w:b/>
          <w:bCs/>
          <w:color w:val="auto"/>
          <w:sz w:val="36"/>
          <w:szCs w:val="36"/>
        </w:rPr>
        <w:t>十</w:t>
      </w:r>
      <w:r>
        <w:rPr>
          <w:rFonts w:hint="eastAsia" w:ascii="宋体" w:hAnsi="宋体"/>
          <w:b/>
          <w:bCs/>
          <w:color w:val="auto"/>
          <w:sz w:val="36"/>
          <w:szCs w:val="36"/>
          <w:lang w:val="en-US" w:eastAsia="zh-CN"/>
        </w:rPr>
        <w:t>四</w:t>
      </w:r>
      <w:r>
        <w:rPr>
          <w:rFonts w:hint="eastAsia" w:ascii="宋体" w:hAnsi="宋体"/>
          <w:b/>
          <w:bCs/>
          <w:color w:val="auto"/>
          <w:sz w:val="36"/>
          <w:szCs w:val="36"/>
        </w:rPr>
        <w:t>、供应商认为需要提供的其他文件和资料</w:t>
      </w:r>
    </w:p>
    <w:p w14:paraId="06C64F31">
      <w:pPr>
        <w:tabs>
          <w:tab w:val="left" w:pos="3600"/>
        </w:tabs>
        <w:adjustRightInd w:val="0"/>
        <w:snapToGrid w:val="0"/>
        <w:spacing w:line="360" w:lineRule="auto"/>
        <w:ind w:firstLine="723" w:firstLineChars="200"/>
        <w:jc w:val="left"/>
        <w:rPr>
          <w:rFonts w:ascii="宋体" w:hAnsi="宋体"/>
          <w:b/>
          <w:bCs/>
          <w:color w:val="auto"/>
          <w:sz w:val="36"/>
          <w:szCs w:val="36"/>
        </w:rPr>
      </w:pPr>
    </w:p>
    <w:p w14:paraId="5B44A3D8">
      <w:pPr>
        <w:pStyle w:val="13"/>
        <w:rPr>
          <w:rFonts w:ascii="宋体" w:hAnsi="宋体"/>
          <w:b/>
          <w:bCs/>
          <w:color w:val="auto"/>
          <w:sz w:val="36"/>
          <w:szCs w:val="36"/>
        </w:rPr>
      </w:pPr>
    </w:p>
    <w:p w14:paraId="17B4A555">
      <w:pPr>
        <w:pStyle w:val="13"/>
        <w:rPr>
          <w:rFonts w:ascii="宋体" w:hAnsi="宋体"/>
          <w:b/>
          <w:bCs/>
          <w:color w:val="auto"/>
          <w:sz w:val="36"/>
          <w:szCs w:val="36"/>
        </w:rPr>
      </w:pPr>
    </w:p>
    <w:p w14:paraId="50CE35B4">
      <w:pPr>
        <w:pStyle w:val="13"/>
        <w:rPr>
          <w:rFonts w:ascii="宋体" w:hAnsi="宋体"/>
          <w:b/>
          <w:bCs/>
          <w:color w:val="auto"/>
          <w:sz w:val="36"/>
          <w:szCs w:val="36"/>
        </w:rPr>
      </w:pPr>
    </w:p>
    <w:p w14:paraId="1643EB69">
      <w:pPr>
        <w:pStyle w:val="13"/>
        <w:rPr>
          <w:rFonts w:ascii="宋体" w:hAnsi="宋体"/>
          <w:b/>
          <w:bCs/>
          <w:color w:val="auto"/>
          <w:sz w:val="36"/>
          <w:szCs w:val="36"/>
        </w:rPr>
      </w:pPr>
    </w:p>
    <w:p w14:paraId="5304E526">
      <w:pPr>
        <w:pStyle w:val="13"/>
        <w:rPr>
          <w:rFonts w:ascii="宋体" w:hAnsi="宋体"/>
          <w:b/>
          <w:bCs/>
          <w:color w:val="auto"/>
          <w:sz w:val="36"/>
          <w:szCs w:val="36"/>
        </w:rPr>
      </w:pPr>
    </w:p>
    <w:p w14:paraId="77917A05">
      <w:pPr>
        <w:pStyle w:val="13"/>
        <w:rPr>
          <w:rFonts w:ascii="宋体" w:hAnsi="宋体"/>
          <w:b/>
          <w:bCs/>
          <w:color w:val="auto"/>
          <w:sz w:val="36"/>
          <w:szCs w:val="36"/>
        </w:rPr>
      </w:pPr>
    </w:p>
    <w:p w14:paraId="71DF0461">
      <w:pPr>
        <w:pStyle w:val="13"/>
        <w:rPr>
          <w:rFonts w:ascii="宋体" w:hAnsi="宋体"/>
          <w:b/>
          <w:bCs/>
          <w:color w:val="auto"/>
          <w:sz w:val="36"/>
          <w:szCs w:val="36"/>
        </w:rPr>
      </w:pPr>
    </w:p>
    <w:p w14:paraId="4FCDD6FA">
      <w:pPr>
        <w:pStyle w:val="13"/>
        <w:rPr>
          <w:rFonts w:ascii="宋体" w:hAnsi="宋体"/>
          <w:b/>
          <w:bCs/>
          <w:color w:val="auto"/>
          <w:sz w:val="36"/>
          <w:szCs w:val="36"/>
        </w:rPr>
      </w:pPr>
    </w:p>
    <w:p w14:paraId="33BE6420">
      <w:pPr>
        <w:pStyle w:val="13"/>
        <w:rPr>
          <w:rFonts w:ascii="宋体" w:hAnsi="宋体"/>
          <w:b/>
          <w:bCs/>
          <w:color w:val="auto"/>
          <w:sz w:val="36"/>
          <w:szCs w:val="36"/>
        </w:rPr>
      </w:pPr>
    </w:p>
    <w:p w14:paraId="3E96D1EC">
      <w:pPr>
        <w:pStyle w:val="13"/>
        <w:rPr>
          <w:rFonts w:ascii="宋体" w:hAnsi="宋体"/>
          <w:b/>
          <w:bCs/>
          <w:color w:val="auto"/>
          <w:sz w:val="36"/>
          <w:szCs w:val="36"/>
        </w:rPr>
      </w:pPr>
    </w:p>
    <w:p w14:paraId="4E4686C7">
      <w:pPr>
        <w:pStyle w:val="13"/>
        <w:rPr>
          <w:rFonts w:ascii="宋体" w:hAnsi="宋体"/>
          <w:b/>
          <w:bCs/>
          <w:color w:val="auto"/>
          <w:sz w:val="36"/>
          <w:szCs w:val="36"/>
        </w:rPr>
      </w:pPr>
    </w:p>
    <w:p w14:paraId="6B76A300">
      <w:pPr>
        <w:pStyle w:val="13"/>
        <w:rPr>
          <w:rFonts w:ascii="宋体" w:hAnsi="宋体"/>
          <w:b/>
          <w:bCs/>
          <w:color w:val="auto"/>
          <w:sz w:val="36"/>
          <w:szCs w:val="36"/>
        </w:rPr>
      </w:pPr>
    </w:p>
    <w:p w14:paraId="70A9A7FF">
      <w:pPr>
        <w:pStyle w:val="13"/>
        <w:rPr>
          <w:rFonts w:ascii="宋体" w:hAnsi="宋体"/>
          <w:b/>
          <w:bCs/>
          <w:color w:val="auto"/>
          <w:sz w:val="36"/>
          <w:szCs w:val="36"/>
        </w:rPr>
      </w:pPr>
    </w:p>
    <w:p w14:paraId="0191EF2C">
      <w:pPr>
        <w:pStyle w:val="13"/>
        <w:rPr>
          <w:rFonts w:ascii="宋体" w:hAnsi="宋体"/>
          <w:b/>
          <w:bCs/>
          <w:color w:val="auto"/>
          <w:sz w:val="36"/>
          <w:szCs w:val="36"/>
        </w:rPr>
      </w:pPr>
    </w:p>
    <w:p w14:paraId="75DABA4B">
      <w:pPr>
        <w:pStyle w:val="13"/>
        <w:rPr>
          <w:rFonts w:ascii="宋体" w:hAnsi="宋体"/>
          <w:b/>
          <w:bCs/>
          <w:color w:val="auto"/>
          <w:sz w:val="36"/>
          <w:szCs w:val="36"/>
        </w:rPr>
      </w:pPr>
    </w:p>
    <w:p w14:paraId="22EE8A45">
      <w:pPr>
        <w:pStyle w:val="13"/>
        <w:rPr>
          <w:rFonts w:ascii="宋体" w:hAnsi="宋体"/>
          <w:b/>
          <w:bCs/>
          <w:color w:val="auto"/>
          <w:sz w:val="36"/>
          <w:szCs w:val="36"/>
        </w:rPr>
      </w:pPr>
    </w:p>
    <w:p w14:paraId="77DE4C38">
      <w:pPr>
        <w:pStyle w:val="13"/>
        <w:rPr>
          <w:rFonts w:ascii="宋体" w:hAnsi="宋体"/>
          <w:b/>
          <w:bCs/>
          <w:color w:val="auto"/>
          <w:sz w:val="36"/>
          <w:szCs w:val="36"/>
        </w:rPr>
      </w:pPr>
    </w:p>
    <w:p w14:paraId="30AC2422">
      <w:pPr>
        <w:pStyle w:val="13"/>
        <w:rPr>
          <w:rFonts w:ascii="宋体" w:hAnsi="宋体"/>
          <w:b/>
          <w:bCs/>
          <w:color w:val="auto"/>
          <w:sz w:val="36"/>
          <w:szCs w:val="36"/>
        </w:rPr>
      </w:pPr>
    </w:p>
    <w:p w14:paraId="0F2200CF">
      <w:pPr>
        <w:pStyle w:val="13"/>
        <w:rPr>
          <w:rFonts w:ascii="宋体" w:hAnsi="宋体"/>
          <w:b/>
          <w:bCs/>
          <w:color w:val="auto"/>
          <w:sz w:val="36"/>
          <w:szCs w:val="36"/>
        </w:rPr>
      </w:pPr>
    </w:p>
    <w:p w14:paraId="506EF1C8">
      <w:pPr>
        <w:pStyle w:val="13"/>
        <w:rPr>
          <w:rFonts w:ascii="宋体" w:hAnsi="宋体"/>
          <w:b/>
          <w:bCs/>
          <w:color w:val="auto"/>
          <w:sz w:val="36"/>
          <w:szCs w:val="36"/>
        </w:rPr>
      </w:pPr>
    </w:p>
    <w:p w14:paraId="1CC118E1">
      <w:pPr>
        <w:pStyle w:val="13"/>
        <w:rPr>
          <w:rFonts w:ascii="宋体" w:hAnsi="宋体"/>
          <w:b/>
          <w:bCs/>
          <w:color w:val="auto"/>
          <w:sz w:val="36"/>
          <w:szCs w:val="36"/>
        </w:rPr>
      </w:pPr>
    </w:p>
    <w:p w14:paraId="5E16A22B">
      <w:pPr>
        <w:pStyle w:val="13"/>
        <w:rPr>
          <w:rFonts w:ascii="宋体" w:hAnsi="宋体"/>
          <w:b/>
          <w:bCs/>
          <w:color w:val="auto"/>
          <w:sz w:val="36"/>
          <w:szCs w:val="36"/>
        </w:rPr>
      </w:pPr>
    </w:p>
    <w:p w14:paraId="1CB4F21A">
      <w:pPr>
        <w:pStyle w:val="13"/>
        <w:rPr>
          <w:rFonts w:ascii="宋体" w:hAnsi="宋体"/>
          <w:b/>
          <w:bCs/>
          <w:color w:val="auto"/>
          <w:sz w:val="36"/>
          <w:szCs w:val="36"/>
        </w:rPr>
      </w:pPr>
    </w:p>
    <w:p w14:paraId="41B405C0">
      <w:pPr>
        <w:pStyle w:val="13"/>
        <w:rPr>
          <w:rFonts w:ascii="宋体" w:hAnsi="宋体"/>
          <w:b/>
          <w:bCs/>
          <w:color w:val="auto"/>
          <w:sz w:val="36"/>
          <w:szCs w:val="36"/>
        </w:rPr>
      </w:pPr>
    </w:p>
    <w:p w14:paraId="121D0078">
      <w:pPr>
        <w:pStyle w:val="13"/>
        <w:rPr>
          <w:rFonts w:ascii="宋体" w:hAnsi="宋体"/>
          <w:b/>
          <w:bCs/>
          <w:color w:val="auto"/>
          <w:sz w:val="36"/>
          <w:szCs w:val="36"/>
        </w:rPr>
      </w:pPr>
    </w:p>
    <w:p w14:paraId="3C884797">
      <w:pPr>
        <w:pStyle w:val="13"/>
        <w:rPr>
          <w:rFonts w:ascii="宋体" w:hAnsi="宋体"/>
          <w:b/>
          <w:bCs/>
          <w:color w:val="auto"/>
          <w:sz w:val="36"/>
          <w:szCs w:val="36"/>
        </w:rPr>
      </w:pPr>
    </w:p>
    <w:p w14:paraId="11549262">
      <w:pPr>
        <w:pStyle w:val="13"/>
        <w:rPr>
          <w:rFonts w:ascii="宋体" w:hAnsi="宋体"/>
          <w:b/>
          <w:bCs/>
          <w:color w:val="auto"/>
          <w:sz w:val="36"/>
          <w:szCs w:val="36"/>
        </w:rPr>
      </w:pPr>
    </w:p>
    <w:p w14:paraId="3FBE6D97">
      <w:pPr>
        <w:pStyle w:val="13"/>
        <w:rPr>
          <w:rFonts w:ascii="宋体" w:hAnsi="宋体"/>
          <w:b/>
          <w:bCs/>
          <w:color w:val="auto"/>
          <w:sz w:val="36"/>
          <w:szCs w:val="36"/>
        </w:rPr>
      </w:pPr>
    </w:p>
    <w:p w14:paraId="6AB9FB57">
      <w:pPr>
        <w:pStyle w:val="13"/>
        <w:rPr>
          <w:rFonts w:ascii="宋体" w:hAnsi="宋体"/>
          <w:b/>
          <w:bCs/>
          <w:color w:val="auto"/>
          <w:sz w:val="36"/>
          <w:szCs w:val="36"/>
        </w:rPr>
      </w:pPr>
    </w:p>
    <w:p w14:paraId="2FC06042">
      <w:pPr>
        <w:pStyle w:val="13"/>
        <w:rPr>
          <w:rFonts w:ascii="宋体" w:hAnsi="宋体"/>
          <w:b/>
          <w:bCs/>
          <w:color w:val="auto"/>
          <w:sz w:val="36"/>
          <w:szCs w:val="36"/>
        </w:rPr>
      </w:pPr>
    </w:p>
    <w:p w14:paraId="477D8707">
      <w:pPr>
        <w:pStyle w:val="13"/>
        <w:rPr>
          <w:rFonts w:ascii="宋体" w:hAnsi="宋体"/>
          <w:b/>
          <w:bCs/>
          <w:color w:val="auto"/>
          <w:sz w:val="36"/>
          <w:szCs w:val="36"/>
        </w:rPr>
      </w:pPr>
    </w:p>
    <w:p w14:paraId="14DAC23D">
      <w:pPr>
        <w:pStyle w:val="13"/>
        <w:rPr>
          <w:rFonts w:ascii="宋体" w:hAnsi="宋体"/>
          <w:b/>
          <w:bCs/>
          <w:color w:val="auto"/>
          <w:sz w:val="36"/>
          <w:szCs w:val="36"/>
        </w:rPr>
      </w:pPr>
    </w:p>
    <w:p w14:paraId="63E0961F">
      <w:pPr>
        <w:pStyle w:val="13"/>
        <w:rPr>
          <w:rFonts w:ascii="宋体" w:hAnsi="宋体"/>
          <w:b/>
          <w:bCs/>
          <w:color w:val="auto"/>
          <w:sz w:val="36"/>
          <w:szCs w:val="36"/>
        </w:rPr>
      </w:pPr>
    </w:p>
    <w:p w14:paraId="7CA720D1">
      <w:pPr>
        <w:pStyle w:val="13"/>
        <w:rPr>
          <w:rFonts w:ascii="宋体" w:hAnsi="宋体"/>
          <w:b/>
          <w:bCs/>
          <w:color w:val="auto"/>
          <w:sz w:val="36"/>
          <w:szCs w:val="36"/>
        </w:rPr>
      </w:pPr>
    </w:p>
    <w:p w14:paraId="13C3460B">
      <w:pPr>
        <w:pStyle w:val="13"/>
        <w:rPr>
          <w:rFonts w:ascii="宋体" w:hAnsi="宋体"/>
          <w:b/>
          <w:bCs/>
          <w:color w:val="auto"/>
          <w:sz w:val="36"/>
          <w:szCs w:val="36"/>
        </w:rPr>
      </w:pPr>
    </w:p>
    <w:p w14:paraId="3AFDD47B">
      <w:pPr>
        <w:pStyle w:val="13"/>
        <w:rPr>
          <w:rFonts w:ascii="宋体" w:hAnsi="宋体"/>
          <w:b/>
          <w:bCs/>
          <w:color w:val="auto"/>
          <w:sz w:val="36"/>
          <w:szCs w:val="36"/>
        </w:rPr>
      </w:pPr>
    </w:p>
    <w:p w14:paraId="6880ACB9">
      <w:pPr>
        <w:pStyle w:val="13"/>
        <w:rPr>
          <w:rFonts w:ascii="宋体" w:hAnsi="宋体"/>
          <w:b/>
          <w:bCs/>
          <w:color w:val="auto"/>
          <w:sz w:val="36"/>
          <w:szCs w:val="36"/>
        </w:rPr>
      </w:pPr>
    </w:p>
    <w:p w14:paraId="7A852A08">
      <w:pPr>
        <w:pStyle w:val="8"/>
        <w:spacing w:before="120" w:beforeLines="50"/>
        <w:ind w:firstLine="0"/>
        <w:jc w:val="center"/>
        <w:outlineLvl w:val="9"/>
        <w:rPr>
          <w:rFonts w:ascii="宋体" w:hAnsi="宋体"/>
          <w:b/>
          <w:color w:val="auto"/>
          <w:sz w:val="72"/>
          <w:szCs w:val="72"/>
        </w:rPr>
      </w:pPr>
      <w:bookmarkStart w:id="116" w:name="_Toc15461"/>
      <w:r>
        <w:rPr>
          <w:rFonts w:hint="eastAsia" w:ascii="宋体" w:hAnsi="宋体"/>
          <w:b/>
          <w:color w:val="auto"/>
          <w:sz w:val="72"/>
          <w:szCs w:val="72"/>
        </w:rPr>
        <w:t>商务与技术部分</w:t>
      </w:r>
      <w:bookmarkEnd w:id="116"/>
    </w:p>
    <w:p w14:paraId="7593CD75">
      <w:pPr>
        <w:pStyle w:val="8"/>
        <w:spacing w:before="120" w:beforeLines="50"/>
        <w:ind w:firstLine="0"/>
        <w:rPr>
          <w:rFonts w:ascii="仿宋_GB2312" w:eastAsia="仿宋_GB2312"/>
          <w:color w:val="auto"/>
          <w:sz w:val="36"/>
          <w:szCs w:val="36"/>
        </w:rPr>
      </w:pPr>
    </w:p>
    <w:p w14:paraId="5EBB8033">
      <w:pPr>
        <w:pStyle w:val="8"/>
        <w:spacing w:before="120" w:beforeLines="50"/>
        <w:ind w:firstLine="0"/>
        <w:rPr>
          <w:rFonts w:ascii="仿宋_GB2312" w:eastAsia="仿宋_GB2312"/>
          <w:color w:val="auto"/>
          <w:sz w:val="36"/>
          <w:szCs w:val="36"/>
        </w:rPr>
      </w:pPr>
    </w:p>
    <w:p w14:paraId="25EA30BF">
      <w:pPr>
        <w:pStyle w:val="8"/>
        <w:spacing w:before="120" w:beforeLines="50"/>
        <w:ind w:firstLine="0"/>
        <w:rPr>
          <w:rFonts w:ascii="仿宋_GB2312" w:eastAsia="仿宋_GB2312"/>
          <w:color w:val="auto"/>
          <w:sz w:val="36"/>
          <w:szCs w:val="36"/>
        </w:rPr>
      </w:pPr>
    </w:p>
    <w:p w14:paraId="31EED35E">
      <w:pPr>
        <w:pStyle w:val="8"/>
        <w:spacing w:before="120" w:beforeLines="50"/>
        <w:ind w:firstLine="0"/>
        <w:rPr>
          <w:rFonts w:ascii="仿宋_GB2312" w:eastAsia="仿宋_GB2312"/>
          <w:color w:val="auto"/>
          <w:sz w:val="36"/>
          <w:szCs w:val="36"/>
        </w:rPr>
      </w:pPr>
    </w:p>
    <w:p w14:paraId="39FBBC30">
      <w:pPr>
        <w:spacing w:line="400" w:lineRule="exact"/>
        <w:jc w:val="center"/>
        <w:outlineLvl w:val="9"/>
        <w:rPr>
          <w:rFonts w:ascii="仿宋_GB2312" w:eastAsia="仿宋_GB2312"/>
          <w:b/>
          <w:bCs/>
          <w:color w:val="auto"/>
          <w:sz w:val="28"/>
          <w:szCs w:val="28"/>
        </w:rPr>
      </w:pPr>
      <w:r>
        <w:rPr>
          <w:rFonts w:ascii="仿宋_GB2312" w:eastAsia="仿宋_GB2312"/>
          <w:color w:val="auto"/>
          <w:sz w:val="36"/>
          <w:szCs w:val="36"/>
        </w:rPr>
        <w:br w:type="page"/>
      </w:r>
      <w:bookmarkStart w:id="117" w:name="_Toc1609"/>
      <w:r>
        <w:rPr>
          <w:rFonts w:hint="eastAsia" w:ascii="宋体" w:hAnsi="宋体"/>
          <w:b/>
          <w:bCs/>
          <w:color w:val="auto"/>
          <w:sz w:val="36"/>
          <w:szCs w:val="36"/>
        </w:rPr>
        <w:t>一、竞争性磋商响应函</w:t>
      </w:r>
      <w:bookmarkEnd w:id="117"/>
    </w:p>
    <w:p w14:paraId="56436AB3">
      <w:pPr>
        <w:pStyle w:val="12"/>
        <w:spacing w:after="240" w:afterLines="100" w:line="400" w:lineRule="exact"/>
        <w:ind w:firstLine="0"/>
        <w:rPr>
          <w:rFonts w:ascii="宋体" w:hAnsi="宋体"/>
          <w:bCs/>
          <w:color w:val="auto"/>
          <w:sz w:val="21"/>
          <w:szCs w:val="21"/>
        </w:rPr>
      </w:pPr>
      <w:r>
        <w:rPr>
          <w:rFonts w:hint="eastAsia" w:ascii="宋体" w:hAnsi="宋体"/>
          <w:b/>
          <w:bCs/>
          <w:color w:val="auto"/>
          <w:sz w:val="21"/>
          <w:szCs w:val="21"/>
        </w:rPr>
        <w:t>陕西优正项目管理有限公司</w:t>
      </w:r>
      <w:r>
        <w:rPr>
          <w:rFonts w:hint="eastAsia" w:ascii="宋体" w:hAnsi="宋体"/>
          <w:bCs/>
          <w:color w:val="auto"/>
          <w:sz w:val="21"/>
          <w:szCs w:val="21"/>
        </w:rPr>
        <w:t>：</w:t>
      </w:r>
    </w:p>
    <w:p w14:paraId="7551FF03">
      <w:pPr>
        <w:pStyle w:val="12"/>
        <w:spacing w:line="360" w:lineRule="auto"/>
        <w:ind w:firstLine="420" w:firstLineChars="200"/>
        <w:rPr>
          <w:rFonts w:ascii="宋体" w:hAnsi="宋体"/>
          <w:color w:val="auto"/>
          <w:sz w:val="21"/>
          <w:szCs w:val="21"/>
        </w:rPr>
      </w:pPr>
      <w:r>
        <w:rPr>
          <w:rFonts w:hint="eastAsia" w:ascii="宋体" w:hAnsi="宋体"/>
          <w:color w:val="auto"/>
          <w:sz w:val="21"/>
          <w:szCs w:val="21"/>
        </w:rPr>
        <w:t>我方已仔细研究了</w:t>
      </w:r>
      <w:r>
        <w:rPr>
          <w:rFonts w:hint="eastAsia" w:ascii="宋体" w:hAnsi="宋体"/>
          <w:color w:val="auto"/>
          <w:sz w:val="21"/>
          <w:szCs w:val="21"/>
          <w:u w:val="single"/>
        </w:rPr>
        <w:t xml:space="preserve">                   (</w:t>
      </w:r>
      <w:r>
        <w:rPr>
          <w:rFonts w:hint="eastAsia" w:ascii="宋体" w:hAnsi="宋体"/>
          <w:color w:val="auto"/>
          <w:sz w:val="21"/>
          <w:szCs w:val="21"/>
        </w:rPr>
        <w:t>项目名称)的磋商文件（项目编号：</w:t>
      </w:r>
      <w:r>
        <w:rPr>
          <w:rFonts w:hint="eastAsia" w:ascii="宋体" w:hAnsi="宋体"/>
          <w:color w:val="auto"/>
          <w:sz w:val="21"/>
          <w:szCs w:val="21"/>
          <w:u w:val="single"/>
        </w:rPr>
        <w:t xml:space="preserve">            </w:t>
      </w:r>
      <w:r>
        <w:rPr>
          <w:rFonts w:hint="eastAsia" w:ascii="宋体" w:hAnsi="宋体"/>
          <w:color w:val="auto"/>
          <w:sz w:val="21"/>
          <w:szCs w:val="21"/>
        </w:rPr>
        <w:t>）的全部内容，知悉参加磋商的风险，我方承诺接受磋商文件的全部条款且无任何异议，</w:t>
      </w:r>
      <w:r>
        <w:rPr>
          <w:rFonts w:hint="eastAsia" w:ascii="宋体" w:hAnsi="宋体"/>
          <w:bCs/>
          <w:color w:val="auto"/>
          <w:sz w:val="21"/>
          <w:szCs w:val="21"/>
        </w:rPr>
        <w:t>决定参加贵单位组织的本项目磋商。</w:t>
      </w:r>
    </w:p>
    <w:p w14:paraId="67828EA4">
      <w:pPr>
        <w:pStyle w:val="11"/>
        <w:adjustRightInd w:val="0"/>
        <w:snapToGrid w:val="0"/>
        <w:spacing w:line="360" w:lineRule="auto"/>
        <w:ind w:firstLine="420" w:firstLineChars="200"/>
        <w:rPr>
          <w:rFonts w:hAnsi="宋体"/>
          <w:bCs/>
          <w:color w:val="auto"/>
        </w:rPr>
      </w:pPr>
      <w:r>
        <w:rPr>
          <w:rFonts w:hint="eastAsia" w:hAnsi="宋体"/>
          <w:color w:val="auto"/>
        </w:rPr>
        <w:t>一、我方提交响应文件正本一套和副本</w:t>
      </w:r>
      <w:r>
        <w:rPr>
          <w:rFonts w:hint="eastAsia" w:hAnsi="宋体"/>
          <w:color w:val="auto"/>
          <w:u w:val="single"/>
        </w:rPr>
        <w:t xml:space="preserve">    </w:t>
      </w:r>
      <w:r>
        <w:rPr>
          <w:rFonts w:hint="eastAsia" w:hAnsi="宋体"/>
          <w:color w:val="auto"/>
        </w:rPr>
        <w:t>套，</w:t>
      </w:r>
      <w:r>
        <w:rPr>
          <w:rFonts w:hint="eastAsia" w:hAnsi="宋体"/>
          <w:bCs/>
          <w:color w:val="auto"/>
        </w:rPr>
        <w:t>电子文件</w:t>
      </w:r>
      <w:r>
        <w:rPr>
          <w:rFonts w:hint="eastAsia" w:hAnsi="宋体"/>
          <w:bCs/>
          <w:color w:val="auto"/>
          <w:u w:val="single"/>
        </w:rPr>
        <w:t xml:space="preserve">    </w:t>
      </w:r>
      <w:r>
        <w:rPr>
          <w:rFonts w:hint="eastAsia" w:hAnsi="宋体"/>
          <w:bCs/>
          <w:color w:val="auto"/>
        </w:rPr>
        <w:t>份。</w:t>
      </w:r>
    </w:p>
    <w:p w14:paraId="370999E0">
      <w:pPr>
        <w:pStyle w:val="11"/>
        <w:adjustRightInd w:val="0"/>
        <w:snapToGrid w:val="0"/>
        <w:spacing w:line="360" w:lineRule="auto"/>
        <w:ind w:firstLine="420" w:firstLineChars="200"/>
        <w:rPr>
          <w:rFonts w:hAnsi="宋体"/>
          <w:color w:val="auto"/>
        </w:rPr>
      </w:pPr>
      <w:r>
        <w:rPr>
          <w:rFonts w:hint="eastAsia" w:hAnsi="宋体"/>
          <w:color w:val="auto"/>
        </w:rPr>
        <w:t>二、我方的磋商总报价为人民币（大写）</w:t>
      </w:r>
      <w:r>
        <w:rPr>
          <w:rFonts w:hint="eastAsia" w:hAnsi="宋体"/>
          <w:color w:val="auto"/>
          <w:u w:val="single"/>
        </w:rPr>
        <w:t xml:space="preserve">            </w:t>
      </w:r>
      <w:r>
        <w:rPr>
          <w:rFonts w:hint="eastAsia" w:hAnsi="宋体"/>
          <w:color w:val="auto"/>
        </w:rPr>
        <w:t xml:space="preserve"> （小写￥</w:t>
      </w:r>
      <w:r>
        <w:rPr>
          <w:rFonts w:hint="eastAsia" w:hAnsi="宋体"/>
          <w:color w:val="auto"/>
          <w:u w:val="single"/>
        </w:rPr>
        <w:t xml:space="preserve">          </w:t>
      </w:r>
      <w:r>
        <w:rPr>
          <w:rFonts w:hint="eastAsia" w:hAnsi="宋体"/>
          <w:color w:val="auto"/>
        </w:rPr>
        <w:t xml:space="preserve"> 元）</w:t>
      </w:r>
      <w:r>
        <w:rPr>
          <w:rFonts w:hint="eastAsia" w:hAnsi="宋体"/>
          <w:color w:val="auto"/>
          <w:lang w:eastAsia="zh-CN"/>
        </w:rPr>
        <w:t>，</w:t>
      </w:r>
      <w:r>
        <w:rPr>
          <w:rFonts w:hint="eastAsia" w:hAnsi="宋体"/>
          <w:color w:val="auto"/>
          <w:lang w:val="en-US" w:eastAsia="zh-CN"/>
        </w:rPr>
        <w:t>服务期</w:t>
      </w:r>
      <w:r>
        <w:rPr>
          <w:rFonts w:hint="eastAsia" w:hAnsi="宋体"/>
          <w:color w:val="auto"/>
        </w:rPr>
        <w:t>为</w:t>
      </w:r>
      <w:r>
        <w:rPr>
          <w:rFonts w:hint="eastAsia" w:hAnsi="宋体"/>
          <w:bCs/>
          <w:color w:val="auto"/>
          <w:u w:val="single"/>
        </w:rPr>
        <w:t xml:space="preserve">        </w:t>
      </w:r>
      <w:r>
        <w:rPr>
          <w:rFonts w:hint="eastAsia" w:hAnsi="宋体"/>
          <w:color w:val="auto"/>
        </w:rPr>
        <w:t>， 磋商有效期为</w:t>
      </w:r>
      <w:r>
        <w:rPr>
          <w:rFonts w:hint="eastAsia" w:hAnsi="宋体"/>
          <w:color w:val="auto"/>
          <w:lang w:val="en-US" w:eastAsia="zh-CN"/>
        </w:rPr>
        <w:t>首次</w:t>
      </w:r>
      <w:r>
        <w:rPr>
          <w:rFonts w:hint="eastAsia"/>
          <w:color w:val="auto"/>
          <w:lang w:val="zh-CN"/>
        </w:rPr>
        <w:t>提交响应文件截止日起</w:t>
      </w:r>
      <w:r>
        <w:rPr>
          <w:rFonts w:hint="eastAsia"/>
          <w:color w:val="auto"/>
          <w:u w:val="single"/>
          <w:lang w:val="zh-CN"/>
        </w:rPr>
        <w:t xml:space="preserve">     </w:t>
      </w:r>
      <w:r>
        <w:rPr>
          <w:rFonts w:hint="eastAsia"/>
          <w:color w:val="auto"/>
          <w:lang w:val="zh-CN"/>
        </w:rPr>
        <w:t>日历</w:t>
      </w:r>
      <w:r>
        <w:rPr>
          <w:rFonts w:hint="eastAsia"/>
          <w:color w:val="auto"/>
        </w:rPr>
        <w:t>天。</w:t>
      </w:r>
    </w:p>
    <w:p w14:paraId="06EE3DAE">
      <w:pPr>
        <w:pStyle w:val="12"/>
        <w:spacing w:line="360" w:lineRule="auto"/>
        <w:ind w:firstLine="420" w:firstLineChars="200"/>
        <w:rPr>
          <w:rFonts w:ascii="宋体" w:hAnsi="宋体"/>
          <w:bCs/>
          <w:color w:val="auto"/>
          <w:sz w:val="21"/>
          <w:szCs w:val="21"/>
        </w:rPr>
      </w:pPr>
      <w:r>
        <w:rPr>
          <w:rFonts w:hint="eastAsia" w:ascii="宋体" w:hAnsi="宋体"/>
          <w:bCs/>
          <w:color w:val="auto"/>
          <w:sz w:val="21"/>
          <w:szCs w:val="21"/>
        </w:rPr>
        <w:t>三、我方承诺除商务和服务（技术）偏离表列出的偏差外，我方响应磋商文件的全部要求。</w:t>
      </w:r>
    </w:p>
    <w:p w14:paraId="43F2A5E5">
      <w:pPr>
        <w:pStyle w:val="11"/>
        <w:adjustRightInd w:val="0"/>
        <w:snapToGrid w:val="0"/>
        <w:spacing w:line="360" w:lineRule="auto"/>
        <w:ind w:firstLine="420" w:firstLineChars="200"/>
        <w:rPr>
          <w:rFonts w:hAnsi="宋体"/>
          <w:color w:val="auto"/>
        </w:rPr>
      </w:pPr>
      <w:r>
        <w:rPr>
          <w:rFonts w:hint="eastAsia" w:hAnsi="宋体"/>
          <w:color w:val="auto"/>
        </w:rPr>
        <w:t>四、我方愿意向贵方提供任何与本项采购有关的数据、情况和技术资料。若贵方需要，我方愿意提供我方作出的一切承诺的证明材料。</w:t>
      </w:r>
    </w:p>
    <w:p w14:paraId="23375ABC">
      <w:pPr>
        <w:pStyle w:val="12"/>
        <w:spacing w:line="360" w:lineRule="auto"/>
        <w:ind w:firstLine="420" w:firstLineChars="200"/>
        <w:rPr>
          <w:rFonts w:ascii="宋体" w:hAnsi="宋体"/>
          <w:bCs/>
          <w:color w:val="auto"/>
          <w:sz w:val="21"/>
          <w:szCs w:val="21"/>
        </w:rPr>
      </w:pPr>
      <w:r>
        <w:rPr>
          <w:rFonts w:hint="eastAsia" w:ascii="宋体" w:hAnsi="宋体"/>
          <w:color w:val="auto"/>
          <w:sz w:val="21"/>
          <w:szCs w:val="21"/>
        </w:rPr>
        <w:t>五、</w:t>
      </w:r>
      <w:r>
        <w:rPr>
          <w:rFonts w:hint="eastAsia" w:ascii="宋体" w:hAnsi="宋体"/>
          <w:bCs/>
          <w:color w:val="auto"/>
          <w:sz w:val="21"/>
          <w:szCs w:val="21"/>
        </w:rPr>
        <w:t>我方承诺在磋商文件规定的磋商有效期内不撤销响应文件。</w:t>
      </w:r>
    </w:p>
    <w:p w14:paraId="62920A6F">
      <w:pPr>
        <w:pStyle w:val="11"/>
        <w:adjustRightInd w:val="0"/>
        <w:snapToGrid w:val="0"/>
        <w:spacing w:line="360" w:lineRule="auto"/>
        <w:ind w:firstLine="420" w:firstLineChars="200"/>
        <w:rPr>
          <w:rFonts w:hAnsi="宋体"/>
          <w:color w:val="auto"/>
        </w:rPr>
      </w:pPr>
      <w:r>
        <w:rPr>
          <w:rFonts w:hint="eastAsia" w:hAnsi="宋体"/>
          <w:color w:val="auto"/>
        </w:rPr>
        <w:t>六、我方承诺遵守《中华人民共和国政府采购法》及其实施条例等法律法规的有关规定，保证在获得成交资格后：</w:t>
      </w:r>
    </w:p>
    <w:p w14:paraId="2A1E40A2">
      <w:pPr>
        <w:pStyle w:val="12"/>
        <w:spacing w:line="360" w:lineRule="auto"/>
        <w:ind w:firstLine="420" w:firstLineChars="200"/>
        <w:rPr>
          <w:rFonts w:ascii="宋体" w:hAnsi="宋体"/>
          <w:color w:val="auto"/>
          <w:sz w:val="21"/>
          <w:szCs w:val="21"/>
        </w:rPr>
      </w:pPr>
      <w:r>
        <w:rPr>
          <w:rFonts w:hint="eastAsia" w:ascii="宋体" w:hAnsi="宋体"/>
          <w:color w:val="auto"/>
          <w:sz w:val="21"/>
          <w:szCs w:val="21"/>
        </w:rPr>
        <w:t>1.在收到成交通知书后，在成交通知书规定的期限内与采购人签订合同；</w:t>
      </w:r>
    </w:p>
    <w:p w14:paraId="35C8409A">
      <w:pPr>
        <w:pStyle w:val="12"/>
        <w:spacing w:line="360" w:lineRule="auto"/>
        <w:ind w:firstLine="420" w:firstLineChars="200"/>
        <w:rPr>
          <w:rFonts w:ascii="宋体" w:hAnsi="宋体"/>
          <w:color w:val="auto"/>
          <w:sz w:val="21"/>
          <w:szCs w:val="21"/>
        </w:rPr>
      </w:pPr>
      <w:r>
        <w:rPr>
          <w:rFonts w:hint="eastAsia" w:ascii="宋体" w:hAnsi="宋体"/>
          <w:color w:val="auto"/>
          <w:sz w:val="21"/>
          <w:szCs w:val="21"/>
        </w:rPr>
        <w:t>2.在签订合同时不向采购人提出附加条件；</w:t>
      </w:r>
    </w:p>
    <w:p w14:paraId="200516FA">
      <w:pPr>
        <w:pStyle w:val="12"/>
        <w:spacing w:line="360" w:lineRule="auto"/>
        <w:ind w:firstLine="420" w:firstLineChars="200"/>
        <w:rPr>
          <w:rFonts w:ascii="宋体" w:hAnsi="宋体"/>
          <w:bCs/>
          <w:color w:val="auto"/>
          <w:sz w:val="21"/>
          <w:szCs w:val="21"/>
        </w:rPr>
      </w:pPr>
      <w:r>
        <w:rPr>
          <w:rFonts w:hint="eastAsia" w:ascii="宋体" w:hAnsi="宋体"/>
          <w:color w:val="auto"/>
          <w:sz w:val="21"/>
          <w:szCs w:val="21"/>
        </w:rPr>
        <w:t>3.在合同规定期限内完成合同规定的全部义务；</w:t>
      </w:r>
      <w:r>
        <w:rPr>
          <w:rFonts w:hint="eastAsia" w:ascii="宋体" w:hAnsi="宋体"/>
          <w:bCs/>
          <w:color w:val="auto"/>
          <w:sz w:val="21"/>
          <w:szCs w:val="21"/>
        </w:rPr>
        <w:t xml:space="preserve"> </w:t>
      </w:r>
    </w:p>
    <w:p w14:paraId="1C6D9EB4">
      <w:pPr>
        <w:pStyle w:val="11"/>
        <w:adjustRightInd w:val="0"/>
        <w:snapToGrid w:val="0"/>
        <w:spacing w:line="360" w:lineRule="auto"/>
        <w:ind w:firstLine="420" w:firstLineChars="200"/>
        <w:rPr>
          <w:rFonts w:hAnsi="宋体"/>
          <w:color w:val="auto"/>
        </w:rPr>
      </w:pPr>
      <w:r>
        <w:rPr>
          <w:rFonts w:hint="eastAsia" w:hAnsi="宋体"/>
          <w:color w:val="auto"/>
          <w:lang w:val="en-US" w:eastAsia="zh-CN"/>
        </w:rPr>
        <w:t>4</w:t>
      </w:r>
      <w:r>
        <w:rPr>
          <w:rFonts w:hint="eastAsia" w:hAnsi="宋体"/>
          <w:color w:val="auto"/>
        </w:rPr>
        <w:t>.按照磋商文件规定提交履约保证金。</w:t>
      </w:r>
    </w:p>
    <w:p w14:paraId="353F1102">
      <w:pPr>
        <w:pStyle w:val="11"/>
        <w:adjustRightInd w:val="0"/>
        <w:snapToGrid w:val="0"/>
        <w:spacing w:line="360" w:lineRule="auto"/>
        <w:ind w:firstLine="420" w:firstLineChars="200"/>
        <w:rPr>
          <w:rFonts w:hAnsi="宋体"/>
          <w:color w:val="auto"/>
        </w:rPr>
      </w:pPr>
      <w:r>
        <w:rPr>
          <w:rFonts w:hint="eastAsia" w:hAnsi="宋体"/>
          <w:color w:val="auto"/>
        </w:rPr>
        <w:t>七、我方完全理解并同意磋商文件中有关不退还磋商保证金条款所规定的情形。</w:t>
      </w:r>
    </w:p>
    <w:p w14:paraId="75C63B4D">
      <w:pPr>
        <w:pStyle w:val="12"/>
        <w:spacing w:line="360" w:lineRule="auto"/>
        <w:ind w:firstLine="420" w:firstLineChars="200"/>
        <w:rPr>
          <w:rFonts w:ascii="宋体" w:hAnsi="宋体"/>
          <w:bCs/>
          <w:color w:val="auto"/>
          <w:sz w:val="21"/>
          <w:szCs w:val="21"/>
        </w:rPr>
      </w:pPr>
      <w:r>
        <w:rPr>
          <w:rFonts w:hint="eastAsia" w:ascii="宋体" w:hAnsi="宋体"/>
          <w:color w:val="auto"/>
          <w:sz w:val="21"/>
          <w:szCs w:val="21"/>
        </w:rPr>
        <w:t>八、</w:t>
      </w:r>
      <w:r>
        <w:rPr>
          <w:rFonts w:hint="eastAsia" w:ascii="宋体" w:hAnsi="宋体"/>
          <w:bCs/>
          <w:color w:val="auto"/>
          <w:sz w:val="21"/>
          <w:szCs w:val="21"/>
        </w:rPr>
        <w:t>我方完全理解最低报价不是成交的唯一条件，并尊重磋商小组的评审结论和成交结果。</w:t>
      </w:r>
    </w:p>
    <w:p w14:paraId="65F741D4">
      <w:pPr>
        <w:pStyle w:val="12"/>
        <w:spacing w:line="360" w:lineRule="auto"/>
        <w:ind w:firstLine="420" w:firstLineChars="200"/>
        <w:rPr>
          <w:rFonts w:ascii="宋体" w:hAnsi="宋体"/>
          <w:bCs/>
          <w:color w:val="auto"/>
          <w:sz w:val="21"/>
          <w:szCs w:val="21"/>
        </w:rPr>
      </w:pPr>
      <w:r>
        <w:rPr>
          <w:rFonts w:hint="eastAsia" w:ascii="宋体" w:hAnsi="宋体"/>
          <w:bCs/>
          <w:color w:val="auto"/>
          <w:sz w:val="21"/>
          <w:szCs w:val="21"/>
        </w:rPr>
        <w:t>九、</w:t>
      </w:r>
      <w:r>
        <w:rPr>
          <w:rFonts w:hint="eastAsia" w:hAnsi="宋体"/>
          <w:color w:val="auto"/>
          <w:sz w:val="21"/>
          <w:szCs w:val="21"/>
        </w:rPr>
        <w:t>我方在此声明，所递交的响应文件及有关资料内容完整、真实和准确，且不存在第二章“供应商须知”第</w:t>
      </w:r>
      <w:r>
        <w:rPr>
          <w:rFonts w:hint="eastAsia" w:ascii="宋体" w:hAnsi="宋体"/>
          <w:color w:val="auto"/>
          <w:sz w:val="21"/>
          <w:szCs w:val="21"/>
        </w:rPr>
        <w:t>1.3.2</w:t>
      </w:r>
      <w:r>
        <w:rPr>
          <w:rFonts w:hint="eastAsia" w:hAnsi="宋体"/>
          <w:color w:val="auto"/>
          <w:sz w:val="21"/>
          <w:szCs w:val="21"/>
        </w:rPr>
        <w:t>条款规定的任何一种情形。否则，愿承担《中华人民共和国政府采购法》</w:t>
      </w:r>
      <w:r>
        <w:rPr>
          <w:rFonts w:hint="eastAsia" w:hAnsi="宋体"/>
          <w:bCs/>
          <w:color w:val="auto"/>
          <w:sz w:val="21"/>
          <w:szCs w:val="21"/>
        </w:rPr>
        <w:t>第七十七条规定的法律责任。</w:t>
      </w:r>
    </w:p>
    <w:p w14:paraId="6A26B7A0">
      <w:pPr>
        <w:pStyle w:val="12"/>
        <w:spacing w:line="360" w:lineRule="auto"/>
        <w:ind w:firstLine="420" w:firstLineChars="200"/>
        <w:rPr>
          <w:rFonts w:ascii="宋体" w:hAnsi="宋体"/>
          <w:bCs/>
          <w:color w:val="auto"/>
          <w:sz w:val="21"/>
          <w:szCs w:val="21"/>
        </w:rPr>
      </w:pPr>
      <w:r>
        <w:rPr>
          <w:rFonts w:hint="eastAsia" w:ascii="宋体" w:hAnsi="宋体"/>
          <w:bCs/>
          <w:color w:val="auto"/>
          <w:sz w:val="21"/>
          <w:szCs w:val="21"/>
        </w:rPr>
        <w:t>十、</w:t>
      </w:r>
      <w:r>
        <w:rPr>
          <w:rFonts w:hint="eastAsia" w:ascii="宋体" w:hAnsi="宋体"/>
          <w:bCs/>
          <w:color w:val="auto"/>
          <w:sz w:val="21"/>
          <w:szCs w:val="21"/>
          <w:u w:val="single"/>
        </w:rPr>
        <w:t xml:space="preserve">                                      </w:t>
      </w:r>
      <w:r>
        <w:rPr>
          <w:rFonts w:hint="eastAsia" w:ascii="宋体" w:hAnsi="宋体"/>
          <w:bCs/>
          <w:color w:val="auto"/>
          <w:sz w:val="21"/>
          <w:szCs w:val="21"/>
        </w:rPr>
        <w:t>（其他补充说明）。</w:t>
      </w:r>
    </w:p>
    <w:p w14:paraId="6202A266">
      <w:pPr>
        <w:pStyle w:val="12"/>
        <w:spacing w:line="360" w:lineRule="auto"/>
        <w:ind w:firstLine="420" w:firstLineChars="200"/>
        <w:rPr>
          <w:rFonts w:ascii="宋体" w:hAnsi="宋体"/>
          <w:bCs/>
          <w:color w:val="auto"/>
          <w:sz w:val="21"/>
          <w:szCs w:val="21"/>
        </w:rPr>
      </w:pPr>
      <w:r>
        <w:rPr>
          <w:rFonts w:hint="eastAsia" w:ascii="宋体" w:hAnsi="宋体"/>
          <w:bCs/>
          <w:color w:val="auto"/>
          <w:sz w:val="21"/>
          <w:szCs w:val="21"/>
        </w:rPr>
        <w:t>十一、有关本项目的所有函电，请按下列地址联系：</w:t>
      </w:r>
    </w:p>
    <w:p w14:paraId="71448AD4">
      <w:pPr>
        <w:pStyle w:val="12"/>
        <w:spacing w:line="360" w:lineRule="auto"/>
        <w:ind w:firstLine="0"/>
        <w:rPr>
          <w:rFonts w:ascii="宋体" w:hAnsi="宋体"/>
          <w:bCs/>
          <w:color w:val="auto"/>
          <w:sz w:val="21"/>
          <w:szCs w:val="21"/>
        </w:rPr>
      </w:pPr>
    </w:p>
    <w:p w14:paraId="07727A7D">
      <w:pPr>
        <w:pStyle w:val="12"/>
        <w:spacing w:line="360" w:lineRule="auto"/>
        <w:ind w:firstLine="0"/>
        <w:rPr>
          <w:rFonts w:ascii="宋体" w:hAnsi="宋体"/>
          <w:bCs/>
          <w:color w:val="auto"/>
          <w:sz w:val="21"/>
          <w:szCs w:val="21"/>
        </w:rPr>
      </w:pPr>
    </w:p>
    <w:p w14:paraId="3D50C381">
      <w:pPr>
        <w:pStyle w:val="12"/>
        <w:spacing w:line="360" w:lineRule="auto"/>
        <w:ind w:firstLine="420" w:firstLineChars="200"/>
        <w:rPr>
          <w:rFonts w:ascii="宋体" w:hAnsi="宋体"/>
          <w:bCs/>
          <w:color w:val="auto"/>
          <w:sz w:val="21"/>
          <w:szCs w:val="21"/>
        </w:rPr>
      </w:pPr>
      <w:r>
        <w:rPr>
          <w:rFonts w:hint="eastAsia" w:ascii="宋体" w:hAnsi="宋体"/>
          <w:bCs/>
          <w:color w:val="auto"/>
          <w:sz w:val="21"/>
          <w:szCs w:val="21"/>
        </w:rPr>
        <w:t>供应商名称：</w:t>
      </w:r>
      <w:r>
        <w:rPr>
          <w:rFonts w:hint="eastAsia" w:ascii="宋体" w:hAnsi="宋体"/>
          <w:bCs/>
          <w:color w:val="auto"/>
          <w:sz w:val="21"/>
          <w:szCs w:val="21"/>
          <w:u w:val="single"/>
        </w:rPr>
        <w:t xml:space="preserve">                                 </w:t>
      </w:r>
      <w:r>
        <w:rPr>
          <w:rFonts w:hint="eastAsia" w:ascii="宋体" w:hAnsi="宋体"/>
          <w:bCs/>
          <w:color w:val="auto"/>
          <w:sz w:val="21"/>
          <w:szCs w:val="21"/>
        </w:rPr>
        <w:t>（盖单位章）</w:t>
      </w:r>
    </w:p>
    <w:p w14:paraId="5345D11C">
      <w:pPr>
        <w:pStyle w:val="12"/>
        <w:spacing w:line="360" w:lineRule="auto"/>
        <w:ind w:firstLine="420" w:firstLineChars="200"/>
        <w:rPr>
          <w:rFonts w:ascii="宋体" w:hAnsi="宋体"/>
          <w:bCs/>
          <w:color w:val="auto"/>
          <w:sz w:val="21"/>
          <w:szCs w:val="21"/>
        </w:rPr>
      </w:pPr>
    </w:p>
    <w:p w14:paraId="4B41E112">
      <w:pPr>
        <w:pStyle w:val="12"/>
        <w:spacing w:line="360" w:lineRule="auto"/>
        <w:ind w:firstLine="420" w:firstLineChars="200"/>
        <w:rPr>
          <w:rFonts w:ascii="宋体" w:hAnsi="宋体"/>
          <w:bCs/>
          <w:color w:val="auto"/>
          <w:sz w:val="21"/>
          <w:szCs w:val="21"/>
        </w:rPr>
      </w:pPr>
      <w:r>
        <w:rPr>
          <w:rFonts w:hint="eastAsia" w:ascii="宋体" w:hAnsi="宋体"/>
          <w:bCs/>
          <w:color w:val="auto"/>
          <w:sz w:val="21"/>
          <w:szCs w:val="21"/>
        </w:rPr>
        <w:t>法定代表人或委托代理人：</w:t>
      </w:r>
      <w:r>
        <w:rPr>
          <w:rFonts w:hint="eastAsia" w:ascii="宋体" w:hAnsi="宋体"/>
          <w:bCs/>
          <w:color w:val="auto"/>
          <w:sz w:val="21"/>
          <w:szCs w:val="21"/>
          <w:u w:val="single"/>
        </w:rPr>
        <w:t xml:space="preserve">                     </w:t>
      </w:r>
      <w:r>
        <w:rPr>
          <w:rFonts w:hint="eastAsia" w:ascii="宋体" w:hAnsi="宋体"/>
          <w:bCs/>
          <w:color w:val="auto"/>
          <w:sz w:val="21"/>
          <w:szCs w:val="21"/>
        </w:rPr>
        <w:t>（签字或盖章）</w:t>
      </w:r>
    </w:p>
    <w:p w14:paraId="558ACA64">
      <w:pPr>
        <w:spacing w:line="360" w:lineRule="auto"/>
        <w:rPr>
          <w:rFonts w:ascii="仿宋_GB2312" w:hAnsi="宋体" w:eastAsia="仿宋_GB2312"/>
          <w:b/>
          <w:color w:val="auto"/>
          <w:sz w:val="28"/>
          <w:szCs w:val="28"/>
        </w:rPr>
      </w:pPr>
    </w:p>
    <w:p w14:paraId="74FDC0C1">
      <w:pPr>
        <w:spacing w:line="360" w:lineRule="auto"/>
        <w:ind w:firstLine="420" w:firstLineChars="200"/>
        <w:rPr>
          <w:rFonts w:ascii="宋体" w:hAnsi="宋体"/>
          <w:bCs/>
          <w:color w:val="auto"/>
          <w:szCs w:val="21"/>
        </w:rPr>
      </w:pPr>
      <w:r>
        <w:rPr>
          <w:rFonts w:hint="eastAsia" w:ascii="宋体" w:hAnsi="宋体"/>
          <w:bCs/>
          <w:color w:val="auto"/>
          <w:szCs w:val="21"/>
        </w:rPr>
        <w:t>通讯地址：</w:t>
      </w:r>
    </w:p>
    <w:p w14:paraId="2497243D">
      <w:pPr>
        <w:spacing w:line="360" w:lineRule="auto"/>
        <w:ind w:firstLine="420" w:firstLineChars="200"/>
        <w:rPr>
          <w:rFonts w:ascii="宋体" w:hAnsi="宋体"/>
          <w:bCs/>
          <w:color w:val="auto"/>
          <w:szCs w:val="21"/>
        </w:rPr>
      </w:pPr>
      <w:r>
        <w:rPr>
          <w:rFonts w:hint="eastAsia" w:ascii="宋体" w:hAnsi="宋体"/>
          <w:bCs/>
          <w:color w:val="auto"/>
          <w:szCs w:val="21"/>
        </w:rPr>
        <w:t>邮政编码：</w:t>
      </w:r>
    </w:p>
    <w:p w14:paraId="7ED7CB2F">
      <w:pPr>
        <w:spacing w:line="360" w:lineRule="auto"/>
        <w:ind w:firstLine="420" w:firstLineChars="200"/>
        <w:rPr>
          <w:rFonts w:ascii="宋体" w:hAnsi="宋体"/>
          <w:bCs/>
          <w:color w:val="auto"/>
          <w:szCs w:val="21"/>
        </w:rPr>
      </w:pPr>
      <w:r>
        <w:rPr>
          <w:rFonts w:hint="eastAsia" w:ascii="宋体" w:hAnsi="宋体"/>
          <w:bCs/>
          <w:color w:val="auto"/>
          <w:szCs w:val="21"/>
        </w:rPr>
        <w:t>联系电话：</w:t>
      </w:r>
    </w:p>
    <w:p w14:paraId="106FD261">
      <w:pPr>
        <w:spacing w:line="360" w:lineRule="auto"/>
        <w:ind w:firstLine="420" w:firstLineChars="200"/>
        <w:rPr>
          <w:rFonts w:ascii="宋体" w:hAnsi="宋体"/>
          <w:bCs/>
          <w:color w:val="auto"/>
          <w:szCs w:val="21"/>
        </w:rPr>
      </w:pPr>
      <w:r>
        <w:rPr>
          <w:rFonts w:hint="eastAsia" w:ascii="宋体" w:hAnsi="宋体"/>
          <w:bCs/>
          <w:color w:val="auto"/>
          <w:szCs w:val="21"/>
        </w:rPr>
        <w:t>传    真：</w:t>
      </w:r>
    </w:p>
    <w:p w14:paraId="66723D8E">
      <w:pPr>
        <w:spacing w:line="360" w:lineRule="auto"/>
        <w:ind w:firstLine="420" w:firstLineChars="200"/>
        <w:rPr>
          <w:rFonts w:ascii="宋体" w:hAnsi="宋体"/>
          <w:bCs/>
          <w:color w:val="auto"/>
          <w:szCs w:val="21"/>
        </w:rPr>
      </w:pPr>
      <w:r>
        <w:rPr>
          <w:rFonts w:hint="eastAsia" w:ascii="宋体" w:hAnsi="宋体"/>
          <w:bCs/>
          <w:color w:val="auto"/>
          <w:szCs w:val="21"/>
        </w:rPr>
        <w:t>电子邮件：</w:t>
      </w:r>
    </w:p>
    <w:p w14:paraId="52FD291A">
      <w:pPr>
        <w:spacing w:line="360" w:lineRule="auto"/>
        <w:ind w:firstLine="420" w:firstLineChars="200"/>
        <w:rPr>
          <w:rFonts w:ascii="宋体" w:hAnsi="宋体"/>
          <w:bCs/>
          <w:color w:val="auto"/>
          <w:szCs w:val="21"/>
        </w:rPr>
      </w:pPr>
      <w:r>
        <w:rPr>
          <w:rFonts w:hint="eastAsia" w:ascii="宋体" w:hAnsi="宋体"/>
          <w:bCs/>
          <w:color w:val="auto"/>
          <w:szCs w:val="21"/>
        </w:rPr>
        <w:t>开户银行:</w:t>
      </w:r>
    </w:p>
    <w:p w14:paraId="27CC8FAE">
      <w:pPr>
        <w:spacing w:line="360" w:lineRule="auto"/>
        <w:ind w:firstLine="420" w:firstLineChars="200"/>
        <w:rPr>
          <w:rFonts w:ascii="宋体" w:hAnsi="宋体"/>
          <w:bCs/>
          <w:color w:val="auto"/>
          <w:szCs w:val="21"/>
        </w:rPr>
      </w:pPr>
      <w:r>
        <w:rPr>
          <w:rFonts w:hint="eastAsia" w:ascii="宋体" w:hAnsi="宋体"/>
          <w:bCs/>
          <w:color w:val="auto"/>
          <w:szCs w:val="21"/>
        </w:rPr>
        <w:t>帐    号：</w:t>
      </w:r>
    </w:p>
    <w:p w14:paraId="2219771D">
      <w:pPr>
        <w:spacing w:line="360" w:lineRule="auto"/>
        <w:ind w:firstLine="420" w:firstLineChars="200"/>
        <w:rPr>
          <w:rFonts w:ascii="宋体" w:hAnsi="宋体"/>
          <w:bCs/>
          <w:color w:val="auto"/>
          <w:szCs w:val="21"/>
        </w:rPr>
      </w:pPr>
      <w:r>
        <w:rPr>
          <w:rFonts w:hint="eastAsia" w:ascii="宋体" w:hAnsi="宋体"/>
          <w:bCs/>
          <w:color w:val="auto"/>
          <w:szCs w:val="21"/>
        </w:rPr>
        <w:t>日    期：    年   月   日</w:t>
      </w:r>
    </w:p>
    <w:p w14:paraId="2F064ED5">
      <w:pPr>
        <w:rPr>
          <w:rFonts w:ascii="仿宋_GB2312" w:hAnsi="宋体" w:eastAsia="仿宋_GB2312"/>
          <w:b/>
          <w:color w:val="auto"/>
          <w:sz w:val="28"/>
          <w:szCs w:val="28"/>
        </w:rPr>
      </w:pPr>
    </w:p>
    <w:p w14:paraId="57EBD9CE">
      <w:pPr>
        <w:rPr>
          <w:rFonts w:ascii="仿宋_GB2312" w:hAnsi="宋体" w:eastAsia="仿宋_GB2312"/>
          <w:b/>
          <w:color w:val="auto"/>
          <w:sz w:val="28"/>
          <w:szCs w:val="28"/>
        </w:rPr>
      </w:pPr>
    </w:p>
    <w:p w14:paraId="7DA330AE">
      <w:pPr>
        <w:rPr>
          <w:rFonts w:ascii="仿宋_GB2312" w:hAnsi="宋体" w:eastAsia="仿宋_GB2312"/>
          <w:b/>
          <w:color w:val="auto"/>
          <w:sz w:val="28"/>
          <w:szCs w:val="28"/>
        </w:rPr>
      </w:pPr>
    </w:p>
    <w:p w14:paraId="38AE3B4D">
      <w:pPr>
        <w:rPr>
          <w:rFonts w:ascii="仿宋_GB2312" w:hAnsi="宋体" w:eastAsia="仿宋_GB2312"/>
          <w:b/>
          <w:color w:val="auto"/>
          <w:sz w:val="28"/>
          <w:szCs w:val="28"/>
        </w:rPr>
      </w:pPr>
    </w:p>
    <w:p w14:paraId="4036FF69">
      <w:pPr>
        <w:rPr>
          <w:rFonts w:ascii="仿宋_GB2312" w:hAnsi="宋体" w:eastAsia="仿宋_GB2312"/>
          <w:b/>
          <w:color w:val="auto"/>
          <w:sz w:val="28"/>
          <w:szCs w:val="28"/>
        </w:rPr>
      </w:pPr>
    </w:p>
    <w:p w14:paraId="260F6CC8">
      <w:pPr>
        <w:rPr>
          <w:rFonts w:ascii="仿宋_GB2312" w:hAnsi="宋体" w:eastAsia="仿宋_GB2312"/>
          <w:b/>
          <w:color w:val="auto"/>
          <w:sz w:val="28"/>
          <w:szCs w:val="28"/>
        </w:rPr>
      </w:pPr>
    </w:p>
    <w:p w14:paraId="6F872096">
      <w:pPr>
        <w:rPr>
          <w:rFonts w:ascii="仿宋_GB2312" w:hAnsi="宋体" w:eastAsia="仿宋_GB2312"/>
          <w:b/>
          <w:color w:val="auto"/>
          <w:sz w:val="28"/>
          <w:szCs w:val="28"/>
        </w:rPr>
      </w:pPr>
    </w:p>
    <w:p w14:paraId="41A88549">
      <w:pPr>
        <w:rPr>
          <w:rFonts w:ascii="仿宋_GB2312" w:hAnsi="宋体" w:eastAsia="仿宋_GB2312"/>
          <w:b/>
          <w:color w:val="auto"/>
          <w:sz w:val="28"/>
          <w:szCs w:val="28"/>
        </w:rPr>
      </w:pPr>
    </w:p>
    <w:p w14:paraId="1615C8F3">
      <w:pPr>
        <w:rPr>
          <w:rFonts w:ascii="仿宋_GB2312" w:hAnsi="宋体" w:eastAsia="仿宋_GB2312"/>
          <w:b/>
          <w:color w:val="auto"/>
          <w:sz w:val="28"/>
          <w:szCs w:val="28"/>
        </w:rPr>
      </w:pPr>
    </w:p>
    <w:p w14:paraId="2567D8E2">
      <w:pPr>
        <w:rPr>
          <w:rFonts w:ascii="仿宋_GB2312" w:hAnsi="宋体" w:eastAsia="仿宋_GB2312"/>
          <w:b/>
          <w:color w:val="auto"/>
          <w:sz w:val="28"/>
          <w:szCs w:val="28"/>
        </w:rPr>
      </w:pPr>
    </w:p>
    <w:p w14:paraId="4D3D1BB5">
      <w:pPr>
        <w:rPr>
          <w:rFonts w:ascii="仿宋_GB2312" w:hAnsi="宋体" w:eastAsia="仿宋_GB2312"/>
          <w:b/>
          <w:color w:val="auto"/>
          <w:sz w:val="28"/>
          <w:szCs w:val="28"/>
        </w:rPr>
      </w:pPr>
    </w:p>
    <w:p w14:paraId="7E4DB770">
      <w:pPr>
        <w:rPr>
          <w:rFonts w:ascii="仿宋_GB2312" w:hAnsi="宋体" w:eastAsia="仿宋_GB2312"/>
          <w:b/>
          <w:color w:val="auto"/>
          <w:sz w:val="28"/>
          <w:szCs w:val="28"/>
        </w:rPr>
      </w:pPr>
    </w:p>
    <w:p w14:paraId="2E39E4E9">
      <w:pPr>
        <w:rPr>
          <w:rFonts w:ascii="仿宋_GB2312" w:hAnsi="宋体" w:eastAsia="仿宋_GB2312"/>
          <w:b/>
          <w:color w:val="auto"/>
          <w:sz w:val="28"/>
          <w:szCs w:val="28"/>
        </w:rPr>
      </w:pPr>
    </w:p>
    <w:p w14:paraId="798811E1">
      <w:pPr>
        <w:rPr>
          <w:rFonts w:ascii="仿宋_GB2312" w:hAnsi="宋体" w:eastAsia="仿宋_GB2312"/>
          <w:b/>
          <w:color w:val="auto"/>
          <w:sz w:val="28"/>
          <w:szCs w:val="28"/>
        </w:rPr>
      </w:pPr>
      <w:r>
        <w:rPr>
          <w:rFonts w:ascii="仿宋_GB2312" w:hAnsi="宋体" w:eastAsia="仿宋_GB2312"/>
          <w:b/>
          <w:color w:val="auto"/>
          <w:sz w:val="28"/>
          <w:szCs w:val="28"/>
        </w:rPr>
        <w:br w:type="page"/>
      </w:r>
    </w:p>
    <w:p w14:paraId="7BD61C14">
      <w:pPr>
        <w:spacing w:line="400" w:lineRule="exact"/>
        <w:jc w:val="center"/>
        <w:outlineLvl w:val="9"/>
        <w:rPr>
          <w:rFonts w:ascii="宋体" w:hAnsi="宋体"/>
          <w:b/>
          <w:color w:val="auto"/>
          <w:sz w:val="36"/>
          <w:szCs w:val="36"/>
        </w:rPr>
      </w:pPr>
      <w:bookmarkStart w:id="118" w:name="_Toc18074978"/>
      <w:bookmarkStart w:id="119" w:name="_Toc659"/>
      <w:r>
        <w:rPr>
          <w:rFonts w:hint="eastAsia" w:ascii="宋体" w:hAnsi="宋体"/>
          <w:b/>
          <w:bCs/>
          <w:color w:val="auto"/>
          <w:sz w:val="36"/>
          <w:szCs w:val="36"/>
        </w:rPr>
        <w:t>二、</w:t>
      </w:r>
      <w:r>
        <w:rPr>
          <w:rFonts w:hint="eastAsia" w:ascii="宋体" w:hAnsi="宋体"/>
          <w:b/>
          <w:color w:val="auto"/>
          <w:sz w:val="36"/>
          <w:szCs w:val="36"/>
        </w:rPr>
        <w:t>磋商报价一览表</w:t>
      </w:r>
      <w:bookmarkEnd w:id="118"/>
      <w:bookmarkEnd w:id="119"/>
    </w:p>
    <w:p w14:paraId="1647D665">
      <w:pPr>
        <w:rPr>
          <w:rFonts w:ascii="宋体" w:hAnsi="宋体"/>
          <w:b/>
          <w:color w:val="auto"/>
          <w:sz w:val="36"/>
          <w:szCs w:val="36"/>
        </w:rPr>
      </w:pPr>
    </w:p>
    <w:tbl>
      <w:tblPr>
        <w:tblStyle w:val="22"/>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3"/>
        <w:gridCol w:w="6659"/>
      </w:tblGrid>
      <w:tr w14:paraId="3A102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635D69E4">
            <w:pPr>
              <w:jc w:val="center"/>
              <w:rPr>
                <w:rFonts w:hint="default" w:eastAsia="宋体"/>
                <w:color w:val="auto"/>
                <w:lang w:val="en-US" w:eastAsia="zh-CN"/>
              </w:rPr>
            </w:pPr>
            <w:r>
              <w:rPr>
                <w:rFonts w:hint="eastAsia"/>
                <w:color w:val="auto"/>
              </w:rPr>
              <w:t>项目名称</w:t>
            </w:r>
          </w:p>
        </w:tc>
        <w:tc>
          <w:tcPr>
            <w:tcW w:w="6659" w:type="dxa"/>
            <w:vAlign w:val="center"/>
          </w:tcPr>
          <w:p w14:paraId="416B7790">
            <w:pPr>
              <w:rPr>
                <w:color w:val="auto"/>
              </w:rPr>
            </w:pPr>
          </w:p>
        </w:tc>
      </w:tr>
      <w:tr w14:paraId="68586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288F4DAB">
            <w:pPr>
              <w:jc w:val="center"/>
              <w:rPr>
                <w:color w:val="auto"/>
              </w:rPr>
            </w:pPr>
            <w:r>
              <w:rPr>
                <w:rFonts w:hint="eastAsia"/>
                <w:color w:val="auto"/>
              </w:rPr>
              <w:t>项目编号</w:t>
            </w:r>
          </w:p>
        </w:tc>
        <w:tc>
          <w:tcPr>
            <w:tcW w:w="6659" w:type="dxa"/>
            <w:vAlign w:val="center"/>
          </w:tcPr>
          <w:p w14:paraId="3616F6E2">
            <w:pPr>
              <w:rPr>
                <w:color w:val="auto"/>
              </w:rPr>
            </w:pPr>
          </w:p>
        </w:tc>
      </w:tr>
      <w:tr w14:paraId="4F8D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903" w:type="dxa"/>
            <w:vMerge w:val="restart"/>
            <w:vAlign w:val="center"/>
          </w:tcPr>
          <w:p w14:paraId="5AF71CA8">
            <w:pPr>
              <w:jc w:val="center"/>
              <w:rPr>
                <w:color w:val="auto"/>
              </w:rPr>
            </w:pPr>
            <w:r>
              <w:rPr>
                <w:rFonts w:hint="eastAsia"/>
                <w:color w:val="auto"/>
              </w:rPr>
              <w:t>磋商总报价（元）</w:t>
            </w:r>
          </w:p>
        </w:tc>
        <w:tc>
          <w:tcPr>
            <w:tcW w:w="6659" w:type="dxa"/>
            <w:vAlign w:val="center"/>
          </w:tcPr>
          <w:p w14:paraId="5BD144F6">
            <w:pPr>
              <w:rPr>
                <w:color w:val="auto"/>
              </w:rPr>
            </w:pPr>
            <w:r>
              <w:rPr>
                <w:rFonts w:hint="eastAsia"/>
                <w:color w:val="auto"/>
              </w:rPr>
              <w:t>大写：</w:t>
            </w:r>
          </w:p>
        </w:tc>
      </w:tr>
      <w:tr w14:paraId="09AE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903" w:type="dxa"/>
            <w:vMerge w:val="continue"/>
            <w:vAlign w:val="center"/>
          </w:tcPr>
          <w:p w14:paraId="3451080E">
            <w:pPr>
              <w:jc w:val="center"/>
              <w:rPr>
                <w:color w:val="auto"/>
              </w:rPr>
            </w:pPr>
          </w:p>
        </w:tc>
        <w:tc>
          <w:tcPr>
            <w:tcW w:w="6659" w:type="dxa"/>
            <w:vAlign w:val="center"/>
          </w:tcPr>
          <w:p w14:paraId="0DB976D2">
            <w:pPr>
              <w:rPr>
                <w:color w:val="auto"/>
              </w:rPr>
            </w:pPr>
            <w:r>
              <w:rPr>
                <w:rFonts w:hint="eastAsia"/>
                <w:color w:val="auto"/>
              </w:rPr>
              <w:t>小写：</w:t>
            </w:r>
          </w:p>
        </w:tc>
      </w:tr>
      <w:tr w14:paraId="0424E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59E1BFE0">
            <w:pPr>
              <w:jc w:val="center"/>
              <w:rPr>
                <w:rFonts w:hint="eastAsia" w:eastAsia="宋体"/>
                <w:color w:val="auto"/>
                <w:lang w:eastAsia="zh-CN"/>
              </w:rPr>
            </w:pPr>
            <w:r>
              <w:rPr>
                <w:rFonts w:hint="eastAsia"/>
                <w:color w:val="auto"/>
              </w:rPr>
              <w:t>项目</w:t>
            </w:r>
            <w:r>
              <w:rPr>
                <w:rFonts w:hint="eastAsia"/>
                <w:color w:val="auto"/>
                <w:lang w:val="en-US" w:eastAsia="zh-CN"/>
              </w:rPr>
              <w:t>负责人</w:t>
            </w:r>
          </w:p>
        </w:tc>
        <w:tc>
          <w:tcPr>
            <w:tcW w:w="6659" w:type="dxa"/>
            <w:vAlign w:val="center"/>
          </w:tcPr>
          <w:p w14:paraId="05EA8FB0">
            <w:pPr>
              <w:rPr>
                <w:color w:val="auto"/>
              </w:rPr>
            </w:pPr>
          </w:p>
        </w:tc>
      </w:tr>
      <w:tr w14:paraId="42A98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1903" w:type="dxa"/>
            <w:vAlign w:val="center"/>
          </w:tcPr>
          <w:p w14:paraId="2B15C092">
            <w:pPr>
              <w:jc w:val="center"/>
              <w:rPr>
                <w:rFonts w:hint="default" w:eastAsia="宋体"/>
                <w:color w:val="auto"/>
                <w:lang w:val="en-US" w:eastAsia="zh-CN"/>
              </w:rPr>
            </w:pPr>
            <w:r>
              <w:rPr>
                <w:rFonts w:hint="eastAsia"/>
                <w:color w:val="auto"/>
                <w:lang w:val="en-US" w:eastAsia="zh-CN"/>
              </w:rPr>
              <w:t>质量</w:t>
            </w:r>
          </w:p>
        </w:tc>
        <w:tc>
          <w:tcPr>
            <w:tcW w:w="6659" w:type="dxa"/>
            <w:vAlign w:val="center"/>
          </w:tcPr>
          <w:p w14:paraId="78701043">
            <w:pPr>
              <w:rPr>
                <w:color w:val="auto"/>
              </w:rPr>
            </w:pPr>
          </w:p>
        </w:tc>
      </w:tr>
      <w:tr w14:paraId="5D49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jc w:val="center"/>
        </w:trPr>
        <w:tc>
          <w:tcPr>
            <w:tcW w:w="1903" w:type="dxa"/>
            <w:vAlign w:val="center"/>
          </w:tcPr>
          <w:p w14:paraId="6DC964EF">
            <w:pPr>
              <w:pStyle w:val="19"/>
              <w:spacing w:before="0" w:beforeAutospacing="0" w:after="0" w:afterAutospacing="0"/>
              <w:jc w:val="center"/>
              <w:rPr>
                <w:rFonts w:hint="eastAsia" w:eastAsia="宋体" w:cs="Courier New"/>
                <w:color w:val="auto"/>
                <w:sz w:val="21"/>
                <w:szCs w:val="21"/>
                <w:lang w:eastAsia="zh-CN"/>
              </w:rPr>
            </w:pPr>
            <w:r>
              <w:rPr>
                <w:rFonts w:hint="eastAsia" w:ascii="Times New Roman" w:hAnsi="Times New Roman"/>
                <w:color w:val="auto"/>
                <w:kern w:val="2"/>
                <w:sz w:val="21"/>
                <w:szCs w:val="24"/>
                <w:lang w:val="en-US" w:eastAsia="zh-CN"/>
              </w:rPr>
              <w:t>服务期</w:t>
            </w:r>
          </w:p>
        </w:tc>
        <w:tc>
          <w:tcPr>
            <w:tcW w:w="6659" w:type="dxa"/>
            <w:vAlign w:val="center"/>
          </w:tcPr>
          <w:p w14:paraId="02B89EBB">
            <w:pPr>
              <w:pStyle w:val="19"/>
              <w:spacing w:before="0" w:beforeAutospacing="0" w:after="0" w:afterAutospacing="0"/>
              <w:jc w:val="center"/>
              <w:rPr>
                <w:rFonts w:cs="Courier New"/>
                <w:color w:val="auto"/>
                <w:sz w:val="21"/>
                <w:szCs w:val="21"/>
              </w:rPr>
            </w:pPr>
          </w:p>
        </w:tc>
      </w:tr>
    </w:tbl>
    <w:p w14:paraId="643BE839">
      <w:pPr>
        <w:pStyle w:val="19"/>
        <w:spacing w:before="0" w:beforeAutospacing="0" w:after="0" w:afterAutospacing="0" w:line="360" w:lineRule="auto"/>
        <w:ind w:firstLine="480"/>
        <w:rPr>
          <w:color w:val="auto"/>
          <w:sz w:val="21"/>
          <w:szCs w:val="21"/>
        </w:rPr>
      </w:pPr>
    </w:p>
    <w:p w14:paraId="3D089C35">
      <w:pPr>
        <w:adjustRightInd w:val="0"/>
        <w:snapToGrid w:val="0"/>
        <w:spacing w:before="120" w:beforeLines="50"/>
        <w:ind w:left="752" w:leftChars="58" w:hanging="630" w:hangingChars="300"/>
        <w:rPr>
          <w:rFonts w:ascii="楷体" w:hAnsi="楷体" w:eastAsia="楷体"/>
          <w:color w:val="auto"/>
          <w:szCs w:val="21"/>
        </w:rPr>
      </w:pPr>
      <w:r>
        <w:rPr>
          <w:rFonts w:hint="eastAsia" w:ascii="楷体" w:hAnsi="楷体" w:eastAsia="楷体"/>
          <w:color w:val="auto"/>
          <w:szCs w:val="21"/>
        </w:rPr>
        <w:t>说明：1.报价精确到小数点后两位，大小写不一致时，以大写为准；</w:t>
      </w:r>
    </w:p>
    <w:p w14:paraId="3C0E7264">
      <w:pPr>
        <w:adjustRightInd w:val="0"/>
        <w:snapToGrid w:val="0"/>
        <w:spacing w:before="120" w:beforeLines="50"/>
        <w:ind w:left="748" w:leftChars="356"/>
        <w:rPr>
          <w:rFonts w:ascii="楷体" w:hAnsi="楷体" w:eastAsia="楷体"/>
          <w:color w:val="auto"/>
          <w:szCs w:val="21"/>
        </w:rPr>
      </w:pPr>
      <w:r>
        <w:rPr>
          <w:rFonts w:hint="eastAsia" w:ascii="楷体" w:hAnsi="楷体" w:eastAsia="楷体"/>
          <w:color w:val="auto"/>
          <w:szCs w:val="21"/>
        </w:rPr>
        <w:t>2.本表所列各项数据与磋商文件其他地方表述不一致时，以本表为准。</w:t>
      </w:r>
    </w:p>
    <w:p w14:paraId="095CBD12">
      <w:pPr>
        <w:spacing w:before="120" w:beforeLines="50" w:line="200" w:lineRule="exact"/>
        <w:ind w:left="412" w:leftChars="196" w:firstLine="315" w:firstLineChars="150"/>
        <w:jc w:val="left"/>
        <w:rPr>
          <w:rFonts w:ascii="宋体" w:hAnsi="宋体"/>
          <w:color w:val="auto"/>
          <w:szCs w:val="21"/>
        </w:rPr>
      </w:pPr>
    </w:p>
    <w:p w14:paraId="1B1E72C0">
      <w:pPr>
        <w:pStyle w:val="19"/>
        <w:spacing w:before="0" w:beforeAutospacing="0" w:after="0" w:afterAutospacing="0" w:line="360" w:lineRule="auto"/>
        <w:rPr>
          <w:color w:val="auto"/>
          <w:sz w:val="21"/>
          <w:szCs w:val="21"/>
        </w:rPr>
      </w:pPr>
    </w:p>
    <w:p w14:paraId="42115994">
      <w:pPr>
        <w:pStyle w:val="19"/>
        <w:spacing w:before="0" w:beforeAutospacing="0" w:after="0" w:afterAutospacing="0" w:line="360" w:lineRule="auto"/>
        <w:ind w:firstLine="3045" w:firstLineChars="1450"/>
        <w:rPr>
          <w:color w:val="auto"/>
          <w:sz w:val="21"/>
          <w:szCs w:val="21"/>
        </w:rPr>
      </w:pPr>
    </w:p>
    <w:p w14:paraId="4637A3A5">
      <w:pPr>
        <w:pStyle w:val="19"/>
        <w:spacing w:before="0" w:beforeAutospacing="0" w:after="0" w:afterAutospacing="0" w:line="480" w:lineRule="auto"/>
        <w:ind w:firstLine="2940" w:firstLineChars="1400"/>
        <w:rPr>
          <w:color w:val="auto"/>
          <w:sz w:val="21"/>
          <w:szCs w:val="21"/>
          <w:u w:val="single"/>
        </w:rPr>
      </w:pPr>
      <w:r>
        <w:rPr>
          <w:rFonts w:hint="eastAsia"/>
          <w:color w:val="auto"/>
          <w:sz w:val="21"/>
          <w:szCs w:val="21"/>
        </w:rPr>
        <w:t>供应商名称：</w:t>
      </w:r>
      <w:r>
        <w:rPr>
          <w:rFonts w:hint="eastAsia"/>
          <w:color w:val="auto"/>
          <w:sz w:val="21"/>
          <w:szCs w:val="21"/>
          <w:u w:val="single"/>
        </w:rPr>
        <w:t xml:space="preserve">                         </w:t>
      </w:r>
      <w:r>
        <w:rPr>
          <w:rFonts w:hint="eastAsia"/>
          <w:bCs/>
          <w:color w:val="auto"/>
          <w:sz w:val="21"/>
          <w:szCs w:val="21"/>
        </w:rPr>
        <w:t>（盖单位章）</w:t>
      </w:r>
    </w:p>
    <w:p w14:paraId="5D9110B9">
      <w:pPr>
        <w:pStyle w:val="19"/>
        <w:spacing w:before="0" w:beforeAutospacing="0" w:after="0" w:afterAutospacing="0" w:line="480" w:lineRule="auto"/>
        <w:ind w:firstLine="2940" w:firstLineChars="1400"/>
        <w:rPr>
          <w:color w:val="auto"/>
          <w:sz w:val="21"/>
          <w:szCs w:val="21"/>
        </w:rPr>
      </w:pPr>
      <w:r>
        <w:rPr>
          <w:rFonts w:hint="eastAsia"/>
          <w:color w:val="auto"/>
          <w:sz w:val="21"/>
          <w:szCs w:val="21"/>
        </w:rPr>
        <w:t>法定代表人或授权代理人：</w:t>
      </w:r>
      <w:r>
        <w:rPr>
          <w:rFonts w:hint="eastAsia"/>
          <w:color w:val="auto"/>
          <w:sz w:val="21"/>
          <w:szCs w:val="21"/>
          <w:u w:val="single"/>
        </w:rPr>
        <w:t xml:space="preserve">             </w:t>
      </w:r>
      <w:r>
        <w:rPr>
          <w:rFonts w:hint="eastAsia"/>
          <w:color w:val="auto"/>
          <w:sz w:val="21"/>
          <w:szCs w:val="21"/>
        </w:rPr>
        <w:t>（签字或盖章）</w:t>
      </w:r>
    </w:p>
    <w:p w14:paraId="375F94E0">
      <w:pPr>
        <w:pStyle w:val="19"/>
        <w:spacing w:before="0" w:beforeAutospacing="0" w:after="0" w:afterAutospacing="0" w:line="480" w:lineRule="auto"/>
        <w:ind w:firstLine="2940" w:firstLineChars="1400"/>
        <w:rPr>
          <w:color w:val="auto"/>
          <w:sz w:val="21"/>
          <w:szCs w:val="21"/>
        </w:rPr>
        <w:sectPr>
          <w:footerReference r:id="rId10" w:type="first"/>
          <w:headerReference r:id="rId6" w:type="default"/>
          <w:footerReference r:id="rId8" w:type="default"/>
          <w:headerReference r:id="rId7" w:type="even"/>
          <w:footerReference r:id="rId9" w:type="even"/>
          <w:pgSz w:w="11907" w:h="16840"/>
          <w:pgMar w:top="1440" w:right="1080" w:bottom="1440" w:left="1080" w:header="851" w:footer="992" w:gutter="0"/>
          <w:cols w:space="720" w:num="1"/>
          <w:titlePg/>
        </w:sectPr>
      </w:pPr>
      <w:r>
        <w:rPr>
          <w:rFonts w:hint="eastAsia"/>
          <w:color w:val="auto"/>
          <w:sz w:val="21"/>
          <w:szCs w:val="21"/>
        </w:rPr>
        <w:t xml:space="preserve">日       期： </w:t>
      </w:r>
      <w:r>
        <w:rPr>
          <w:rFonts w:hint="eastAsia"/>
          <w:color w:val="auto"/>
          <w:sz w:val="21"/>
          <w:szCs w:val="21"/>
          <w:u w:val="single"/>
        </w:rPr>
        <w:t xml:space="preserve">    </w:t>
      </w:r>
      <w:r>
        <w:rPr>
          <w:rFonts w:hint="eastAsia"/>
          <w:color w:val="auto"/>
          <w:sz w:val="21"/>
          <w:szCs w:val="21"/>
        </w:rPr>
        <w:t>年</w:t>
      </w:r>
      <w:r>
        <w:rPr>
          <w:rFonts w:hint="eastAsia"/>
          <w:color w:val="auto"/>
          <w:sz w:val="21"/>
          <w:szCs w:val="21"/>
          <w:u w:val="single"/>
        </w:rPr>
        <w:t xml:space="preserve">    </w:t>
      </w:r>
      <w:r>
        <w:rPr>
          <w:rFonts w:hint="eastAsia"/>
          <w:color w:val="auto"/>
          <w:sz w:val="21"/>
          <w:szCs w:val="21"/>
        </w:rPr>
        <w:t>月</w:t>
      </w:r>
      <w:r>
        <w:rPr>
          <w:rFonts w:hint="eastAsia"/>
          <w:color w:val="auto"/>
          <w:sz w:val="21"/>
          <w:szCs w:val="21"/>
          <w:u w:val="single"/>
        </w:rPr>
        <w:t xml:space="preserve">   </w:t>
      </w:r>
      <w:r>
        <w:rPr>
          <w:rFonts w:hint="eastAsia"/>
          <w:color w:val="auto"/>
          <w:sz w:val="21"/>
          <w:szCs w:val="21"/>
        </w:rPr>
        <w:t>日</w:t>
      </w:r>
    </w:p>
    <w:p w14:paraId="7B2D7CA2">
      <w:pPr>
        <w:bidi w:val="0"/>
        <w:jc w:val="center"/>
        <w:rPr>
          <w:b/>
          <w:bCs/>
          <w:color w:val="auto"/>
          <w:sz w:val="36"/>
          <w:szCs w:val="36"/>
        </w:rPr>
      </w:pPr>
      <w:bookmarkStart w:id="120" w:name="_Toc28486"/>
      <w:bookmarkStart w:id="121" w:name="_Toc15504"/>
      <w:r>
        <w:rPr>
          <w:rFonts w:hint="eastAsia"/>
          <w:b/>
          <w:bCs/>
          <w:color w:val="auto"/>
          <w:sz w:val="36"/>
          <w:szCs w:val="36"/>
        </w:rPr>
        <w:t>分项报价明细表</w:t>
      </w:r>
      <w:bookmarkEnd w:id="120"/>
    </w:p>
    <w:p w14:paraId="54C5E36B">
      <w:pPr>
        <w:shd w:val="clear"/>
        <w:spacing w:line="360" w:lineRule="auto"/>
        <w:rPr>
          <w:rFonts w:ascii="宋体" w:hAnsi="宋体"/>
          <w:bCs/>
          <w:color w:val="auto"/>
          <w:kern w:val="0"/>
          <w:szCs w:val="21"/>
          <w:highlight w:val="none"/>
        </w:rPr>
      </w:pPr>
    </w:p>
    <w:p w14:paraId="261F8262">
      <w:pPr>
        <w:shd w:val="clear"/>
        <w:adjustRightInd w:val="0"/>
        <w:snapToGrid w:val="0"/>
        <w:ind w:left="-88" w:leftChars="-42"/>
        <w:rPr>
          <w:rFonts w:hint="eastAsia" w:ascii="楷体" w:hAnsi="楷体" w:eastAsia="楷体"/>
          <w:color w:val="auto"/>
          <w:szCs w:val="21"/>
          <w:highlight w:val="none"/>
          <w:lang w:eastAsia="zh-CN"/>
        </w:rPr>
      </w:pPr>
      <w:r>
        <w:rPr>
          <w:rFonts w:ascii="楷体" w:hAnsi="楷体" w:eastAsia="楷体"/>
          <w:color w:val="auto"/>
          <w:szCs w:val="21"/>
          <w:highlight w:val="none"/>
        </w:rPr>
        <w:t>说明：</w:t>
      </w:r>
      <w:r>
        <w:rPr>
          <w:rFonts w:hint="eastAsia" w:ascii="楷体" w:hAnsi="楷体" w:eastAsia="楷体"/>
          <w:color w:val="auto"/>
          <w:szCs w:val="21"/>
          <w:highlight w:val="none"/>
          <w:lang w:eastAsia="zh-CN"/>
        </w:rPr>
        <w:t>格式自拟，</w:t>
      </w:r>
      <w:r>
        <w:rPr>
          <w:rFonts w:hint="eastAsia" w:ascii="楷体" w:hAnsi="楷体" w:eastAsia="楷体"/>
          <w:color w:val="auto"/>
          <w:szCs w:val="21"/>
          <w:highlight w:val="none"/>
        </w:rPr>
        <w:t>各分项报价合计应当与“磋商报价一览表”总报价相等</w:t>
      </w:r>
      <w:r>
        <w:rPr>
          <w:rFonts w:hint="eastAsia" w:ascii="楷体" w:hAnsi="楷体" w:eastAsia="楷体"/>
          <w:color w:val="auto"/>
          <w:szCs w:val="21"/>
          <w:highlight w:val="none"/>
          <w:lang w:eastAsia="zh-CN"/>
        </w:rPr>
        <w:t>。</w:t>
      </w:r>
    </w:p>
    <w:p w14:paraId="6E140DB1">
      <w:pPr>
        <w:shd w:val="clear"/>
        <w:spacing w:line="360" w:lineRule="auto"/>
        <w:ind w:firstLine="1680" w:firstLineChars="800"/>
        <w:rPr>
          <w:rFonts w:ascii="宋体" w:hAnsi="宋体"/>
          <w:color w:val="auto"/>
          <w:szCs w:val="21"/>
          <w:highlight w:val="none"/>
        </w:rPr>
      </w:pPr>
    </w:p>
    <w:p w14:paraId="26D4AFD1">
      <w:pPr>
        <w:shd w:val="clear"/>
        <w:outlineLvl w:val="9"/>
        <w:rPr>
          <w:rFonts w:ascii="宋体" w:hAnsi="宋体"/>
          <w:color w:val="auto"/>
          <w:szCs w:val="21"/>
          <w:highlight w:val="none"/>
        </w:rPr>
      </w:pPr>
    </w:p>
    <w:p w14:paraId="691E5E6F">
      <w:pPr>
        <w:shd w:val="clear"/>
        <w:outlineLvl w:val="9"/>
        <w:rPr>
          <w:rFonts w:ascii="宋体" w:hAnsi="宋体"/>
          <w:color w:val="auto"/>
          <w:szCs w:val="21"/>
          <w:highlight w:val="none"/>
        </w:rPr>
      </w:pPr>
    </w:p>
    <w:p w14:paraId="0CA695A2">
      <w:pPr>
        <w:shd w:val="clear"/>
        <w:outlineLvl w:val="9"/>
        <w:rPr>
          <w:rFonts w:ascii="宋体" w:hAnsi="宋体"/>
          <w:color w:val="auto"/>
          <w:szCs w:val="21"/>
          <w:highlight w:val="none"/>
        </w:rPr>
      </w:pPr>
    </w:p>
    <w:p w14:paraId="58BCE12C">
      <w:pPr>
        <w:shd w:val="clear"/>
        <w:outlineLvl w:val="9"/>
        <w:rPr>
          <w:rFonts w:ascii="宋体" w:hAnsi="宋体"/>
          <w:color w:val="auto"/>
          <w:szCs w:val="21"/>
          <w:highlight w:val="none"/>
        </w:rPr>
      </w:pPr>
    </w:p>
    <w:p w14:paraId="1A527E93">
      <w:pPr>
        <w:shd w:val="clear"/>
        <w:outlineLvl w:val="9"/>
        <w:rPr>
          <w:rFonts w:ascii="宋体" w:hAnsi="宋体"/>
          <w:color w:val="auto"/>
          <w:szCs w:val="21"/>
          <w:highlight w:val="none"/>
        </w:rPr>
      </w:pPr>
    </w:p>
    <w:p w14:paraId="5A2F992B">
      <w:pPr>
        <w:shd w:val="clear"/>
        <w:outlineLvl w:val="9"/>
        <w:rPr>
          <w:rFonts w:ascii="宋体" w:hAnsi="宋体"/>
          <w:color w:val="auto"/>
          <w:szCs w:val="21"/>
          <w:highlight w:val="none"/>
        </w:rPr>
      </w:pPr>
    </w:p>
    <w:p w14:paraId="3B6D65FB">
      <w:pPr>
        <w:shd w:val="clear"/>
        <w:outlineLvl w:val="9"/>
        <w:rPr>
          <w:color w:val="auto"/>
          <w:highlight w:val="none"/>
        </w:rPr>
      </w:pPr>
    </w:p>
    <w:p w14:paraId="0A8A8A0F">
      <w:pPr>
        <w:pStyle w:val="19"/>
        <w:shd w:val="clear"/>
        <w:spacing w:before="0" w:beforeAutospacing="0" w:after="0" w:afterAutospacing="0" w:line="480" w:lineRule="auto"/>
        <w:ind w:firstLine="2940" w:firstLineChars="1400"/>
        <w:rPr>
          <w:color w:val="auto"/>
          <w:sz w:val="21"/>
          <w:szCs w:val="21"/>
          <w:highlight w:val="none"/>
          <w:u w:val="single"/>
        </w:rPr>
      </w:pPr>
      <w:r>
        <w:rPr>
          <w:rFonts w:hint="eastAsia"/>
          <w:color w:val="auto"/>
          <w:sz w:val="21"/>
          <w:szCs w:val="21"/>
          <w:highlight w:val="none"/>
        </w:rPr>
        <w:t>供应商名称：</w:t>
      </w:r>
      <w:r>
        <w:rPr>
          <w:rFonts w:hint="eastAsia"/>
          <w:color w:val="auto"/>
          <w:sz w:val="21"/>
          <w:szCs w:val="21"/>
          <w:highlight w:val="none"/>
          <w:u w:val="single"/>
        </w:rPr>
        <w:t xml:space="preserve">                     </w:t>
      </w:r>
      <w:r>
        <w:rPr>
          <w:rFonts w:hint="eastAsia" w:ascii="宋体" w:hAnsi="宋体"/>
          <w:bCs/>
          <w:color w:val="auto"/>
          <w:sz w:val="21"/>
          <w:szCs w:val="21"/>
          <w:highlight w:val="none"/>
        </w:rPr>
        <w:t>（盖单位章）</w:t>
      </w:r>
    </w:p>
    <w:p w14:paraId="0214AEB9">
      <w:pPr>
        <w:pStyle w:val="19"/>
        <w:shd w:val="clear"/>
        <w:spacing w:before="0" w:beforeAutospacing="0" w:after="0" w:afterAutospacing="0" w:line="480" w:lineRule="auto"/>
        <w:ind w:firstLine="2940" w:firstLineChars="1400"/>
        <w:rPr>
          <w:rFonts w:hint="eastAsia"/>
          <w:color w:val="auto"/>
          <w:sz w:val="21"/>
          <w:szCs w:val="21"/>
          <w:highlight w:val="none"/>
          <w:u w:val="none"/>
        </w:rPr>
      </w:pPr>
      <w:r>
        <w:rPr>
          <w:rFonts w:hint="eastAsia"/>
          <w:color w:val="auto"/>
          <w:sz w:val="21"/>
          <w:szCs w:val="21"/>
          <w:highlight w:val="none"/>
        </w:rPr>
        <w:t>法定代表人或授权代理人：</w:t>
      </w:r>
      <w:r>
        <w:rPr>
          <w:rFonts w:hint="eastAsia"/>
          <w:color w:val="auto"/>
          <w:sz w:val="21"/>
          <w:szCs w:val="21"/>
          <w:highlight w:val="none"/>
          <w:u w:val="single"/>
        </w:rPr>
        <w:t xml:space="preserve">         </w:t>
      </w:r>
      <w:r>
        <w:rPr>
          <w:rFonts w:hint="eastAsia"/>
          <w:color w:val="auto"/>
          <w:sz w:val="21"/>
          <w:szCs w:val="21"/>
          <w:highlight w:val="none"/>
          <w:u w:val="none"/>
        </w:rPr>
        <w:t>（签字或盖章）</w:t>
      </w:r>
    </w:p>
    <w:p w14:paraId="6A9F5ECD">
      <w:pPr>
        <w:pStyle w:val="19"/>
        <w:shd w:val="clear"/>
        <w:spacing w:before="0" w:beforeAutospacing="0" w:after="0" w:afterAutospacing="0" w:line="480" w:lineRule="auto"/>
        <w:ind w:firstLine="2940" w:firstLineChars="1400"/>
        <w:rPr>
          <w:rFonts w:hint="eastAsia" w:eastAsia="宋体"/>
          <w:color w:val="auto"/>
          <w:sz w:val="21"/>
          <w:szCs w:val="21"/>
          <w:highlight w:val="none"/>
          <w:lang w:val="en-US" w:eastAsia="zh-CN"/>
        </w:rPr>
        <w:sectPr>
          <w:headerReference r:id="rId11" w:type="default"/>
          <w:footerReference r:id="rId13" w:type="default"/>
          <w:headerReference r:id="rId12" w:type="even"/>
          <w:footerReference r:id="rId14" w:type="even"/>
          <w:pgSz w:w="11907" w:h="16840"/>
          <w:pgMar w:top="1440" w:right="1080" w:bottom="1440" w:left="1080" w:header="851" w:footer="992" w:gutter="0"/>
          <w:pgBorders>
            <w:top w:val="none" w:sz="0" w:space="0"/>
            <w:left w:val="none" w:sz="0" w:space="0"/>
            <w:bottom w:val="none" w:sz="0" w:space="0"/>
            <w:right w:val="none" w:sz="0" w:space="0"/>
          </w:pgBorders>
          <w:cols w:space="720" w:num="1"/>
          <w:titlePg/>
        </w:sectPr>
      </w:pPr>
      <w:r>
        <w:rPr>
          <w:rFonts w:hint="eastAsia"/>
          <w:color w:val="auto"/>
          <w:sz w:val="21"/>
          <w:szCs w:val="21"/>
          <w:highlight w:val="none"/>
          <w:u w:val="none"/>
          <w:lang w:eastAsia="zh-CN"/>
        </w:rPr>
        <w:t>日</w:t>
      </w:r>
      <w:r>
        <w:rPr>
          <w:rFonts w:hint="eastAsia"/>
          <w:color w:val="auto"/>
          <w:sz w:val="21"/>
          <w:szCs w:val="21"/>
          <w:highlight w:val="none"/>
          <w:u w:val="none"/>
          <w:lang w:val="en-US" w:eastAsia="zh-CN"/>
        </w:rPr>
        <w:t xml:space="preserve">      </w:t>
      </w:r>
      <w:r>
        <w:rPr>
          <w:rFonts w:hint="eastAsia"/>
          <w:color w:val="auto"/>
          <w:sz w:val="21"/>
          <w:szCs w:val="21"/>
          <w:highlight w:val="none"/>
          <w:u w:val="none"/>
          <w:lang w:eastAsia="zh-CN"/>
        </w:rPr>
        <w:t>期：</w:t>
      </w:r>
      <w:r>
        <w:rPr>
          <w:rFonts w:hint="eastAsia"/>
          <w:color w:val="auto"/>
          <w:sz w:val="21"/>
          <w:szCs w:val="21"/>
          <w:highlight w:val="none"/>
          <w:u w:val="none"/>
        </w:rPr>
        <w:t xml:space="preserve">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日</w:t>
      </w:r>
    </w:p>
    <w:p w14:paraId="45334984">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default" w:ascii="宋体" w:hAnsi="宋体" w:eastAsia="宋体" w:cs="宋体"/>
          <w:color w:val="auto"/>
          <w:sz w:val="36"/>
          <w:szCs w:val="36"/>
          <w:highlight w:val="none"/>
          <w:lang w:val="en-US"/>
        </w:rPr>
      </w:pPr>
      <w:r>
        <w:rPr>
          <w:rFonts w:hint="eastAsia" w:ascii="宋体" w:hAnsi="宋体" w:eastAsia="宋体" w:cs="宋体"/>
          <w:color w:val="auto"/>
          <w:sz w:val="36"/>
          <w:szCs w:val="36"/>
          <w:highlight w:val="none"/>
          <w:lang w:val="en-US" w:eastAsia="zh-CN"/>
        </w:rPr>
        <w:t>三</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服务方案</w:t>
      </w:r>
    </w:p>
    <w:p w14:paraId="61F9BF6E">
      <w:pPr>
        <w:shd w:val="clear"/>
        <w:adjustRightInd w:val="0"/>
        <w:spacing w:line="400" w:lineRule="exact"/>
        <w:jc w:val="center"/>
        <w:rPr>
          <w:rFonts w:hint="eastAsia" w:ascii="宋体" w:hAnsi="宋体" w:eastAsia="宋体" w:cs="宋体"/>
          <w:b/>
          <w:color w:val="auto"/>
          <w:sz w:val="36"/>
          <w:szCs w:val="36"/>
          <w:highlight w:val="none"/>
        </w:rPr>
      </w:pPr>
    </w:p>
    <w:p w14:paraId="29F2D675">
      <w:pPr>
        <w:shd w:val="clear"/>
        <w:adjustRightInd w:val="0"/>
        <w:spacing w:line="400" w:lineRule="exact"/>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格式自拟。</w:t>
      </w:r>
      <w:r>
        <w:rPr>
          <w:rFonts w:hint="eastAsia" w:ascii="宋体" w:hAnsi="宋体" w:eastAsia="宋体" w:cs="宋体"/>
          <w:color w:val="auto"/>
          <w:szCs w:val="21"/>
          <w:highlight w:val="none"/>
        </w:rPr>
        <w:t>供应商根据磋商文件要求和采购需求</w:t>
      </w:r>
      <w:r>
        <w:rPr>
          <w:rFonts w:hint="eastAsia" w:ascii="宋体" w:hAnsi="宋体" w:eastAsia="宋体" w:cs="宋体"/>
          <w:color w:val="auto"/>
          <w:szCs w:val="21"/>
          <w:highlight w:val="none"/>
          <w:lang w:eastAsia="zh-CN"/>
        </w:rPr>
        <w:t>及评审办法，作</w:t>
      </w:r>
      <w:r>
        <w:rPr>
          <w:rFonts w:hint="eastAsia" w:ascii="宋体" w:hAnsi="宋体" w:eastAsia="宋体" w:cs="宋体"/>
          <w:color w:val="auto"/>
          <w:szCs w:val="21"/>
          <w:highlight w:val="none"/>
        </w:rPr>
        <w:t>出响应。</w:t>
      </w:r>
    </w:p>
    <w:p w14:paraId="4CF0E132">
      <w:pPr>
        <w:shd w:val="clear"/>
        <w:spacing w:beforeLines="50"/>
        <w:jc w:val="left"/>
        <w:rPr>
          <w:rFonts w:hint="eastAsia" w:ascii="宋体" w:hAnsi="宋体" w:eastAsia="宋体" w:cs="宋体"/>
          <w:color w:val="auto"/>
          <w:szCs w:val="21"/>
          <w:highlight w:val="none"/>
        </w:rPr>
      </w:pPr>
    </w:p>
    <w:p w14:paraId="51472FA4">
      <w:pP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Cs/>
          <w:color w:val="auto"/>
          <w:sz w:val="36"/>
          <w:szCs w:val="36"/>
          <w:highlight w:val="none"/>
        </w:rPr>
        <w:br w:type="page"/>
      </w:r>
    </w:p>
    <w:p w14:paraId="26ADC719">
      <w:pPr>
        <w:spacing w:line="440" w:lineRule="exact"/>
        <w:rPr>
          <w:rFonts w:ascii="宋体" w:hAnsi="宋体" w:cs="宋体"/>
          <w:b/>
          <w:bCs/>
          <w:color w:val="auto"/>
          <w:szCs w:val="21"/>
        </w:rPr>
      </w:pPr>
      <w:r>
        <w:rPr>
          <w:rFonts w:hint="eastAsia" w:ascii="宋体" w:hAnsi="宋体" w:cs="宋体"/>
          <w:b/>
          <w:bCs/>
          <w:color w:val="auto"/>
          <w:szCs w:val="21"/>
        </w:rPr>
        <w:t>附表1：</w:t>
      </w:r>
    </w:p>
    <w:p w14:paraId="3CFFA549">
      <w:pPr>
        <w:keepNext/>
        <w:keepLines/>
        <w:spacing w:line="440" w:lineRule="exact"/>
        <w:outlineLvl w:val="9"/>
        <w:rPr>
          <w:rFonts w:hint="eastAsia" w:ascii="宋体" w:hAnsi="宋体" w:eastAsia="宋体" w:cs="宋体"/>
          <w:color w:val="auto"/>
          <w:sz w:val="28"/>
          <w:szCs w:val="28"/>
          <w:lang w:val="en-US" w:eastAsia="zh-CN"/>
        </w:rPr>
      </w:pPr>
    </w:p>
    <w:p w14:paraId="20E31E78">
      <w:pPr>
        <w:spacing w:after="120" w:afterLines="50" w:line="560" w:lineRule="exact"/>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项目人员组成表</w:t>
      </w:r>
    </w:p>
    <w:tbl>
      <w:tblPr>
        <w:tblStyle w:val="22"/>
        <w:tblW w:w="9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1305"/>
        <w:gridCol w:w="1125"/>
        <w:gridCol w:w="1695"/>
        <w:gridCol w:w="1335"/>
        <w:gridCol w:w="1380"/>
        <w:gridCol w:w="1290"/>
        <w:gridCol w:w="793"/>
      </w:tblGrid>
      <w:tr w14:paraId="23945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664" w:type="dxa"/>
            <w:vAlign w:val="center"/>
          </w:tcPr>
          <w:p w14:paraId="4CB4BE33">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序号</w:t>
            </w:r>
          </w:p>
        </w:tc>
        <w:tc>
          <w:tcPr>
            <w:tcW w:w="1305" w:type="dxa"/>
            <w:vAlign w:val="center"/>
          </w:tcPr>
          <w:p w14:paraId="2E438342">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姓名</w:t>
            </w:r>
          </w:p>
        </w:tc>
        <w:tc>
          <w:tcPr>
            <w:tcW w:w="1125" w:type="dxa"/>
            <w:vAlign w:val="center"/>
          </w:tcPr>
          <w:p w14:paraId="127DB877">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color w:val="auto"/>
                <w:spacing w:val="-3"/>
                <w:kern w:val="0"/>
                <w:szCs w:val="21"/>
                <w:highlight w:val="none"/>
              </w:rPr>
              <w:t>专业</w:t>
            </w:r>
          </w:p>
        </w:tc>
        <w:tc>
          <w:tcPr>
            <w:tcW w:w="1695" w:type="dxa"/>
            <w:vAlign w:val="center"/>
          </w:tcPr>
          <w:p w14:paraId="63C4DF7E">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专业</w:t>
            </w:r>
            <w:r>
              <w:rPr>
                <w:rFonts w:hint="eastAsia" w:ascii="宋体" w:hAnsi="宋体" w:eastAsia="宋体" w:cs="宋体"/>
                <w:color w:val="auto"/>
                <w:spacing w:val="-3"/>
                <w:kern w:val="0"/>
                <w:szCs w:val="21"/>
                <w:highlight w:val="none"/>
              </w:rPr>
              <w:t>工作年限</w:t>
            </w:r>
          </w:p>
        </w:tc>
        <w:tc>
          <w:tcPr>
            <w:tcW w:w="1335" w:type="dxa"/>
            <w:vAlign w:val="center"/>
          </w:tcPr>
          <w:p w14:paraId="7543D455">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val="en-US" w:eastAsia="zh-CN"/>
              </w:rPr>
              <w:t>职称</w:t>
            </w:r>
          </w:p>
        </w:tc>
        <w:tc>
          <w:tcPr>
            <w:tcW w:w="1380" w:type="dxa"/>
            <w:tcBorders>
              <w:left w:val="single" w:color="auto" w:sz="4" w:space="0"/>
            </w:tcBorders>
            <w:vAlign w:val="center"/>
          </w:tcPr>
          <w:p w14:paraId="2EDCAE39">
            <w:pPr>
              <w:shd w:val="clear"/>
              <w:adjustRightInd w:val="0"/>
              <w:snapToGrid w:val="0"/>
              <w:spacing w:line="240" w:lineRule="auto"/>
              <w:ind w:right="24"/>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资格</w:t>
            </w:r>
            <w:r>
              <w:rPr>
                <w:rFonts w:hint="eastAsia" w:ascii="宋体" w:hAnsi="宋体" w:cs="宋体"/>
                <w:bCs/>
                <w:color w:val="auto"/>
                <w:szCs w:val="21"/>
                <w:highlight w:val="none"/>
                <w:lang w:val="en-US" w:eastAsia="zh-CN"/>
              </w:rPr>
              <w:t>证号</w:t>
            </w:r>
          </w:p>
        </w:tc>
        <w:tc>
          <w:tcPr>
            <w:tcW w:w="1290" w:type="dxa"/>
            <w:tcBorders>
              <w:left w:val="single" w:color="auto" w:sz="4" w:space="0"/>
            </w:tcBorders>
            <w:vAlign w:val="center"/>
          </w:tcPr>
          <w:p w14:paraId="39B9CFD6">
            <w:pPr>
              <w:shd w:val="clear"/>
              <w:adjustRightInd w:val="0"/>
              <w:snapToGrid w:val="0"/>
              <w:spacing w:line="240" w:lineRule="auto"/>
              <w:ind w:right="24"/>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拟任职务</w:t>
            </w:r>
          </w:p>
        </w:tc>
        <w:tc>
          <w:tcPr>
            <w:tcW w:w="793" w:type="dxa"/>
            <w:tcBorders>
              <w:left w:val="single" w:color="auto" w:sz="4" w:space="0"/>
            </w:tcBorders>
            <w:vAlign w:val="center"/>
          </w:tcPr>
          <w:p w14:paraId="5CEFA27A">
            <w:pPr>
              <w:shd w:val="clear"/>
              <w:adjustRightInd w:val="0"/>
              <w:snapToGrid w:val="0"/>
              <w:spacing w:line="240" w:lineRule="auto"/>
              <w:ind w:right="24"/>
              <w:jc w:val="center"/>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备注</w:t>
            </w:r>
          </w:p>
        </w:tc>
      </w:tr>
      <w:tr w14:paraId="7145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603796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11B5DBF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6CECAA2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3939588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E341F3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06E9F0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519F85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D0AABD5">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6310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5D3263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58F1E8F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C582DF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7D5A69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13D9980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494F25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7A42AD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3910FE0D">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3A6E7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D632D7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599F98F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77C7B32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3AB9E3D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DAB599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25849E2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793C60E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2BBE6C0">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B74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78D22A3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35838A2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45C1C7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4FADB17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2F9352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781A02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76A5FB6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CC7BA3C">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6BBE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21FD0F5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5559C2D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45A0DE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DB3FB6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34EAE40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085297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983F93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0D63637F">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18D0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26C957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1836ADE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4BABBE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DBFCDB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60AC6B7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A16656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568CF62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45273AA">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579AF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2E8962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AC66BD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7F9D70F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6617B93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0D13D5C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6C1B131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501D64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30F51263">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0C98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1737E88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3C933A4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0659F61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36E3F52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2780138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28FA118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69A9B9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2883F961">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4CC87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65BD759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111FB04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5C0BD6F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1074C15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6FFE971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2891726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3C3316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38634D77">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4382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5F96B0C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5B75EE4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3580DFA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E6C9D3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75C7086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154B757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76E1243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73EA5CF3">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7A5E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AC7F77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9C7EB8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6FDE2DA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3B2BA20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379088F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9CCA22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0EFF3C3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415A3DFA">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37B7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7BE9FDA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7235653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560B16C">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25C2DE01">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49F61059">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3C4C547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F3165DD">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5030EADB">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1FD4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0D42D8D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560D15A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2420625F">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228D7C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39625EC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2222E3D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38C3EF87">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1C4E9242">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1B70F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E1694F8">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05" w:type="dxa"/>
            <w:vAlign w:val="center"/>
          </w:tcPr>
          <w:p w14:paraId="06D977A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7FC830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55465446">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21ED80F2">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5AEA17F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473F5EAE">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3F65507E">
            <w:pPr>
              <w:shd w:val="clear"/>
              <w:adjustRightInd w:val="0"/>
              <w:snapToGrid w:val="0"/>
              <w:spacing w:line="240" w:lineRule="auto"/>
              <w:ind w:right="24"/>
              <w:jc w:val="center"/>
              <w:rPr>
                <w:rFonts w:hint="eastAsia" w:ascii="宋体" w:hAnsi="宋体" w:eastAsia="宋体" w:cs="宋体"/>
                <w:bCs/>
                <w:color w:val="auto"/>
                <w:szCs w:val="21"/>
                <w:highlight w:val="none"/>
              </w:rPr>
            </w:pPr>
          </w:p>
        </w:tc>
      </w:tr>
      <w:tr w14:paraId="39FF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4" w:type="dxa"/>
            <w:vAlign w:val="center"/>
          </w:tcPr>
          <w:p w14:paraId="4CC603A7">
            <w:pPr>
              <w:shd w:val="clear"/>
              <w:adjustRightInd w:val="0"/>
              <w:snapToGrid w:val="0"/>
              <w:spacing w:line="240" w:lineRule="auto"/>
              <w:ind w:right="24"/>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w:t>
            </w:r>
          </w:p>
        </w:tc>
        <w:tc>
          <w:tcPr>
            <w:tcW w:w="1305" w:type="dxa"/>
            <w:vAlign w:val="center"/>
          </w:tcPr>
          <w:p w14:paraId="1FD44040">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125" w:type="dxa"/>
            <w:vAlign w:val="center"/>
          </w:tcPr>
          <w:p w14:paraId="4AC52A75">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695" w:type="dxa"/>
            <w:vAlign w:val="center"/>
          </w:tcPr>
          <w:p w14:paraId="025C3F5B">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35" w:type="dxa"/>
            <w:vAlign w:val="center"/>
          </w:tcPr>
          <w:p w14:paraId="08B29BBA">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380" w:type="dxa"/>
            <w:tcBorders>
              <w:left w:val="single" w:color="auto" w:sz="4" w:space="0"/>
            </w:tcBorders>
            <w:vAlign w:val="center"/>
          </w:tcPr>
          <w:p w14:paraId="76B4C8C3">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1290" w:type="dxa"/>
            <w:tcBorders>
              <w:left w:val="single" w:color="auto" w:sz="4" w:space="0"/>
            </w:tcBorders>
            <w:vAlign w:val="center"/>
          </w:tcPr>
          <w:p w14:paraId="1F10EA54">
            <w:pPr>
              <w:shd w:val="clear"/>
              <w:adjustRightInd w:val="0"/>
              <w:snapToGrid w:val="0"/>
              <w:spacing w:line="240" w:lineRule="auto"/>
              <w:ind w:right="24"/>
              <w:jc w:val="center"/>
              <w:rPr>
                <w:rFonts w:hint="eastAsia" w:ascii="宋体" w:hAnsi="宋体" w:eastAsia="宋体" w:cs="宋体"/>
                <w:bCs/>
                <w:color w:val="auto"/>
                <w:szCs w:val="21"/>
                <w:highlight w:val="none"/>
              </w:rPr>
            </w:pPr>
          </w:p>
        </w:tc>
        <w:tc>
          <w:tcPr>
            <w:tcW w:w="793" w:type="dxa"/>
            <w:tcBorders>
              <w:left w:val="single" w:color="auto" w:sz="4" w:space="0"/>
            </w:tcBorders>
            <w:vAlign w:val="center"/>
          </w:tcPr>
          <w:p w14:paraId="6B3A9410">
            <w:pPr>
              <w:shd w:val="clear"/>
              <w:adjustRightInd w:val="0"/>
              <w:snapToGrid w:val="0"/>
              <w:spacing w:line="240" w:lineRule="auto"/>
              <w:ind w:right="24"/>
              <w:jc w:val="center"/>
              <w:rPr>
                <w:rFonts w:hint="eastAsia" w:ascii="宋体" w:hAnsi="宋体" w:eastAsia="宋体" w:cs="宋体"/>
                <w:bCs/>
                <w:color w:val="auto"/>
                <w:szCs w:val="21"/>
                <w:highlight w:val="none"/>
              </w:rPr>
            </w:pPr>
          </w:p>
        </w:tc>
      </w:tr>
    </w:tbl>
    <w:p w14:paraId="05AFBAD0">
      <w:pPr>
        <w:shd w:val="clear"/>
        <w:spacing w:line="48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备注：</w:t>
      </w:r>
      <w:r>
        <w:rPr>
          <w:rFonts w:hint="eastAsia" w:ascii="宋体" w:hAnsi="宋体" w:eastAsia="宋体" w:cs="宋体"/>
          <w:color w:val="auto"/>
          <w:szCs w:val="21"/>
          <w:highlight w:val="none"/>
          <w:lang w:val="en-US" w:eastAsia="zh-CN"/>
        </w:rPr>
        <w:t>后附项目人员相关证明材料复印件加盖公章。</w:t>
      </w:r>
      <w:r>
        <w:rPr>
          <w:rFonts w:hint="eastAsia" w:ascii="宋体" w:hAnsi="宋体" w:eastAsia="宋体" w:cs="宋体"/>
          <w:color w:val="auto"/>
          <w:sz w:val="21"/>
          <w:szCs w:val="21"/>
          <w:highlight w:val="none"/>
          <w:lang w:eastAsia="zh-CN"/>
        </w:rPr>
        <w:t>页面可相同格式扩展。</w:t>
      </w:r>
    </w:p>
    <w:p w14:paraId="0F62E636">
      <w:pPr>
        <w:shd w:val="clear"/>
        <w:spacing w:line="520" w:lineRule="exact"/>
        <w:rPr>
          <w:rFonts w:hint="eastAsia" w:ascii="宋体" w:hAnsi="宋体" w:eastAsia="宋体" w:cs="宋体"/>
          <w:color w:val="auto"/>
          <w:szCs w:val="21"/>
          <w:highlight w:val="none"/>
        </w:rPr>
      </w:pPr>
    </w:p>
    <w:p w14:paraId="6E9975EB">
      <w:pPr>
        <w:pStyle w:val="19"/>
        <w:shd w:val="clear"/>
        <w:spacing w:before="0" w:beforeAutospacing="0" w:after="0" w:afterAutospacing="0" w:line="480" w:lineRule="auto"/>
        <w:ind w:firstLine="3990" w:firstLineChars="19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供应商名称：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（盖单位章）</w:t>
      </w:r>
    </w:p>
    <w:p w14:paraId="0CAD5533">
      <w:pPr>
        <w:pStyle w:val="19"/>
        <w:shd w:val="clear"/>
        <w:spacing w:before="0" w:beforeAutospacing="0" w:after="0" w:afterAutospacing="0" w:line="480" w:lineRule="auto"/>
        <w:ind w:firstLine="3990" w:firstLineChars="19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法定代表人或授权代理人：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（签字或盖章）</w:t>
      </w:r>
    </w:p>
    <w:p w14:paraId="4074F087">
      <w:pPr>
        <w:shd w:val="clear"/>
        <w:adjustRightInd w:val="0"/>
        <w:spacing w:line="480" w:lineRule="auto"/>
        <w:jc w:val="center"/>
        <w:rPr>
          <w:rFonts w:hint="eastAsia" w:ascii="宋体" w:hAnsi="宋体" w:eastAsia="宋体" w:cs="宋体"/>
          <w:color w:val="auto"/>
          <w:sz w:val="24"/>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日</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期：</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日</w:t>
      </w:r>
    </w:p>
    <w:p w14:paraId="500F6492">
      <w:pPr>
        <w:spacing w:line="440" w:lineRule="exact"/>
        <w:rPr>
          <w:rFonts w:ascii="宋体" w:hAnsi="宋体" w:cs="宋体"/>
          <w:b/>
          <w:bCs/>
          <w:color w:val="auto"/>
          <w:szCs w:val="21"/>
        </w:rPr>
      </w:pPr>
      <w:bookmarkStart w:id="122" w:name="_Toc7798"/>
      <w:r>
        <w:rPr>
          <w:rFonts w:hint="eastAsia" w:ascii="宋体" w:hAnsi="宋体" w:cs="宋体"/>
          <w:b/>
          <w:bCs/>
          <w:color w:val="auto"/>
          <w:szCs w:val="21"/>
        </w:rPr>
        <w:t>附表</w:t>
      </w:r>
      <w:r>
        <w:rPr>
          <w:rFonts w:hint="eastAsia" w:ascii="宋体" w:hAnsi="宋体" w:cs="宋体"/>
          <w:b/>
          <w:bCs/>
          <w:color w:val="auto"/>
          <w:szCs w:val="21"/>
          <w:lang w:val="en-US" w:eastAsia="zh-CN"/>
        </w:rPr>
        <w:t>2</w:t>
      </w:r>
      <w:r>
        <w:rPr>
          <w:rFonts w:hint="eastAsia" w:ascii="宋体" w:hAnsi="宋体" w:cs="宋体"/>
          <w:b/>
          <w:bCs/>
          <w:color w:val="auto"/>
          <w:szCs w:val="21"/>
        </w:rPr>
        <w:t>：</w:t>
      </w:r>
    </w:p>
    <w:p w14:paraId="088744D6">
      <w:pPr>
        <w:pStyle w:val="8"/>
        <w:shd w:val="clear"/>
        <w:spacing w:afterLines="100" w:line="360" w:lineRule="auto"/>
        <w:ind w:firstLine="0"/>
        <w:jc w:val="center"/>
        <w:outlineLvl w:val="9"/>
        <w:rPr>
          <w:rFonts w:ascii="宋体" w:hAnsi="宋体"/>
          <w:b/>
          <w:color w:val="auto"/>
          <w:sz w:val="36"/>
          <w:szCs w:val="36"/>
          <w:highlight w:val="none"/>
        </w:rPr>
      </w:pPr>
      <w:bookmarkStart w:id="123" w:name="_Toc1734"/>
      <w:r>
        <w:rPr>
          <w:rFonts w:hint="eastAsia" w:ascii="宋体" w:hAnsi="宋体"/>
          <w:b/>
          <w:bCs/>
          <w:color w:val="auto"/>
          <w:sz w:val="36"/>
          <w:szCs w:val="36"/>
          <w:highlight w:val="none"/>
          <w:lang w:val="en-US" w:eastAsia="zh-CN"/>
        </w:rPr>
        <w:t>采购内容及商务要求</w:t>
      </w:r>
      <w:r>
        <w:rPr>
          <w:rFonts w:hint="eastAsia" w:ascii="宋体" w:hAnsi="宋体"/>
          <w:b/>
          <w:bCs/>
          <w:color w:val="auto"/>
          <w:sz w:val="36"/>
          <w:szCs w:val="36"/>
          <w:highlight w:val="none"/>
        </w:rPr>
        <w:t>偏离表</w:t>
      </w:r>
      <w:bookmarkEnd w:id="123"/>
    </w:p>
    <w:p w14:paraId="361422ED">
      <w:pPr>
        <w:pStyle w:val="8"/>
        <w:shd w:val="clear"/>
        <w:spacing w:afterLines="50"/>
        <w:ind w:firstLine="105" w:firstLineChars="50"/>
        <w:rPr>
          <w:rFonts w:hint="eastAsia" w:ascii="宋体" w:hAnsi="宋体"/>
          <w:color w:val="auto"/>
          <w:highlight w:val="none"/>
        </w:rPr>
      </w:pPr>
      <w:r>
        <w:rPr>
          <w:rFonts w:hint="eastAsia" w:ascii="宋体" w:hAnsi="宋体"/>
          <w:color w:val="auto"/>
          <w:highlight w:val="none"/>
        </w:rPr>
        <w:t>项目名称：                                              项目编号：</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371"/>
        <w:gridCol w:w="2118"/>
        <w:gridCol w:w="1775"/>
        <w:gridCol w:w="1355"/>
        <w:gridCol w:w="1509"/>
      </w:tblGrid>
      <w:tr w14:paraId="29DA8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22" w:type="dxa"/>
            <w:vAlign w:val="center"/>
          </w:tcPr>
          <w:p w14:paraId="45128AB9">
            <w:pPr>
              <w:shd w:val="clear"/>
              <w:adjustRightInd w:val="0"/>
              <w:snapToGrid w:val="0"/>
              <w:ind w:right="23"/>
              <w:jc w:val="center"/>
              <w:rPr>
                <w:rFonts w:ascii="宋体" w:hAnsi="宋体"/>
                <w:b w:val="0"/>
                <w:bCs w:val="0"/>
                <w:color w:val="auto"/>
                <w:szCs w:val="21"/>
                <w:highlight w:val="none"/>
              </w:rPr>
            </w:pPr>
            <w:r>
              <w:rPr>
                <w:rFonts w:hint="eastAsia" w:ascii="宋体" w:hAnsi="宋体"/>
                <w:b w:val="0"/>
                <w:bCs w:val="0"/>
                <w:color w:val="auto"/>
                <w:szCs w:val="21"/>
                <w:highlight w:val="none"/>
              </w:rPr>
              <w:t>序号</w:t>
            </w:r>
          </w:p>
        </w:tc>
        <w:tc>
          <w:tcPr>
            <w:tcW w:w="1371" w:type="dxa"/>
            <w:vAlign w:val="center"/>
          </w:tcPr>
          <w:p w14:paraId="2EBB8E97">
            <w:pPr>
              <w:shd w:val="clear"/>
              <w:adjustRightInd w:val="0"/>
              <w:snapToGrid w:val="0"/>
              <w:ind w:right="23"/>
              <w:jc w:val="center"/>
              <w:rPr>
                <w:rFonts w:ascii="宋体" w:hAnsi="宋体"/>
                <w:b w:val="0"/>
                <w:bCs w:val="0"/>
                <w:color w:val="auto"/>
                <w:szCs w:val="21"/>
                <w:highlight w:val="none"/>
              </w:rPr>
            </w:pPr>
            <w:r>
              <w:rPr>
                <w:rFonts w:hint="eastAsia" w:ascii="宋体" w:hAnsi="宋体"/>
                <w:b w:val="0"/>
                <w:bCs w:val="0"/>
                <w:color w:val="auto"/>
                <w:szCs w:val="21"/>
                <w:highlight w:val="none"/>
              </w:rPr>
              <w:t>文件条目号</w:t>
            </w:r>
          </w:p>
        </w:tc>
        <w:tc>
          <w:tcPr>
            <w:tcW w:w="2118" w:type="dxa"/>
            <w:vAlign w:val="center"/>
          </w:tcPr>
          <w:p w14:paraId="485138F8">
            <w:pPr>
              <w:shd w:val="clear"/>
              <w:adjustRightInd w:val="0"/>
              <w:snapToGrid w:val="0"/>
              <w:ind w:right="23"/>
              <w:jc w:val="center"/>
              <w:rPr>
                <w:rFonts w:ascii="宋体" w:hAnsi="宋体"/>
                <w:b w:val="0"/>
                <w:bCs w:val="0"/>
                <w:color w:val="auto"/>
                <w:szCs w:val="21"/>
                <w:highlight w:val="none"/>
              </w:rPr>
            </w:pPr>
            <w:r>
              <w:rPr>
                <w:rFonts w:hint="eastAsia" w:ascii="宋体" w:hAnsi="宋体"/>
                <w:b w:val="0"/>
                <w:bCs w:val="0"/>
                <w:color w:val="auto"/>
                <w:szCs w:val="21"/>
                <w:highlight w:val="none"/>
              </w:rPr>
              <w:t>磋商文件服务要求</w:t>
            </w:r>
          </w:p>
        </w:tc>
        <w:tc>
          <w:tcPr>
            <w:tcW w:w="1775" w:type="dxa"/>
            <w:vAlign w:val="center"/>
          </w:tcPr>
          <w:p w14:paraId="001231FB">
            <w:pPr>
              <w:shd w:val="clear"/>
              <w:adjustRightInd w:val="0"/>
              <w:snapToGrid w:val="0"/>
              <w:ind w:right="23"/>
              <w:jc w:val="center"/>
              <w:rPr>
                <w:rFonts w:ascii="宋体" w:hAnsi="宋体"/>
                <w:b w:val="0"/>
                <w:bCs w:val="0"/>
                <w:color w:val="auto"/>
                <w:szCs w:val="21"/>
                <w:highlight w:val="none"/>
              </w:rPr>
            </w:pPr>
            <w:r>
              <w:rPr>
                <w:rFonts w:hint="eastAsia" w:ascii="宋体" w:hAnsi="宋体"/>
                <w:b w:val="0"/>
                <w:bCs w:val="0"/>
                <w:color w:val="auto"/>
                <w:szCs w:val="21"/>
                <w:highlight w:val="none"/>
              </w:rPr>
              <w:t>响应文件应答</w:t>
            </w:r>
          </w:p>
        </w:tc>
        <w:tc>
          <w:tcPr>
            <w:tcW w:w="1355" w:type="dxa"/>
            <w:vAlign w:val="center"/>
          </w:tcPr>
          <w:p w14:paraId="28898D2B">
            <w:pPr>
              <w:shd w:val="clear"/>
              <w:adjustRightInd w:val="0"/>
              <w:snapToGrid w:val="0"/>
              <w:ind w:right="23"/>
              <w:jc w:val="center"/>
              <w:rPr>
                <w:rFonts w:ascii="宋体" w:hAnsi="宋体"/>
                <w:b w:val="0"/>
                <w:bCs w:val="0"/>
                <w:color w:val="auto"/>
                <w:szCs w:val="21"/>
                <w:highlight w:val="none"/>
              </w:rPr>
            </w:pPr>
            <w:r>
              <w:rPr>
                <w:rFonts w:hint="eastAsia" w:ascii="宋体" w:hAnsi="宋体"/>
                <w:b w:val="0"/>
                <w:bCs w:val="0"/>
                <w:color w:val="auto"/>
                <w:szCs w:val="21"/>
                <w:highlight w:val="none"/>
              </w:rPr>
              <w:t>偏离</w:t>
            </w:r>
          </w:p>
        </w:tc>
        <w:tc>
          <w:tcPr>
            <w:tcW w:w="1509" w:type="dxa"/>
            <w:vAlign w:val="center"/>
          </w:tcPr>
          <w:p w14:paraId="4B5A5E71">
            <w:pPr>
              <w:shd w:val="clear"/>
              <w:adjustRightInd w:val="0"/>
              <w:snapToGrid w:val="0"/>
              <w:ind w:right="23"/>
              <w:jc w:val="center"/>
              <w:rPr>
                <w:rFonts w:ascii="宋体" w:hAnsi="宋体"/>
                <w:b w:val="0"/>
                <w:bCs w:val="0"/>
                <w:color w:val="auto"/>
                <w:szCs w:val="21"/>
                <w:highlight w:val="none"/>
              </w:rPr>
            </w:pPr>
            <w:r>
              <w:rPr>
                <w:rFonts w:hint="eastAsia" w:ascii="宋体" w:hAnsi="宋体"/>
                <w:b w:val="0"/>
                <w:bCs w:val="0"/>
                <w:color w:val="auto"/>
                <w:szCs w:val="21"/>
                <w:highlight w:val="none"/>
              </w:rPr>
              <w:t>偏离及其影响</w:t>
            </w:r>
          </w:p>
        </w:tc>
      </w:tr>
      <w:tr w14:paraId="32E6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362F610A">
            <w:pPr>
              <w:shd w:val="clear"/>
              <w:adjustRightInd w:val="0"/>
              <w:snapToGrid w:val="0"/>
              <w:spacing w:line="360" w:lineRule="auto"/>
              <w:ind w:right="24"/>
              <w:rPr>
                <w:rFonts w:ascii="宋体" w:hAnsi="宋体"/>
                <w:bCs/>
                <w:color w:val="auto"/>
                <w:sz w:val="24"/>
                <w:highlight w:val="none"/>
              </w:rPr>
            </w:pPr>
          </w:p>
        </w:tc>
        <w:tc>
          <w:tcPr>
            <w:tcW w:w="1371" w:type="dxa"/>
          </w:tcPr>
          <w:p w14:paraId="78666CA6">
            <w:pPr>
              <w:shd w:val="clear"/>
              <w:adjustRightInd w:val="0"/>
              <w:snapToGrid w:val="0"/>
              <w:spacing w:line="360" w:lineRule="auto"/>
              <w:ind w:right="24"/>
              <w:rPr>
                <w:rFonts w:ascii="宋体" w:hAnsi="宋体"/>
                <w:bCs/>
                <w:color w:val="auto"/>
                <w:sz w:val="24"/>
                <w:highlight w:val="none"/>
              </w:rPr>
            </w:pPr>
          </w:p>
        </w:tc>
        <w:tc>
          <w:tcPr>
            <w:tcW w:w="2118" w:type="dxa"/>
          </w:tcPr>
          <w:p w14:paraId="2AA6D2FB">
            <w:pPr>
              <w:shd w:val="clear"/>
              <w:adjustRightInd w:val="0"/>
              <w:snapToGrid w:val="0"/>
              <w:spacing w:line="360" w:lineRule="auto"/>
              <w:ind w:right="24"/>
              <w:rPr>
                <w:rFonts w:ascii="宋体" w:hAnsi="宋体"/>
                <w:bCs/>
                <w:color w:val="auto"/>
                <w:sz w:val="24"/>
                <w:highlight w:val="none"/>
              </w:rPr>
            </w:pPr>
          </w:p>
        </w:tc>
        <w:tc>
          <w:tcPr>
            <w:tcW w:w="1775" w:type="dxa"/>
          </w:tcPr>
          <w:p w14:paraId="34170065">
            <w:pPr>
              <w:shd w:val="clear"/>
              <w:adjustRightInd w:val="0"/>
              <w:snapToGrid w:val="0"/>
              <w:spacing w:line="360" w:lineRule="auto"/>
              <w:ind w:right="24"/>
              <w:rPr>
                <w:rFonts w:ascii="宋体" w:hAnsi="宋体"/>
                <w:bCs/>
                <w:color w:val="auto"/>
                <w:sz w:val="24"/>
                <w:highlight w:val="none"/>
              </w:rPr>
            </w:pPr>
          </w:p>
        </w:tc>
        <w:tc>
          <w:tcPr>
            <w:tcW w:w="1355" w:type="dxa"/>
          </w:tcPr>
          <w:p w14:paraId="1044C177">
            <w:pPr>
              <w:shd w:val="clear"/>
              <w:adjustRightInd w:val="0"/>
              <w:snapToGrid w:val="0"/>
              <w:spacing w:line="360" w:lineRule="auto"/>
              <w:ind w:right="24"/>
              <w:rPr>
                <w:rFonts w:ascii="宋体" w:hAnsi="宋体"/>
                <w:bCs/>
                <w:color w:val="auto"/>
                <w:sz w:val="24"/>
                <w:highlight w:val="none"/>
              </w:rPr>
            </w:pPr>
          </w:p>
        </w:tc>
        <w:tc>
          <w:tcPr>
            <w:tcW w:w="1509" w:type="dxa"/>
          </w:tcPr>
          <w:p w14:paraId="30786C45">
            <w:pPr>
              <w:shd w:val="clear"/>
              <w:adjustRightInd w:val="0"/>
              <w:snapToGrid w:val="0"/>
              <w:spacing w:line="360" w:lineRule="auto"/>
              <w:ind w:right="24"/>
              <w:rPr>
                <w:rFonts w:ascii="宋体" w:hAnsi="宋体"/>
                <w:bCs/>
                <w:color w:val="auto"/>
                <w:sz w:val="24"/>
                <w:highlight w:val="none"/>
              </w:rPr>
            </w:pPr>
          </w:p>
        </w:tc>
      </w:tr>
      <w:tr w14:paraId="43B8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5479A7C8">
            <w:pPr>
              <w:shd w:val="clear"/>
              <w:adjustRightInd w:val="0"/>
              <w:snapToGrid w:val="0"/>
              <w:spacing w:line="360" w:lineRule="auto"/>
              <w:ind w:right="24"/>
              <w:rPr>
                <w:rFonts w:ascii="宋体" w:hAnsi="宋体"/>
                <w:bCs/>
                <w:color w:val="auto"/>
                <w:sz w:val="24"/>
                <w:highlight w:val="none"/>
              </w:rPr>
            </w:pPr>
          </w:p>
        </w:tc>
        <w:tc>
          <w:tcPr>
            <w:tcW w:w="1371" w:type="dxa"/>
          </w:tcPr>
          <w:p w14:paraId="6FC2EB88">
            <w:pPr>
              <w:shd w:val="clear"/>
              <w:adjustRightInd w:val="0"/>
              <w:snapToGrid w:val="0"/>
              <w:spacing w:line="360" w:lineRule="auto"/>
              <w:ind w:right="24"/>
              <w:rPr>
                <w:rFonts w:ascii="宋体" w:hAnsi="宋体"/>
                <w:bCs/>
                <w:color w:val="auto"/>
                <w:sz w:val="24"/>
                <w:highlight w:val="none"/>
              </w:rPr>
            </w:pPr>
          </w:p>
        </w:tc>
        <w:tc>
          <w:tcPr>
            <w:tcW w:w="2118" w:type="dxa"/>
          </w:tcPr>
          <w:p w14:paraId="418E98FB">
            <w:pPr>
              <w:shd w:val="clear"/>
              <w:adjustRightInd w:val="0"/>
              <w:snapToGrid w:val="0"/>
              <w:spacing w:line="360" w:lineRule="auto"/>
              <w:ind w:right="24"/>
              <w:rPr>
                <w:rFonts w:ascii="宋体" w:hAnsi="宋体"/>
                <w:bCs/>
                <w:color w:val="auto"/>
                <w:sz w:val="24"/>
                <w:highlight w:val="none"/>
              </w:rPr>
            </w:pPr>
          </w:p>
        </w:tc>
        <w:tc>
          <w:tcPr>
            <w:tcW w:w="1775" w:type="dxa"/>
          </w:tcPr>
          <w:p w14:paraId="12940680">
            <w:pPr>
              <w:shd w:val="clear"/>
              <w:adjustRightInd w:val="0"/>
              <w:snapToGrid w:val="0"/>
              <w:spacing w:line="360" w:lineRule="auto"/>
              <w:ind w:right="24"/>
              <w:rPr>
                <w:rFonts w:ascii="宋体" w:hAnsi="宋体"/>
                <w:bCs/>
                <w:color w:val="auto"/>
                <w:sz w:val="24"/>
                <w:highlight w:val="none"/>
              </w:rPr>
            </w:pPr>
          </w:p>
        </w:tc>
        <w:tc>
          <w:tcPr>
            <w:tcW w:w="1355" w:type="dxa"/>
          </w:tcPr>
          <w:p w14:paraId="6E814247">
            <w:pPr>
              <w:shd w:val="clear"/>
              <w:adjustRightInd w:val="0"/>
              <w:snapToGrid w:val="0"/>
              <w:spacing w:line="360" w:lineRule="auto"/>
              <w:ind w:right="24"/>
              <w:rPr>
                <w:rFonts w:ascii="宋体" w:hAnsi="宋体"/>
                <w:bCs/>
                <w:color w:val="auto"/>
                <w:sz w:val="24"/>
                <w:highlight w:val="none"/>
              </w:rPr>
            </w:pPr>
          </w:p>
        </w:tc>
        <w:tc>
          <w:tcPr>
            <w:tcW w:w="1509" w:type="dxa"/>
          </w:tcPr>
          <w:p w14:paraId="6E6BFF44">
            <w:pPr>
              <w:shd w:val="clear"/>
              <w:adjustRightInd w:val="0"/>
              <w:snapToGrid w:val="0"/>
              <w:spacing w:line="360" w:lineRule="auto"/>
              <w:ind w:right="24"/>
              <w:rPr>
                <w:rFonts w:ascii="宋体" w:hAnsi="宋体"/>
                <w:bCs/>
                <w:color w:val="auto"/>
                <w:sz w:val="24"/>
                <w:highlight w:val="none"/>
              </w:rPr>
            </w:pPr>
          </w:p>
        </w:tc>
      </w:tr>
      <w:tr w14:paraId="01A8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1D92A840">
            <w:pPr>
              <w:shd w:val="clear"/>
              <w:adjustRightInd w:val="0"/>
              <w:snapToGrid w:val="0"/>
              <w:spacing w:line="360" w:lineRule="auto"/>
              <w:ind w:right="24"/>
              <w:rPr>
                <w:rFonts w:ascii="宋体" w:hAnsi="宋体"/>
                <w:bCs/>
                <w:color w:val="auto"/>
                <w:sz w:val="24"/>
                <w:highlight w:val="none"/>
              </w:rPr>
            </w:pPr>
          </w:p>
        </w:tc>
        <w:tc>
          <w:tcPr>
            <w:tcW w:w="1371" w:type="dxa"/>
          </w:tcPr>
          <w:p w14:paraId="75BDADA2">
            <w:pPr>
              <w:shd w:val="clear"/>
              <w:adjustRightInd w:val="0"/>
              <w:snapToGrid w:val="0"/>
              <w:spacing w:line="360" w:lineRule="auto"/>
              <w:ind w:right="24"/>
              <w:rPr>
                <w:rFonts w:ascii="宋体" w:hAnsi="宋体"/>
                <w:bCs/>
                <w:color w:val="auto"/>
                <w:sz w:val="24"/>
                <w:highlight w:val="none"/>
              </w:rPr>
            </w:pPr>
          </w:p>
        </w:tc>
        <w:tc>
          <w:tcPr>
            <w:tcW w:w="2118" w:type="dxa"/>
          </w:tcPr>
          <w:p w14:paraId="7A5C241E">
            <w:pPr>
              <w:shd w:val="clear"/>
              <w:adjustRightInd w:val="0"/>
              <w:snapToGrid w:val="0"/>
              <w:spacing w:line="360" w:lineRule="auto"/>
              <w:ind w:right="24"/>
              <w:rPr>
                <w:rFonts w:ascii="宋体" w:hAnsi="宋体"/>
                <w:bCs/>
                <w:color w:val="auto"/>
                <w:sz w:val="24"/>
                <w:highlight w:val="none"/>
              </w:rPr>
            </w:pPr>
          </w:p>
        </w:tc>
        <w:tc>
          <w:tcPr>
            <w:tcW w:w="1775" w:type="dxa"/>
          </w:tcPr>
          <w:p w14:paraId="19ED1AB3">
            <w:pPr>
              <w:shd w:val="clear"/>
              <w:adjustRightInd w:val="0"/>
              <w:snapToGrid w:val="0"/>
              <w:spacing w:line="360" w:lineRule="auto"/>
              <w:ind w:right="24"/>
              <w:rPr>
                <w:rFonts w:ascii="宋体" w:hAnsi="宋体"/>
                <w:bCs/>
                <w:color w:val="auto"/>
                <w:sz w:val="24"/>
                <w:highlight w:val="none"/>
              </w:rPr>
            </w:pPr>
          </w:p>
        </w:tc>
        <w:tc>
          <w:tcPr>
            <w:tcW w:w="1355" w:type="dxa"/>
          </w:tcPr>
          <w:p w14:paraId="011B971E">
            <w:pPr>
              <w:shd w:val="clear"/>
              <w:adjustRightInd w:val="0"/>
              <w:snapToGrid w:val="0"/>
              <w:spacing w:line="360" w:lineRule="auto"/>
              <w:ind w:right="24"/>
              <w:rPr>
                <w:rFonts w:ascii="宋体" w:hAnsi="宋体"/>
                <w:bCs/>
                <w:color w:val="auto"/>
                <w:sz w:val="24"/>
                <w:highlight w:val="none"/>
              </w:rPr>
            </w:pPr>
          </w:p>
        </w:tc>
        <w:tc>
          <w:tcPr>
            <w:tcW w:w="1509" w:type="dxa"/>
          </w:tcPr>
          <w:p w14:paraId="2584A748">
            <w:pPr>
              <w:shd w:val="clear"/>
              <w:adjustRightInd w:val="0"/>
              <w:snapToGrid w:val="0"/>
              <w:spacing w:line="360" w:lineRule="auto"/>
              <w:ind w:right="24"/>
              <w:rPr>
                <w:rFonts w:ascii="宋体" w:hAnsi="宋体"/>
                <w:bCs/>
                <w:color w:val="auto"/>
                <w:sz w:val="24"/>
                <w:highlight w:val="none"/>
              </w:rPr>
            </w:pPr>
          </w:p>
        </w:tc>
      </w:tr>
      <w:tr w14:paraId="7BB34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7B1E52D0">
            <w:pPr>
              <w:shd w:val="clear"/>
              <w:adjustRightInd w:val="0"/>
              <w:snapToGrid w:val="0"/>
              <w:spacing w:line="360" w:lineRule="auto"/>
              <w:ind w:right="24"/>
              <w:rPr>
                <w:rFonts w:ascii="宋体" w:hAnsi="宋体"/>
                <w:bCs/>
                <w:color w:val="auto"/>
                <w:sz w:val="24"/>
                <w:highlight w:val="none"/>
              </w:rPr>
            </w:pPr>
          </w:p>
        </w:tc>
        <w:tc>
          <w:tcPr>
            <w:tcW w:w="1371" w:type="dxa"/>
          </w:tcPr>
          <w:p w14:paraId="1D4958CA">
            <w:pPr>
              <w:shd w:val="clear"/>
              <w:adjustRightInd w:val="0"/>
              <w:snapToGrid w:val="0"/>
              <w:spacing w:line="360" w:lineRule="auto"/>
              <w:ind w:right="24"/>
              <w:rPr>
                <w:rFonts w:ascii="宋体" w:hAnsi="宋体"/>
                <w:bCs/>
                <w:color w:val="auto"/>
                <w:sz w:val="24"/>
                <w:highlight w:val="none"/>
              </w:rPr>
            </w:pPr>
          </w:p>
        </w:tc>
        <w:tc>
          <w:tcPr>
            <w:tcW w:w="2118" w:type="dxa"/>
          </w:tcPr>
          <w:p w14:paraId="371B5FAA">
            <w:pPr>
              <w:shd w:val="clear"/>
              <w:adjustRightInd w:val="0"/>
              <w:snapToGrid w:val="0"/>
              <w:spacing w:line="360" w:lineRule="auto"/>
              <w:ind w:right="24"/>
              <w:rPr>
                <w:rFonts w:ascii="宋体" w:hAnsi="宋体"/>
                <w:bCs/>
                <w:color w:val="auto"/>
                <w:sz w:val="24"/>
                <w:highlight w:val="none"/>
              </w:rPr>
            </w:pPr>
          </w:p>
        </w:tc>
        <w:tc>
          <w:tcPr>
            <w:tcW w:w="1775" w:type="dxa"/>
          </w:tcPr>
          <w:p w14:paraId="0AEFBDA1">
            <w:pPr>
              <w:shd w:val="clear"/>
              <w:adjustRightInd w:val="0"/>
              <w:snapToGrid w:val="0"/>
              <w:spacing w:line="360" w:lineRule="auto"/>
              <w:ind w:right="24"/>
              <w:rPr>
                <w:rFonts w:ascii="宋体" w:hAnsi="宋体"/>
                <w:bCs/>
                <w:color w:val="auto"/>
                <w:sz w:val="24"/>
                <w:highlight w:val="none"/>
              </w:rPr>
            </w:pPr>
          </w:p>
        </w:tc>
        <w:tc>
          <w:tcPr>
            <w:tcW w:w="1355" w:type="dxa"/>
          </w:tcPr>
          <w:p w14:paraId="5F830C1D">
            <w:pPr>
              <w:shd w:val="clear"/>
              <w:adjustRightInd w:val="0"/>
              <w:snapToGrid w:val="0"/>
              <w:spacing w:line="360" w:lineRule="auto"/>
              <w:ind w:right="24"/>
              <w:rPr>
                <w:rFonts w:ascii="宋体" w:hAnsi="宋体"/>
                <w:bCs/>
                <w:color w:val="auto"/>
                <w:sz w:val="24"/>
                <w:highlight w:val="none"/>
              </w:rPr>
            </w:pPr>
          </w:p>
        </w:tc>
        <w:tc>
          <w:tcPr>
            <w:tcW w:w="1509" w:type="dxa"/>
          </w:tcPr>
          <w:p w14:paraId="2F003CC4">
            <w:pPr>
              <w:shd w:val="clear"/>
              <w:adjustRightInd w:val="0"/>
              <w:snapToGrid w:val="0"/>
              <w:spacing w:line="360" w:lineRule="auto"/>
              <w:ind w:right="24"/>
              <w:rPr>
                <w:rFonts w:ascii="宋体" w:hAnsi="宋体"/>
                <w:bCs/>
                <w:color w:val="auto"/>
                <w:sz w:val="24"/>
                <w:highlight w:val="none"/>
              </w:rPr>
            </w:pPr>
          </w:p>
        </w:tc>
      </w:tr>
      <w:tr w14:paraId="383D9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5490B0DF">
            <w:pPr>
              <w:shd w:val="clear"/>
              <w:adjustRightInd w:val="0"/>
              <w:snapToGrid w:val="0"/>
              <w:spacing w:line="360" w:lineRule="auto"/>
              <w:ind w:right="24"/>
              <w:rPr>
                <w:rFonts w:ascii="宋体" w:hAnsi="宋体"/>
                <w:bCs/>
                <w:color w:val="auto"/>
                <w:sz w:val="24"/>
                <w:highlight w:val="none"/>
              </w:rPr>
            </w:pPr>
          </w:p>
        </w:tc>
        <w:tc>
          <w:tcPr>
            <w:tcW w:w="1371" w:type="dxa"/>
          </w:tcPr>
          <w:p w14:paraId="75CC7281">
            <w:pPr>
              <w:shd w:val="clear"/>
              <w:adjustRightInd w:val="0"/>
              <w:snapToGrid w:val="0"/>
              <w:spacing w:line="360" w:lineRule="auto"/>
              <w:ind w:right="24"/>
              <w:rPr>
                <w:rFonts w:ascii="宋体" w:hAnsi="宋体"/>
                <w:bCs/>
                <w:color w:val="auto"/>
                <w:sz w:val="24"/>
                <w:highlight w:val="none"/>
              </w:rPr>
            </w:pPr>
          </w:p>
        </w:tc>
        <w:tc>
          <w:tcPr>
            <w:tcW w:w="2118" w:type="dxa"/>
          </w:tcPr>
          <w:p w14:paraId="314AFCC2">
            <w:pPr>
              <w:shd w:val="clear"/>
              <w:adjustRightInd w:val="0"/>
              <w:snapToGrid w:val="0"/>
              <w:spacing w:line="360" w:lineRule="auto"/>
              <w:ind w:right="24"/>
              <w:rPr>
                <w:rFonts w:ascii="宋体" w:hAnsi="宋体"/>
                <w:bCs/>
                <w:color w:val="auto"/>
                <w:sz w:val="24"/>
                <w:highlight w:val="none"/>
              </w:rPr>
            </w:pPr>
          </w:p>
        </w:tc>
        <w:tc>
          <w:tcPr>
            <w:tcW w:w="1775" w:type="dxa"/>
          </w:tcPr>
          <w:p w14:paraId="4FCE8899">
            <w:pPr>
              <w:shd w:val="clear"/>
              <w:adjustRightInd w:val="0"/>
              <w:snapToGrid w:val="0"/>
              <w:spacing w:line="360" w:lineRule="auto"/>
              <w:ind w:right="24"/>
              <w:rPr>
                <w:rFonts w:ascii="宋体" w:hAnsi="宋体"/>
                <w:bCs/>
                <w:color w:val="auto"/>
                <w:sz w:val="24"/>
                <w:highlight w:val="none"/>
              </w:rPr>
            </w:pPr>
          </w:p>
        </w:tc>
        <w:tc>
          <w:tcPr>
            <w:tcW w:w="1355" w:type="dxa"/>
          </w:tcPr>
          <w:p w14:paraId="38ECAD8B">
            <w:pPr>
              <w:shd w:val="clear"/>
              <w:adjustRightInd w:val="0"/>
              <w:snapToGrid w:val="0"/>
              <w:spacing w:line="360" w:lineRule="auto"/>
              <w:ind w:right="24"/>
              <w:rPr>
                <w:rFonts w:ascii="宋体" w:hAnsi="宋体"/>
                <w:bCs/>
                <w:color w:val="auto"/>
                <w:sz w:val="24"/>
                <w:highlight w:val="none"/>
              </w:rPr>
            </w:pPr>
          </w:p>
        </w:tc>
        <w:tc>
          <w:tcPr>
            <w:tcW w:w="1509" w:type="dxa"/>
          </w:tcPr>
          <w:p w14:paraId="6078C3D1">
            <w:pPr>
              <w:shd w:val="clear"/>
              <w:adjustRightInd w:val="0"/>
              <w:snapToGrid w:val="0"/>
              <w:spacing w:line="360" w:lineRule="auto"/>
              <w:ind w:right="24"/>
              <w:rPr>
                <w:rFonts w:ascii="宋体" w:hAnsi="宋体"/>
                <w:bCs/>
                <w:color w:val="auto"/>
                <w:sz w:val="24"/>
                <w:highlight w:val="none"/>
              </w:rPr>
            </w:pPr>
          </w:p>
        </w:tc>
      </w:tr>
      <w:tr w14:paraId="3D9B0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32ED1664">
            <w:pPr>
              <w:shd w:val="clear"/>
              <w:adjustRightInd w:val="0"/>
              <w:snapToGrid w:val="0"/>
              <w:spacing w:line="360" w:lineRule="auto"/>
              <w:ind w:right="24"/>
              <w:rPr>
                <w:rFonts w:ascii="宋体" w:hAnsi="宋体"/>
                <w:bCs/>
                <w:color w:val="auto"/>
                <w:sz w:val="24"/>
                <w:highlight w:val="none"/>
              </w:rPr>
            </w:pPr>
          </w:p>
        </w:tc>
        <w:tc>
          <w:tcPr>
            <w:tcW w:w="1371" w:type="dxa"/>
          </w:tcPr>
          <w:p w14:paraId="69D36787">
            <w:pPr>
              <w:shd w:val="clear"/>
              <w:adjustRightInd w:val="0"/>
              <w:snapToGrid w:val="0"/>
              <w:spacing w:line="360" w:lineRule="auto"/>
              <w:ind w:right="24"/>
              <w:rPr>
                <w:rFonts w:ascii="宋体" w:hAnsi="宋体"/>
                <w:bCs/>
                <w:color w:val="auto"/>
                <w:sz w:val="24"/>
                <w:highlight w:val="none"/>
              </w:rPr>
            </w:pPr>
          </w:p>
        </w:tc>
        <w:tc>
          <w:tcPr>
            <w:tcW w:w="2118" w:type="dxa"/>
          </w:tcPr>
          <w:p w14:paraId="45633EBF">
            <w:pPr>
              <w:shd w:val="clear"/>
              <w:adjustRightInd w:val="0"/>
              <w:snapToGrid w:val="0"/>
              <w:spacing w:line="360" w:lineRule="auto"/>
              <w:ind w:right="24"/>
              <w:rPr>
                <w:rFonts w:ascii="宋体" w:hAnsi="宋体"/>
                <w:bCs/>
                <w:color w:val="auto"/>
                <w:sz w:val="24"/>
                <w:highlight w:val="none"/>
              </w:rPr>
            </w:pPr>
          </w:p>
        </w:tc>
        <w:tc>
          <w:tcPr>
            <w:tcW w:w="1775" w:type="dxa"/>
          </w:tcPr>
          <w:p w14:paraId="734DB325">
            <w:pPr>
              <w:shd w:val="clear"/>
              <w:adjustRightInd w:val="0"/>
              <w:snapToGrid w:val="0"/>
              <w:spacing w:line="360" w:lineRule="auto"/>
              <w:ind w:right="24"/>
              <w:rPr>
                <w:rFonts w:ascii="宋体" w:hAnsi="宋体"/>
                <w:bCs/>
                <w:color w:val="auto"/>
                <w:sz w:val="24"/>
                <w:highlight w:val="none"/>
              </w:rPr>
            </w:pPr>
          </w:p>
        </w:tc>
        <w:tc>
          <w:tcPr>
            <w:tcW w:w="1355" w:type="dxa"/>
          </w:tcPr>
          <w:p w14:paraId="5815431B">
            <w:pPr>
              <w:shd w:val="clear"/>
              <w:adjustRightInd w:val="0"/>
              <w:snapToGrid w:val="0"/>
              <w:spacing w:line="360" w:lineRule="auto"/>
              <w:ind w:right="24"/>
              <w:rPr>
                <w:rFonts w:ascii="宋体" w:hAnsi="宋体"/>
                <w:bCs/>
                <w:color w:val="auto"/>
                <w:sz w:val="24"/>
                <w:highlight w:val="none"/>
              </w:rPr>
            </w:pPr>
          </w:p>
        </w:tc>
        <w:tc>
          <w:tcPr>
            <w:tcW w:w="1509" w:type="dxa"/>
          </w:tcPr>
          <w:p w14:paraId="4956021B">
            <w:pPr>
              <w:shd w:val="clear"/>
              <w:adjustRightInd w:val="0"/>
              <w:snapToGrid w:val="0"/>
              <w:spacing w:line="360" w:lineRule="auto"/>
              <w:ind w:right="24"/>
              <w:rPr>
                <w:rFonts w:ascii="宋体" w:hAnsi="宋体"/>
                <w:bCs/>
                <w:color w:val="auto"/>
                <w:sz w:val="24"/>
                <w:highlight w:val="none"/>
              </w:rPr>
            </w:pPr>
          </w:p>
        </w:tc>
      </w:tr>
      <w:tr w14:paraId="3E137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69F158DC">
            <w:pPr>
              <w:shd w:val="clear"/>
              <w:adjustRightInd w:val="0"/>
              <w:snapToGrid w:val="0"/>
              <w:spacing w:line="360" w:lineRule="auto"/>
              <w:ind w:right="24"/>
              <w:rPr>
                <w:rFonts w:ascii="宋体" w:hAnsi="宋体"/>
                <w:bCs/>
                <w:color w:val="auto"/>
                <w:sz w:val="24"/>
                <w:highlight w:val="none"/>
              </w:rPr>
            </w:pPr>
          </w:p>
        </w:tc>
        <w:tc>
          <w:tcPr>
            <w:tcW w:w="1371" w:type="dxa"/>
          </w:tcPr>
          <w:p w14:paraId="10DB899A">
            <w:pPr>
              <w:shd w:val="clear"/>
              <w:adjustRightInd w:val="0"/>
              <w:snapToGrid w:val="0"/>
              <w:spacing w:line="360" w:lineRule="auto"/>
              <w:ind w:right="24"/>
              <w:rPr>
                <w:rFonts w:ascii="宋体" w:hAnsi="宋体"/>
                <w:bCs/>
                <w:color w:val="auto"/>
                <w:sz w:val="24"/>
                <w:highlight w:val="none"/>
              </w:rPr>
            </w:pPr>
          </w:p>
        </w:tc>
        <w:tc>
          <w:tcPr>
            <w:tcW w:w="2118" w:type="dxa"/>
          </w:tcPr>
          <w:p w14:paraId="1349AF4D">
            <w:pPr>
              <w:shd w:val="clear"/>
              <w:adjustRightInd w:val="0"/>
              <w:snapToGrid w:val="0"/>
              <w:spacing w:line="360" w:lineRule="auto"/>
              <w:ind w:right="24"/>
              <w:rPr>
                <w:rFonts w:ascii="宋体" w:hAnsi="宋体"/>
                <w:bCs/>
                <w:color w:val="auto"/>
                <w:sz w:val="24"/>
                <w:highlight w:val="none"/>
              </w:rPr>
            </w:pPr>
          </w:p>
        </w:tc>
        <w:tc>
          <w:tcPr>
            <w:tcW w:w="1775" w:type="dxa"/>
          </w:tcPr>
          <w:p w14:paraId="15FE757C">
            <w:pPr>
              <w:shd w:val="clear"/>
              <w:adjustRightInd w:val="0"/>
              <w:snapToGrid w:val="0"/>
              <w:spacing w:line="360" w:lineRule="auto"/>
              <w:ind w:right="24"/>
              <w:rPr>
                <w:rFonts w:ascii="宋体" w:hAnsi="宋体"/>
                <w:bCs/>
                <w:color w:val="auto"/>
                <w:sz w:val="24"/>
                <w:highlight w:val="none"/>
              </w:rPr>
            </w:pPr>
          </w:p>
        </w:tc>
        <w:tc>
          <w:tcPr>
            <w:tcW w:w="1355" w:type="dxa"/>
          </w:tcPr>
          <w:p w14:paraId="7C8669F6">
            <w:pPr>
              <w:shd w:val="clear"/>
              <w:adjustRightInd w:val="0"/>
              <w:snapToGrid w:val="0"/>
              <w:spacing w:line="360" w:lineRule="auto"/>
              <w:ind w:right="24"/>
              <w:rPr>
                <w:rFonts w:ascii="宋体" w:hAnsi="宋体"/>
                <w:bCs/>
                <w:color w:val="auto"/>
                <w:sz w:val="24"/>
                <w:highlight w:val="none"/>
              </w:rPr>
            </w:pPr>
          </w:p>
        </w:tc>
        <w:tc>
          <w:tcPr>
            <w:tcW w:w="1509" w:type="dxa"/>
          </w:tcPr>
          <w:p w14:paraId="5AF81463">
            <w:pPr>
              <w:shd w:val="clear"/>
              <w:adjustRightInd w:val="0"/>
              <w:snapToGrid w:val="0"/>
              <w:spacing w:line="360" w:lineRule="auto"/>
              <w:ind w:right="24"/>
              <w:rPr>
                <w:rFonts w:ascii="宋体" w:hAnsi="宋体"/>
                <w:bCs/>
                <w:color w:val="auto"/>
                <w:sz w:val="24"/>
                <w:highlight w:val="none"/>
              </w:rPr>
            </w:pPr>
          </w:p>
        </w:tc>
      </w:tr>
      <w:tr w14:paraId="1C7D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7CA6715D">
            <w:pPr>
              <w:shd w:val="clear"/>
              <w:adjustRightInd w:val="0"/>
              <w:snapToGrid w:val="0"/>
              <w:spacing w:line="360" w:lineRule="auto"/>
              <w:ind w:right="24"/>
              <w:rPr>
                <w:rFonts w:ascii="宋体" w:hAnsi="宋体"/>
                <w:bCs/>
                <w:color w:val="auto"/>
                <w:sz w:val="24"/>
                <w:highlight w:val="none"/>
              </w:rPr>
            </w:pPr>
          </w:p>
        </w:tc>
        <w:tc>
          <w:tcPr>
            <w:tcW w:w="1371" w:type="dxa"/>
          </w:tcPr>
          <w:p w14:paraId="785A743C">
            <w:pPr>
              <w:shd w:val="clear"/>
              <w:adjustRightInd w:val="0"/>
              <w:snapToGrid w:val="0"/>
              <w:spacing w:line="360" w:lineRule="auto"/>
              <w:ind w:right="24"/>
              <w:rPr>
                <w:rFonts w:ascii="宋体" w:hAnsi="宋体"/>
                <w:bCs/>
                <w:color w:val="auto"/>
                <w:sz w:val="24"/>
                <w:highlight w:val="none"/>
              </w:rPr>
            </w:pPr>
          </w:p>
        </w:tc>
        <w:tc>
          <w:tcPr>
            <w:tcW w:w="2118" w:type="dxa"/>
          </w:tcPr>
          <w:p w14:paraId="5F548263">
            <w:pPr>
              <w:shd w:val="clear"/>
              <w:adjustRightInd w:val="0"/>
              <w:snapToGrid w:val="0"/>
              <w:spacing w:line="360" w:lineRule="auto"/>
              <w:ind w:right="24"/>
              <w:rPr>
                <w:rFonts w:ascii="宋体" w:hAnsi="宋体"/>
                <w:bCs/>
                <w:color w:val="auto"/>
                <w:sz w:val="24"/>
                <w:highlight w:val="none"/>
              </w:rPr>
            </w:pPr>
          </w:p>
        </w:tc>
        <w:tc>
          <w:tcPr>
            <w:tcW w:w="1775" w:type="dxa"/>
          </w:tcPr>
          <w:p w14:paraId="6EC1269E">
            <w:pPr>
              <w:shd w:val="clear"/>
              <w:adjustRightInd w:val="0"/>
              <w:snapToGrid w:val="0"/>
              <w:spacing w:line="360" w:lineRule="auto"/>
              <w:ind w:right="24"/>
              <w:rPr>
                <w:rFonts w:ascii="宋体" w:hAnsi="宋体"/>
                <w:bCs/>
                <w:color w:val="auto"/>
                <w:sz w:val="24"/>
                <w:highlight w:val="none"/>
              </w:rPr>
            </w:pPr>
          </w:p>
        </w:tc>
        <w:tc>
          <w:tcPr>
            <w:tcW w:w="1355" w:type="dxa"/>
          </w:tcPr>
          <w:p w14:paraId="1EB45F7A">
            <w:pPr>
              <w:shd w:val="clear"/>
              <w:adjustRightInd w:val="0"/>
              <w:snapToGrid w:val="0"/>
              <w:spacing w:line="360" w:lineRule="auto"/>
              <w:ind w:right="24"/>
              <w:rPr>
                <w:rFonts w:ascii="宋体" w:hAnsi="宋体"/>
                <w:bCs/>
                <w:color w:val="auto"/>
                <w:sz w:val="24"/>
                <w:highlight w:val="none"/>
              </w:rPr>
            </w:pPr>
          </w:p>
        </w:tc>
        <w:tc>
          <w:tcPr>
            <w:tcW w:w="1509" w:type="dxa"/>
          </w:tcPr>
          <w:p w14:paraId="2AE65389">
            <w:pPr>
              <w:shd w:val="clear"/>
              <w:adjustRightInd w:val="0"/>
              <w:snapToGrid w:val="0"/>
              <w:spacing w:line="360" w:lineRule="auto"/>
              <w:ind w:right="24"/>
              <w:rPr>
                <w:rFonts w:ascii="宋体" w:hAnsi="宋体"/>
                <w:bCs/>
                <w:color w:val="auto"/>
                <w:sz w:val="24"/>
                <w:highlight w:val="none"/>
              </w:rPr>
            </w:pPr>
          </w:p>
        </w:tc>
      </w:tr>
      <w:tr w14:paraId="42C49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52E494BE">
            <w:pPr>
              <w:shd w:val="clear"/>
              <w:adjustRightInd w:val="0"/>
              <w:snapToGrid w:val="0"/>
              <w:spacing w:line="360" w:lineRule="auto"/>
              <w:ind w:right="24"/>
              <w:rPr>
                <w:rFonts w:ascii="宋体" w:hAnsi="宋体"/>
                <w:bCs/>
                <w:color w:val="auto"/>
                <w:sz w:val="24"/>
                <w:highlight w:val="none"/>
              </w:rPr>
            </w:pPr>
          </w:p>
        </w:tc>
        <w:tc>
          <w:tcPr>
            <w:tcW w:w="1371" w:type="dxa"/>
          </w:tcPr>
          <w:p w14:paraId="41150DDF">
            <w:pPr>
              <w:shd w:val="clear"/>
              <w:adjustRightInd w:val="0"/>
              <w:snapToGrid w:val="0"/>
              <w:spacing w:line="360" w:lineRule="auto"/>
              <w:ind w:right="24"/>
              <w:rPr>
                <w:rFonts w:ascii="宋体" w:hAnsi="宋体"/>
                <w:bCs/>
                <w:color w:val="auto"/>
                <w:sz w:val="24"/>
                <w:highlight w:val="none"/>
              </w:rPr>
            </w:pPr>
          </w:p>
        </w:tc>
        <w:tc>
          <w:tcPr>
            <w:tcW w:w="2118" w:type="dxa"/>
          </w:tcPr>
          <w:p w14:paraId="3B825B32">
            <w:pPr>
              <w:shd w:val="clear"/>
              <w:adjustRightInd w:val="0"/>
              <w:snapToGrid w:val="0"/>
              <w:spacing w:line="360" w:lineRule="auto"/>
              <w:ind w:right="24"/>
              <w:rPr>
                <w:rFonts w:ascii="宋体" w:hAnsi="宋体"/>
                <w:bCs/>
                <w:color w:val="auto"/>
                <w:sz w:val="24"/>
                <w:highlight w:val="none"/>
              </w:rPr>
            </w:pPr>
          </w:p>
        </w:tc>
        <w:tc>
          <w:tcPr>
            <w:tcW w:w="1775" w:type="dxa"/>
          </w:tcPr>
          <w:p w14:paraId="012A6893">
            <w:pPr>
              <w:shd w:val="clear"/>
              <w:adjustRightInd w:val="0"/>
              <w:snapToGrid w:val="0"/>
              <w:spacing w:line="360" w:lineRule="auto"/>
              <w:ind w:right="24"/>
              <w:rPr>
                <w:rFonts w:ascii="宋体" w:hAnsi="宋体"/>
                <w:bCs/>
                <w:color w:val="auto"/>
                <w:sz w:val="24"/>
                <w:highlight w:val="none"/>
              </w:rPr>
            </w:pPr>
          </w:p>
        </w:tc>
        <w:tc>
          <w:tcPr>
            <w:tcW w:w="1355" w:type="dxa"/>
          </w:tcPr>
          <w:p w14:paraId="53690BB4">
            <w:pPr>
              <w:shd w:val="clear"/>
              <w:adjustRightInd w:val="0"/>
              <w:snapToGrid w:val="0"/>
              <w:spacing w:line="360" w:lineRule="auto"/>
              <w:ind w:right="24"/>
              <w:rPr>
                <w:rFonts w:ascii="宋体" w:hAnsi="宋体"/>
                <w:bCs/>
                <w:color w:val="auto"/>
                <w:sz w:val="24"/>
                <w:highlight w:val="none"/>
              </w:rPr>
            </w:pPr>
          </w:p>
        </w:tc>
        <w:tc>
          <w:tcPr>
            <w:tcW w:w="1509" w:type="dxa"/>
          </w:tcPr>
          <w:p w14:paraId="6559B1DF">
            <w:pPr>
              <w:shd w:val="clear"/>
              <w:adjustRightInd w:val="0"/>
              <w:snapToGrid w:val="0"/>
              <w:spacing w:line="360" w:lineRule="auto"/>
              <w:ind w:right="24"/>
              <w:rPr>
                <w:rFonts w:ascii="宋体" w:hAnsi="宋体"/>
                <w:bCs/>
                <w:color w:val="auto"/>
                <w:sz w:val="24"/>
                <w:highlight w:val="none"/>
              </w:rPr>
            </w:pPr>
          </w:p>
        </w:tc>
      </w:tr>
      <w:tr w14:paraId="10EF5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27CBE990">
            <w:pPr>
              <w:shd w:val="clear"/>
              <w:adjustRightInd w:val="0"/>
              <w:snapToGrid w:val="0"/>
              <w:spacing w:line="360" w:lineRule="auto"/>
              <w:ind w:right="24"/>
              <w:rPr>
                <w:rFonts w:ascii="宋体" w:hAnsi="宋体"/>
                <w:bCs/>
                <w:color w:val="auto"/>
                <w:sz w:val="24"/>
                <w:highlight w:val="none"/>
              </w:rPr>
            </w:pPr>
          </w:p>
        </w:tc>
        <w:tc>
          <w:tcPr>
            <w:tcW w:w="1371" w:type="dxa"/>
          </w:tcPr>
          <w:p w14:paraId="62118CBA">
            <w:pPr>
              <w:shd w:val="clear"/>
              <w:adjustRightInd w:val="0"/>
              <w:snapToGrid w:val="0"/>
              <w:spacing w:line="360" w:lineRule="auto"/>
              <w:ind w:right="24"/>
              <w:rPr>
                <w:rFonts w:ascii="宋体" w:hAnsi="宋体"/>
                <w:bCs/>
                <w:color w:val="auto"/>
                <w:sz w:val="24"/>
                <w:highlight w:val="none"/>
              </w:rPr>
            </w:pPr>
          </w:p>
        </w:tc>
        <w:tc>
          <w:tcPr>
            <w:tcW w:w="2118" w:type="dxa"/>
          </w:tcPr>
          <w:p w14:paraId="7EC1718C">
            <w:pPr>
              <w:shd w:val="clear"/>
              <w:adjustRightInd w:val="0"/>
              <w:snapToGrid w:val="0"/>
              <w:spacing w:line="360" w:lineRule="auto"/>
              <w:ind w:right="24"/>
              <w:rPr>
                <w:rFonts w:ascii="宋体" w:hAnsi="宋体"/>
                <w:bCs/>
                <w:color w:val="auto"/>
                <w:sz w:val="24"/>
                <w:highlight w:val="none"/>
              </w:rPr>
            </w:pPr>
          </w:p>
        </w:tc>
        <w:tc>
          <w:tcPr>
            <w:tcW w:w="1775" w:type="dxa"/>
          </w:tcPr>
          <w:p w14:paraId="0D16280B">
            <w:pPr>
              <w:shd w:val="clear"/>
              <w:adjustRightInd w:val="0"/>
              <w:snapToGrid w:val="0"/>
              <w:spacing w:line="360" w:lineRule="auto"/>
              <w:ind w:right="24"/>
              <w:rPr>
                <w:rFonts w:ascii="宋体" w:hAnsi="宋体"/>
                <w:bCs/>
                <w:color w:val="auto"/>
                <w:sz w:val="24"/>
                <w:highlight w:val="none"/>
              </w:rPr>
            </w:pPr>
          </w:p>
        </w:tc>
        <w:tc>
          <w:tcPr>
            <w:tcW w:w="1355" w:type="dxa"/>
          </w:tcPr>
          <w:p w14:paraId="68E5E95F">
            <w:pPr>
              <w:shd w:val="clear"/>
              <w:adjustRightInd w:val="0"/>
              <w:snapToGrid w:val="0"/>
              <w:spacing w:line="360" w:lineRule="auto"/>
              <w:ind w:right="24"/>
              <w:rPr>
                <w:rFonts w:ascii="宋体" w:hAnsi="宋体"/>
                <w:bCs/>
                <w:color w:val="auto"/>
                <w:sz w:val="24"/>
                <w:highlight w:val="none"/>
              </w:rPr>
            </w:pPr>
          </w:p>
        </w:tc>
        <w:tc>
          <w:tcPr>
            <w:tcW w:w="1509" w:type="dxa"/>
          </w:tcPr>
          <w:p w14:paraId="6FE23419">
            <w:pPr>
              <w:shd w:val="clear"/>
              <w:adjustRightInd w:val="0"/>
              <w:snapToGrid w:val="0"/>
              <w:spacing w:line="360" w:lineRule="auto"/>
              <w:ind w:right="24"/>
              <w:rPr>
                <w:rFonts w:ascii="宋体" w:hAnsi="宋体"/>
                <w:bCs/>
                <w:color w:val="auto"/>
                <w:sz w:val="24"/>
                <w:highlight w:val="none"/>
              </w:rPr>
            </w:pPr>
          </w:p>
        </w:tc>
      </w:tr>
      <w:tr w14:paraId="1CD07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70685648">
            <w:pPr>
              <w:shd w:val="clear"/>
              <w:adjustRightInd w:val="0"/>
              <w:snapToGrid w:val="0"/>
              <w:spacing w:line="360" w:lineRule="auto"/>
              <w:ind w:right="24"/>
              <w:rPr>
                <w:rFonts w:ascii="宋体" w:hAnsi="宋体"/>
                <w:bCs/>
                <w:color w:val="auto"/>
                <w:sz w:val="24"/>
                <w:highlight w:val="none"/>
              </w:rPr>
            </w:pPr>
          </w:p>
        </w:tc>
        <w:tc>
          <w:tcPr>
            <w:tcW w:w="1371" w:type="dxa"/>
          </w:tcPr>
          <w:p w14:paraId="1B123582">
            <w:pPr>
              <w:shd w:val="clear"/>
              <w:adjustRightInd w:val="0"/>
              <w:snapToGrid w:val="0"/>
              <w:spacing w:line="360" w:lineRule="auto"/>
              <w:ind w:right="24"/>
              <w:rPr>
                <w:rFonts w:ascii="宋体" w:hAnsi="宋体"/>
                <w:bCs/>
                <w:color w:val="auto"/>
                <w:sz w:val="24"/>
                <w:highlight w:val="none"/>
              </w:rPr>
            </w:pPr>
          </w:p>
        </w:tc>
        <w:tc>
          <w:tcPr>
            <w:tcW w:w="2118" w:type="dxa"/>
          </w:tcPr>
          <w:p w14:paraId="027D8BAE">
            <w:pPr>
              <w:shd w:val="clear"/>
              <w:adjustRightInd w:val="0"/>
              <w:snapToGrid w:val="0"/>
              <w:spacing w:line="360" w:lineRule="auto"/>
              <w:ind w:right="24"/>
              <w:rPr>
                <w:rFonts w:ascii="宋体" w:hAnsi="宋体"/>
                <w:bCs/>
                <w:color w:val="auto"/>
                <w:sz w:val="24"/>
                <w:highlight w:val="none"/>
              </w:rPr>
            </w:pPr>
          </w:p>
        </w:tc>
        <w:tc>
          <w:tcPr>
            <w:tcW w:w="1775" w:type="dxa"/>
          </w:tcPr>
          <w:p w14:paraId="4C646F1D">
            <w:pPr>
              <w:shd w:val="clear"/>
              <w:adjustRightInd w:val="0"/>
              <w:snapToGrid w:val="0"/>
              <w:spacing w:line="360" w:lineRule="auto"/>
              <w:ind w:right="24"/>
              <w:rPr>
                <w:rFonts w:ascii="宋体" w:hAnsi="宋体"/>
                <w:bCs/>
                <w:color w:val="auto"/>
                <w:sz w:val="24"/>
                <w:highlight w:val="none"/>
              </w:rPr>
            </w:pPr>
          </w:p>
        </w:tc>
        <w:tc>
          <w:tcPr>
            <w:tcW w:w="1355" w:type="dxa"/>
          </w:tcPr>
          <w:p w14:paraId="0D5F8881">
            <w:pPr>
              <w:shd w:val="clear"/>
              <w:adjustRightInd w:val="0"/>
              <w:snapToGrid w:val="0"/>
              <w:spacing w:line="360" w:lineRule="auto"/>
              <w:ind w:right="24"/>
              <w:rPr>
                <w:rFonts w:ascii="宋体" w:hAnsi="宋体"/>
                <w:bCs/>
                <w:color w:val="auto"/>
                <w:sz w:val="24"/>
                <w:highlight w:val="none"/>
              </w:rPr>
            </w:pPr>
          </w:p>
        </w:tc>
        <w:tc>
          <w:tcPr>
            <w:tcW w:w="1509" w:type="dxa"/>
          </w:tcPr>
          <w:p w14:paraId="07C70880">
            <w:pPr>
              <w:shd w:val="clear"/>
              <w:adjustRightInd w:val="0"/>
              <w:snapToGrid w:val="0"/>
              <w:spacing w:line="360" w:lineRule="auto"/>
              <w:ind w:right="24"/>
              <w:rPr>
                <w:rFonts w:ascii="宋体" w:hAnsi="宋体"/>
                <w:bCs/>
                <w:color w:val="auto"/>
                <w:sz w:val="24"/>
                <w:highlight w:val="none"/>
              </w:rPr>
            </w:pPr>
          </w:p>
        </w:tc>
      </w:tr>
      <w:tr w14:paraId="671F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6C1623AD">
            <w:pPr>
              <w:shd w:val="clear"/>
              <w:adjustRightInd w:val="0"/>
              <w:snapToGrid w:val="0"/>
              <w:spacing w:line="360" w:lineRule="auto"/>
              <w:ind w:right="24"/>
              <w:rPr>
                <w:rFonts w:ascii="宋体" w:hAnsi="宋体"/>
                <w:bCs/>
                <w:color w:val="auto"/>
                <w:sz w:val="24"/>
                <w:highlight w:val="none"/>
              </w:rPr>
            </w:pPr>
          </w:p>
        </w:tc>
        <w:tc>
          <w:tcPr>
            <w:tcW w:w="1371" w:type="dxa"/>
          </w:tcPr>
          <w:p w14:paraId="28C31281">
            <w:pPr>
              <w:shd w:val="clear"/>
              <w:adjustRightInd w:val="0"/>
              <w:snapToGrid w:val="0"/>
              <w:spacing w:line="360" w:lineRule="auto"/>
              <w:ind w:right="24"/>
              <w:rPr>
                <w:rFonts w:ascii="宋体" w:hAnsi="宋体"/>
                <w:bCs/>
                <w:color w:val="auto"/>
                <w:sz w:val="24"/>
                <w:highlight w:val="none"/>
              </w:rPr>
            </w:pPr>
          </w:p>
        </w:tc>
        <w:tc>
          <w:tcPr>
            <w:tcW w:w="2118" w:type="dxa"/>
          </w:tcPr>
          <w:p w14:paraId="4D851A8D">
            <w:pPr>
              <w:shd w:val="clear"/>
              <w:adjustRightInd w:val="0"/>
              <w:snapToGrid w:val="0"/>
              <w:spacing w:line="360" w:lineRule="auto"/>
              <w:ind w:right="24"/>
              <w:rPr>
                <w:rFonts w:ascii="宋体" w:hAnsi="宋体"/>
                <w:bCs/>
                <w:color w:val="auto"/>
                <w:sz w:val="24"/>
                <w:highlight w:val="none"/>
              </w:rPr>
            </w:pPr>
          </w:p>
        </w:tc>
        <w:tc>
          <w:tcPr>
            <w:tcW w:w="1775" w:type="dxa"/>
          </w:tcPr>
          <w:p w14:paraId="15403B1B">
            <w:pPr>
              <w:shd w:val="clear"/>
              <w:adjustRightInd w:val="0"/>
              <w:snapToGrid w:val="0"/>
              <w:spacing w:line="360" w:lineRule="auto"/>
              <w:ind w:right="24"/>
              <w:rPr>
                <w:rFonts w:ascii="宋体" w:hAnsi="宋体"/>
                <w:bCs/>
                <w:color w:val="auto"/>
                <w:sz w:val="24"/>
                <w:highlight w:val="none"/>
              </w:rPr>
            </w:pPr>
          </w:p>
        </w:tc>
        <w:tc>
          <w:tcPr>
            <w:tcW w:w="1355" w:type="dxa"/>
          </w:tcPr>
          <w:p w14:paraId="2772B375">
            <w:pPr>
              <w:shd w:val="clear"/>
              <w:adjustRightInd w:val="0"/>
              <w:snapToGrid w:val="0"/>
              <w:spacing w:line="360" w:lineRule="auto"/>
              <w:ind w:right="24"/>
              <w:rPr>
                <w:rFonts w:ascii="宋体" w:hAnsi="宋体"/>
                <w:bCs/>
                <w:color w:val="auto"/>
                <w:sz w:val="24"/>
                <w:highlight w:val="none"/>
              </w:rPr>
            </w:pPr>
          </w:p>
        </w:tc>
        <w:tc>
          <w:tcPr>
            <w:tcW w:w="1509" w:type="dxa"/>
          </w:tcPr>
          <w:p w14:paraId="22E85CCA">
            <w:pPr>
              <w:shd w:val="clear"/>
              <w:adjustRightInd w:val="0"/>
              <w:snapToGrid w:val="0"/>
              <w:spacing w:line="360" w:lineRule="auto"/>
              <w:ind w:right="24"/>
              <w:rPr>
                <w:rFonts w:ascii="宋体" w:hAnsi="宋体"/>
                <w:bCs/>
                <w:color w:val="auto"/>
                <w:sz w:val="24"/>
                <w:highlight w:val="none"/>
              </w:rPr>
            </w:pPr>
          </w:p>
        </w:tc>
      </w:tr>
      <w:tr w14:paraId="6A4CD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5FE9ACD6">
            <w:pPr>
              <w:shd w:val="clear"/>
              <w:adjustRightInd w:val="0"/>
              <w:snapToGrid w:val="0"/>
              <w:spacing w:line="360" w:lineRule="auto"/>
              <w:ind w:right="24"/>
              <w:rPr>
                <w:rFonts w:ascii="宋体" w:hAnsi="宋体"/>
                <w:bCs/>
                <w:color w:val="auto"/>
                <w:sz w:val="24"/>
                <w:highlight w:val="none"/>
              </w:rPr>
            </w:pPr>
          </w:p>
        </w:tc>
        <w:tc>
          <w:tcPr>
            <w:tcW w:w="1371" w:type="dxa"/>
          </w:tcPr>
          <w:p w14:paraId="0DA7AB6F">
            <w:pPr>
              <w:shd w:val="clear"/>
              <w:adjustRightInd w:val="0"/>
              <w:snapToGrid w:val="0"/>
              <w:spacing w:line="360" w:lineRule="auto"/>
              <w:ind w:right="24"/>
              <w:rPr>
                <w:rFonts w:ascii="宋体" w:hAnsi="宋体"/>
                <w:bCs/>
                <w:color w:val="auto"/>
                <w:sz w:val="24"/>
                <w:highlight w:val="none"/>
              </w:rPr>
            </w:pPr>
          </w:p>
        </w:tc>
        <w:tc>
          <w:tcPr>
            <w:tcW w:w="2118" w:type="dxa"/>
          </w:tcPr>
          <w:p w14:paraId="3C8B36EE">
            <w:pPr>
              <w:shd w:val="clear"/>
              <w:adjustRightInd w:val="0"/>
              <w:snapToGrid w:val="0"/>
              <w:spacing w:line="360" w:lineRule="auto"/>
              <w:ind w:right="24"/>
              <w:rPr>
                <w:rFonts w:ascii="宋体" w:hAnsi="宋体"/>
                <w:bCs/>
                <w:color w:val="auto"/>
                <w:sz w:val="24"/>
                <w:highlight w:val="none"/>
              </w:rPr>
            </w:pPr>
          </w:p>
        </w:tc>
        <w:tc>
          <w:tcPr>
            <w:tcW w:w="1775" w:type="dxa"/>
          </w:tcPr>
          <w:p w14:paraId="17DFDAB5">
            <w:pPr>
              <w:shd w:val="clear"/>
              <w:adjustRightInd w:val="0"/>
              <w:snapToGrid w:val="0"/>
              <w:spacing w:line="360" w:lineRule="auto"/>
              <w:ind w:right="24"/>
              <w:rPr>
                <w:rFonts w:ascii="宋体" w:hAnsi="宋体"/>
                <w:bCs/>
                <w:color w:val="auto"/>
                <w:sz w:val="24"/>
                <w:highlight w:val="none"/>
              </w:rPr>
            </w:pPr>
          </w:p>
        </w:tc>
        <w:tc>
          <w:tcPr>
            <w:tcW w:w="1355" w:type="dxa"/>
          </w:tcPr>
          <w:p w14:paraId="47A13D7C">
            <w:pPr>
              <w:shd w:val="clear"/>
              <w:adjustRightInd w:val="0"/>
              <w:snapToGrid w:val="0"/>
              <w:spacing w:line="360" w:lineRule="auto"/>
              <w:ind w:right="24"/>
              <w:rPr>
                <w:rFonts w:ascii="宋体" w:hAnsi="宋体"/>
                <w:bCs/>
                <w:color w:val="auto"/>
                <w:sz w:val="24"/>
                <w:highlight w:val="none"/>
              </w:rPr>
            </w:pPr>
          </w:p>
        </w:tc>
        <w:tc>
          <w:tcPr>
            <w:tcW w:w="1509" w:type="dxa"/>
          </w:tcPr>
          <w:p w14:paraId="01C3AF2F">
            <w:pPr>
              <w:shd w:val="clear"/>
              <w:adjustRightInd w:val="0"/>
              <w:snapToGrid w:val="0"/>
              <w:spacing w:line="360" w:lineRule="auto"/>
              <w:ind w:right="24"/>
              <w:rPr>
                <w:rFonts w:ascii="宋体" w:hAnsi="宋体"/>
                <w:bCs/>
                <w:color w:val="auto"/>
                <w:sz w:val="24"/>
                <w:highlight w:val="none"/>
              </w:rPr>
            </w:pPr>
          </w:p>
        </w:tc>
      </w:tr>
      <w:tr w14:paraId="2B269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351AE030">
            <w:pPr>
              <w:shd w:val="clear"/>
              <w:adjustRightInd w:val="0"/>
              <w:snapToGrid w:val="0"/>
              <w:spacing w:line="360" w:lineRule="auto"/>
              <w:ind w:right="24"/>
              <w:rPr>
                <w:rFonts w:ascii="宋体" w:hAnsi="宋体"/>
                <w:bCs/>
                <w:color w:val="auto"/>
                <w:sz w:val="24"/>
                <w:highlight w:val="none"/>
              </w:rPr>
            </w:pPr>
          </w:p>
        </w:tc>
        <w:tc>
          <w:tcPr>
            <w:tcW w:w="1371" w:type="dxa"/>
          </w:tcPr>
          <w:p w14:paraId="4B9CD777">
            <w:pPr>
              <w:shd w:val="clear"/>
              <w:adjustRightInd w:val="0"/>
              <w:snapToGrid w:val="0"/>
              <w:spacing w:line="360" w:lineRule="auto"/>
              <w:ind w:right="24"/>
              <w:rPr>
                <w:rFonts w:ascii="宋体" w:hAnsi="宋体"/>
                <w:bCs/>
                <w:color w:val="auto"/>
                <w:sz w:val="24"/>
                <w:highlight w:val="none"/>
              </w:rPr>
            </w:pPr>
          </w:p>
        </w:tc>
        <w:tc>
          <w:tcPr>
            <w:tcW w:w="2118" w:type="dxa"/>
          </w:tcPr>
          <w:p w14:paraId="0CF38BB7">
            <w:pPr>
              <w:shd w:val="clear"/>
              <w:adjustRightInd w:val="0"/>
              <w:snapToGrid w:val="0"/>
              <w:spacing w:line="360" w:lineRule="auto"/>
              <w:ind w:right="24"/>
              <w:rPr>
                <w:rFonts w:ascii="宋体" w:hAnsi="宋体"/>
                <w:bCs/>
                <w:color w:val="auto"/>
                <w:sz w:val="24"/>
                <w:highlight w:val="none"/>
              </w:rPr>
            </w:pPr>
          </w:p>
        </w:tc>
        <w:tc>
          <w:tcPr>
            <w:tcW w:w="1775" w:type="dxa"/>
          </w:tcPr>
          <w:p w14:paraId="3F8397EF">
            <w:pPr>
              <w:shd w:val="clear"/>
              <w:adjustRightInd w:val="0"/>
              <w:snapToGrid w:val="0"/>
              <w:spacing w:line="360" w:lineRule="auto"/>
              <w:ind w:right="24"/>
              <w:rPr>
                <w:rFonts w:ascii="宋体" w:hAnsi="宋体"/>
                <w:bCs/>
                <w:color w:val="auto"/>
                <w:sz w:val="24"/>
                <w:highlight w:val="none"/>
              </w:rPr>
            </w:pPr>
          </w:p>
        </w:tc>
        <w:tc>
          <w:tcPr>
            <w:tcW w:w="1355" w:type="dxa"/>
          </w:tcPr>
          <w:p w14:paraId="168AAB52">
            <w:pPr>
              <w:shd w:val="clear"/>
              <w:adjustRightInd w:val="0"/>
              <w:snapToGrid w:val="0"/>
              <w:spacing w:line="360" w:lineRule="auto"/>
              <w:ind w:right="24"/>
              <w:rPr>
                <w:rFonts w:ascii="宋体" w:hAnsi="宋体"/>
                <w:bCs/>
                <w:color w:val="auto"/>
                <w:sz w:val="24"/>
                <w:highlight w:val="none"/>
              </w:rPr>
            </w:pPr>
          </w:p>
        </w:tc>
        <w:tc>
          <w:tcPr>
            <w:tcW w:w="1509" w:type="dxa"/>
          </w:tcPr>
          <w:p w14:paraId="20765775">
            <w:pPr>
              <w:shd w:val="clear"/>
              <w:adjustRightInd w:val="0"/>
              <w:snapToGrid w:val="0"/>
              <w:spacing w:line="360" w:lineRule="auto"/>
              <w:ind w:right="24"/>
              <w:rPr>
                <w:rFonts w:ascii="宋体" w:hAnsi="宋体"/>
                <w:bCs/>
                <w:color w:val="auto"/>
                <w:sz w:val="24"/>
                <w:highlight w:val="none"/>
              </w:rPr>
            </w:pPr>
          </w:p>
        </w:tc>
      </w:tr>
      <w:tr w14:paraId="3D3FB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2" w:type="dxa"/>
          </w:tcPr>
          <w:p w14:paraId="163BF7ED">
            <w:pPr>
              <w:shd w:val="clear"/>
              <w:adjustRightInd w:val="0"/>
              <w:snapToGrid w:val="0"/>
              <w:spacing w:line="360" w:lineRule="auto"/>
              <w:ind w:right="2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1371" w:type="dxa"/>
          </w:tcPr>
          <w:p w14:paraId="5EE315A6">
            <w:pPr>
              <w:shd w:val="clear"/>
              <w:adjustRightInd w:val="0"/>
              <w:snapToGrid w:val="0"/>
              <w:spacing w:line="360" w:lineRule="auto"/>
              <w:ind w:right="2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2118" w:type="dxa"/>
          </w:tcPr>
          <w:p w14:paraId="03440052">
            <w:pPr>
              <w:shd w:val="clear"/>
              <w:adjustRightInd w:val="0"/>
              <w:snapToGrid w:val="0"/>
              <w:spacing w:line="360" w:lineRule="auto"/>
              <w:ind w:right="2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1775" w:type="dxa"/>
          </w:tcPr>
          <w:p w14:paraId="356FB8CC">
            <w:pPr>
              <w:shd w:val="clear"/>
              <w:adjustRightInd w:val="0"/>
              <w:snapToGrid w:val="0"/>
              <w:spacing w:line="360" w:lineRule="auto"/>
              <w:ind w:right="2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1355" w:type="dxa"/>
          </w:tcPr>
          <w:p w14:paraId="766723CC">
            <w:pPr>
              <w:shd w:val="clear"/>
              <w:adjustRightInd w:val="0"/>
              <w:snapToGrid w:val="0"/>
              <w:spacing w:line="360" w:lineRule="auto"/>
              <w:ind w:right="2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c>
          <w:tcPr>
            <w:tcW w:w="1509" w:type="dxa"/>
          </w:tcPr>
          <w:p w14:paraId="3C1DD040">
            <w:pPr>
              <w:shd w:val="clear"/>
              <w:adjustRightInd w:val="0"/>
              <w:snapToGrid w:val="0"/>
              <w:spacing w:line="360" w:lineRule="auto"/>
              <w:ind w:right="24"/>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w:t>
            </w:r>
          </w:p>
        </w:tc>
      </w:tr>
    </w:tbl>
    <w:p w14:paraId="29FA95AA">
      <w:pPr>
        <w:pStyle w:val="2"/>
        <w:tabs>
          <w:tab w:val="left" w:pos="4071"/>
          <w:tab w:val="left" w:pos="8771"/>
          <w:tab w:val="left" w:pos="11241"/>
          <w:tab w:val="left" w:pos="12206"/>
          <w:tab w:val="left" w:pos="13410"/>
        </w:tabs>
        <w:kinsoku w:val="0"/>
        <w:overflowPunct w:val="0"/>
        <w:spacing w:line="480" w:lineRule="auto"/>
        <w:ind w:right="63"/>
        <w:rPr>
          <w:rFonts w:hint="eastAsia" w:ascii="楷体" w:hAnsi="楷体" w:eastAsia="楷体" w:cs="楷体"/>
          <w:b/>
          <w:bCs/>
          <w:sz w:val="21"/>
          <w:szCs w:val="21"/>
        </w:rPr>
      </w:pPr>
      <w:r>
        <w:rPr>
          <w:rFonts w:hint="eastAsia" w:ascii="楷体" w:hAnsi="楷体" w:eastAsia="楷体" w:cs="楷体"/>
          <w:b/>
          <w:bCs/>
          <w:sz w:val="21"/>
          <w:szCs w:val="21"/>
        </w:rPr>
        <w:t>注：1 指磋商文件中的</w:t>
      </w:r>
      <w:r>
        <w:rPr>
          <w:rFonts w:hint="eastAsia" w:ascii="楷体" w:hAnsi="楷体" w:eastAsia="楷体" w:cs="楷体"/>
          <w:b/>
          <w:bCs/>
          <w:sz w:val="21"/>
          <w:szCs w:val="21"/>
          <w:lang w:val="en-US" w:eastAsia="zh-CN"/>
        </w:rPr>
        <w:t>第四章 采购</w:t>
      </w:r>
      <w:r>
        <w:rPr>
          <w:rFonts w:hint="eastAsia" w:ascii="楷体" w:hAnsi="楷体" w:eastAsia="楷体" w:cs="楷体"/>
          <w:b/>
          <w:bCs/>
          <w:sz w:val="21"/>
          <w:szCs w:val="21"/>
        </w:rPr>
        <w:t>内容及</w:t>
      </w:r>
      <w:r>
        <w:rPr>
          <w:rFonts w:hint="eastAsia" w:ascii="楷体" w:hAnsi="楷体" w:eastAsia="楷体" w:cs="楷体"/>
          <w:b/>
          <w:bCs/>
          <w:sz w:val="21"/>
          <w:szCs w:val="21"/>
          <w:lang w:val="en-US" w:eastAsia="zh-CN"/>
        </w:rPr>
        <w:t>商务</w:t>
      </w:r>
      <w:r>
        <w:rPr>
          <w:rFonts w:hint="eastAsia" w:ascii="楷体" w:hAnsi="楷体" w:eastAsia="楷体" w:cs="楷体"/>
          <w:b/>
          <w:bCs/>
          <w:sz w:val="21"/>
          <w:szCs w:val="21"/>
        </w:rPr>
        <w:t>要求,2指供应商磋商响应文件响应内容。供应商应逐条如实填写，如未填写则视为全部响应，但须提交空白表格。</w:t>
      </w:r>
    </w:p>
    <w:p w14:paraId="60B1BB07">
      <w:pPr>
        <w:shd w:val="clear"/>
        <w:adjustRightInd w:val="0"/>
        <w:spacing w:line="400" w:lineRule="exact"/>
        <w:jc w:val="left"/>
        <w:rPr>
          <w:rFonts w:ascii="仿宋_GB2312" w:hAnsi="宋体" w:eastAsia="仿宋_GB2312"/>
          <w:bCs/>
          <w:color w:val="auto"/>
          <w:szCs w:val="21"/>
          <w:highlight w:val="none"/>
        </w:rPr>
      </w:pPr>
    </w:p>
    <w:p w14:paraId="43717FF1">
      <w:pPr>
        <w:shd w:val="clear"/>
        <w:adjustRightInd w:val="0"/>
        <w:spacing w:line="400" w:lineRule="exact"/>
        <w:ind w:firstLine="367" w:firstLineChars="175"/>
        <w:jc w:val="left"/>
        <w:rPr>
          <w:rFonts w:ascii="仿宋_GB2312" w:hAnsi="宋体" w:eastAsia="仿宋_GB2312"/>
          <w:bCs/>
          <w:color w:val="auto"/>
          <w:szCs w:val="21"/>
          <w:highlight w:val="none"/>
        </w:rPr>
      </w:pPr>
    </w:p>
    <w:p w14:paraId="5FA742ED">
      <w:pPr>
        <w:pStyle w:val="19"/>
        <w:shd w:val="clear"/>
        <w:spacing w:before="0" w:beforeAutospacing="0" w:after="0" w:afterAutospacing="0" w:line="480" w:lineRule="auto"/>
        <w:ind w:firstLine="2940" w:firstLineChars="1400"/>
        <w:rPr>
          <w:color w:val="auto"/>
          <w:sz w:val="21"/>
          <w:szCs w:val="21"/>
          <w:highlight w:val="none"/>
          <w:u w:val="single"/>
        </w:rPr>
      </w:pPr>
      <w:r>
        <w:rPr>
          <w:rFonts w:hint="eastAsia"/>
          <w:color w:val="auto"/>
          <w:sz w:val="21"/>
          <w:szCs w:val="21"/>
          <w:highlight w:val="none"/>
        </w:rPr>
        <w:t>供应商名称：</w:t>
      </w:r>
      <w:r>
        <w:rPr>
          <w:rFonts w:hint="eastAsia"/>
          <w:color w:val="auto"/>
          <w:sz w:val="21"/>
          <w:szCs w:val="21"/>
          <w:highlight w:val="none"/>
          <w:u w:val="single"/>
        </w:rPr>
        <w:t xml:space="preserve">                     </w:t>
      </w:r>
      <w:r>
        <w:rPr>
          <w:rFonts w:hint="eastAsia" w:ascii="宋体" w:hAnsi="宋体"/>
          <w:bCs/>
          <w:color w:val="auto"/>
          <w:sz w:val="21"/>
          <w:szCs w:val="21"/>
          <w:highlight w:val="none"/>
        </w:rPr>
        <w:t>（盖单位章）</w:t>
      </w:r>
    </w:p>
    <w:p w14:paraId="7B0EEE7D">
      <w:pPr>
        <w:pStyle w:val="19"/>
        <w:shd w:val="clear"/>
        <w:spacing w:before="0" w:beforeAutospacing="0" w:after="0" w:afterAutospacing="0" w:line="480" w:lineRule="auto"/>
        <w:ind w:firstLine="2940" w:firstLineChars="1400"/>
        <w:rPr>
          <w:rFonts w:hint="eastAsia"/>
          <w:color w:val="auto"/>
          <w:sz w:val="21"/>
          <w:szCs w:val="21"/>
          <w:highlight w:val="none"/>
          <w:u w:val="none"/>
        </w:rPr>
      </w:pPr>
      <w:r>
        <w:rPr>
          <w:rFonts w:hint="eastAsia"/>
          <w:color w:val="auto"/>
          <w:sz w:val="21"/>
          <w:szCs w:val="21"/>
          <w:highlight w:val="none"/>
        </w:rPr>
        <w:t>法定代表人或授权代理人：</w:t>
      </w:r>
      <w:r>
        <w:rPr>
          <w:rFonts w:hint="eastAsia"/>
          <w:color w:val="auto"/>
          <w:sz w:val="21"/>
          <w:szCs w:val="21"/>
          <w:highlight w:val="none"/>
          <w:u w:val="single"/>
        </w:rPr>
        <w:t xml:space="preserve">         </w:t>
      </w:r>
      <w:r>
        <w:rPr>
          <w:rFonts w:hint="eastAsia"/>
          <w:color w:val="auto"/>
          <w:sz w:val="21"/>
          <w:szCs w:val="21"/>
          <w:highlight w:val="none"/>
          <w:u w:val="none"/>
        </w:rPr>
        <w:t>（签字或盖章）</w:t>
      </w:r>
    </w:p>
    <w:p w14:paraId="22FE8624">
      <w:pPr>
        <w:spacing w:line="500" w:lineRule="exact"/>
        <w:ind w:firstLine="2940" w:firstLineChars="1400"/>
        <w:jc w:val="left"/>
        <w:outlineLvl w:val="9"/>
        <w:rPr>
          <w:rFonts w:hint="eastAsia" w:ascii="宋体" w:hAnsi="宋体" w:eastAsia="宋体" w:cs="宋体"/>
          <w:b/>
          <w:color w:val="auto"/>
          <w:kern w:val="2"/>
          <w:sz w:val="36"/>
          <w:szCs w:val="36"/>
          <w:highlight w:val="none"/>
          <w:lang w:val="en-US" w:eastAsia="zh-CN" w:bidi="ar-SA"/>
        </w:rPr>
      </w:pPr>
      <w:r>
        <w:rPr>
          <w:rFonts w:hint="eastAsia"/>
          <w:color w:val="auto"/>
          <w:sz w:val="21"/>
          <w:szCs w:val="21"/>
          <w:highlight w:val="none"/>
          <w:u w:val="none"/>
          <w:lang w:eastAsia="zh-CN"/>
        </w:rPr>
        <w:t>日</w:t>
      </w:r>
      <w:r>
        <w:rPr>
          <w:rFonts w:hint="eastAsia"/>
          <w:color w:val="auto"/>
          <w:sz w:val="21"/>
          <w:szCs w:val="21"/>
          <w:highlight w:val="none"/>
          <w:u w:val="none"/>
          <w:lang w:val="en-US" w:eastAsia="zh-CN"/>
        </w:rPr>
        <w:t xml:space="preserve">      </w:t>
      </w:r>
      <w:r>
        <w:rPr>
          <w:rFonts w:hint="eastAsia"/>
          <w:color w:val="auto"/>
          <w:sz w:val="21"/>
          <w:szCs w:val="21"/>
          <w:highlight w:val="none"/>
          <w:u w:val="none"/>
          <w:lang w:eastAsia="zh-CN"/>
        </w:rPr>
        <w:t>期：</w:t>
      </w:r>
      <w:r>
        <w:rPr>
          <w:rFonts w:hint="eastAsia"/>
          <w:color w:val="auto"/>
          <w:sz w:val="21"/>
          <w:szCs w:val="21"/>
          <w:highlight w:val="none"/>
          <w:u w:val="none"/>
        </w:rPr>
        <w:t xml:space="preserve"> </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single"/>
        </w:rPr>
        <w:t xml:space="preserve">  </w:t>
      </w:r>
      <w:r>
        <w:rPr>
          <w:rFonts w:hint="eastAsia"/>
          <w:color w:val="auto"/>
          <w:sz w:val="21"/>
          <w:szCs w:val="21"/>
          <w:highlight w:val="none"/>
        </w:rPr>
        <w:t>年</w:t>
      </w:r>
      <w:r>
        <w:rPr>
          <w:rFonts w:hint="eastAsia"/>
          <w:color w:val="auto"/>
          <w:sz w:val="21"/>
          <w:szCs w:val="21"/>
          <w:highlight w:val="none"/>
          <w:u w:val="single"/>
        </w:rPr>
        <w:t xml:space="preserve">    </w:t>
      </w:r>
      <w:r>
        <w:rPr>
          <w:rFonts w:hint="eastAsia"/>
          <w:color w:val="auto"/>
          <w:sz w:val="21"/>
          <w:szCs w:val="21"/>
          <w:highlight w:val="none"/>
        </w:rPr>
        <w:t>月</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w:t>
      </w:r>
      <w:r>
        <w:rPr>
          <w:rFonts w:hint="eastAsia"/>
          <w:color w:val="auto"/>
          <w:sz w:val="21"/>
          <w:szCs w:val="21"/>
          <w:highlight w:val="none"/>
          <w:u w:val="none"/>
          <w:lang w:val="en-US" w:eastAsia="zh-CN"/>
        </w:rPr>
        <w:t>日</w:t>
      </w:r>
    </w:p>
    <w:p w14:paraId="65219EC2">
      <w:pPr>
        <w:keepNext/>
        <w:keepLines/>
        <w:pageBreakBefore w:val="0"/>
        <w:widowControl w:val="0"/>
        <w:shd w:val="clear"/>
        <w:kinsoku/>
        <w:wordWrap/>
        <w:overflowPunct/>
        <w:topLinePunct w:val="0"/>
        <w:autoSpaceDE/>
        <w:autoSpaceDN/>
        <w:bidi w:val="0"/>
        <w:adjustRightInd/>
        <w:snapToGrid w:val="0"/>
        <w:spacing w:before="0" w:after="0" w:line="240" w:lineRule="auto"/>
        <w:jc w:val="center"/>
        <w:textAlignment w:val="auto"/>
        <w:outlineLvl w:val="9"/>
        <w:rPr>
          <w:rFonts w:hint="eastAsia" w:ascii="宋体" w:hAnsi="宋体" w:eastAsia="宋体" w:cs="宋体"/>
          <w:b/>
          <w:bCs/>
          <w:color w:val="auto"/>
          <w:sz w:val="36"/>
          <w:szCs w:val="36"/>
          <w:highlight w:val="none"/>
          <w:lang w:val="en-US" w:eastAsia="zh-CN"/>
        </w:rPr>
      </w:pPr>
      <w:r>
        <w:rPr>
          <w:rFonts w:hint="eastAsia" w:ascii="宋体" w:hAnsi="宋体" w:eastAsia="宋体" w:cs="宋体"/>
          <w:b/>
          <w:bCs/>
          <w:color w:val="auto"/>
          <w:sz w:val="36"/>
          <w:szCs w:val="36"/>
          <w:highlight w:val="none"/>
          <w:lang w:val="en-US" w:eastAsia="zh-CN"/>
        </w:rPr>
        <w:t>四</w:t>
      </w:r>
      <w:r>
        <w:rPr>
          <w:rFonts w:hint="eastAsia" w:ascii="宋体" w:hAnsi="宋体" w:eastAsia="宋体" w:cs="宋体"/>
          <w:b/>
          <w:bCs/>
          <w:color w:val="auto"/>
          <w:sz w:val="36"/>
          <w:szCs w:val="36"/>
          <w:highlight w:val="none"/>
        </w:rPr>
        <w:t>、</w:t>
      </w:r>
      <w:bookmarkEnd w:id="122"/>
      <w:r>
        <w:rPr>
          <w:rFonts w:hint="eastAsia" w:ascii="宋体" w:hAnsi="宋体" w:eastAsia="宋体" w:cs="宋体"/>
          <w:b/>
          <w:bCs/>
          <w:color w:val="auto"/>
          <w:sz w:val="36"/>
          <w:szCs w:val="36"/>
          <w:highlight w:val="none"/>
          <w:lang w:val="en-US" w:eastAsia="zh-CN"/>
        </w:rPr>
        <w:t>履约能力</w:t>
      </w:r>
    </w:p>
    <w:p w14:paraId="3E0AD3D4">
      <w:pPr>
        <w:pStyle w:val="8"/>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供应商根据磋商文件要求</w:t>
      </w:r>
      <w:r>
        <w:rPr>
          <w:rFonts w:hint="eastAsia" w:ascii="宋体" w:hAnsi="宋体" w:eastAsia="宋体" w:cs="宋体"/>
          <w:color w:val="auto"/>
          <w:szCs w:val="21"/>
          <w:highlight w:val="none"/>
          <w:lang w:eastAsia="zh-CN"/>
        </w:rPr>
        <w:t>及评审办法，作</w:t>
      </w:r>
      <w:r>
        <w:rPr>
          <w:rFonts w:hint="eastAsia" w:ascii="宋体" w:hAnsi="宋体" w:eastAsia="宋体" w:cs="宋体"/>
          <w:color w:val="auto"/>
          <w:szCs w:val="21"/>
          <w:highlight w:val="none"/>
        </w:rPr>
        <w:t>出响应。</w:t>
      </w:r>
    </w:p>
    <w:p w14:paraId="7876D830">
      <w:pPr>
        <w:pStyle w:val="2"/>
        <w:ind w:firstLine="2940" w:firstLineChars="1400"/>
        <w:rPr>
          <w:color w:val="auto"/>
        </w:rPr>
      </w:pPr>
      <w:r>
        <w:rPr>
          <w:rFonts w:hint="eastAsia" w:ascii="宋体" w:hAnsi="宋体"/>
          <w:bCs/>
          <w:color w:val="auto"/>
        </w:rPr>
        <w:t xml:space="preserve"> </w:t>
      </w:r>
    </w:p>
    <w:p w14:paraId="235910AC">
      <w:pPr>
        <w:rPr>
          <w:rFonts w:ascii="宋体" w:hAnsi="宋体"/>
          <w:color w:val="auto"/>
          <w:sz w:val="36"/>
          <w:szCs w:val="36"/>
        </w:rPr>
      </w:pPr>
      <w:r>
        <w:rPr>
          <w:rFonts w:hint="eastAsia" w:ascii="宋体" w:hAnsi="宋体"/>
          <w:color w:val="auto"/>
          <w:sz w:val="36"/>
          <w:szCs w:val="36"/>
        </w:rPr>
        <w:br w:type="page"/>
      </w:r>
    </w:p>
    <w:bookmarkEnd w:id="121"/>
    <w:p w14:paraId="5ECC90D8">
      <w:pPr>
        <w:shd w:val="clear"/>
        <w:adjustRightInd w:val="0"/>
        <w:snapToGrid w:val="0"/>
        <w:spacing w:afterLines="50" w:line="360" w:lineRule="auto"/>
        <w:jc w:val="both"/>
        <w:rPr>
          <w:rFonts w:hint="eastAsia" w:ascii="宋体" w:hAnsi="宋体" w:eastAsia="宋体" w:cs="宋体"/>
          <w:b/>
          <w:bCs/>
          <w:color w:val="auto"/>
          <w:sz w:val="36"/>
          <w:szCs w:val="36"/>
          <w:highlight w:val="none"/>
        </w:rPr>
      </w:pPr>
      <w:r>
        <w:rPr>
          <w:rFonts w:hint="eastAsia" w:ascii="宋体" w:hAnsi="宋体" w:eastAsia="宋体" w:cs="宋体"/>
          <w:b/>
          <w:color w:val="auto"/>
          <w:sz w:val="28"/>
          <w:szCs w:val="28"/>
          <w:highlight w:val="none"/>
          <w:lang w:val="en-US" w:eastAsia="zh-CN"/>
        </w:rPr>
        <w:t>附件1：供应商近三年完成的类似项目业绩一览表</w:t>
      </w:r>
    </w:p>
    <w:p w14:paraId="2D4320B3">
      <w:pPr>
        <w:shd w:val="clear"/>
        <w:ind w:firstLine="630" w:firstLineChars="300"/>
        <w:rPr>
          <w:rFonts w:hint="eastAsia" w:ascii="宋体" w:hAnsi="宋体" w:eastAsia="宋体" w:cs="宋体"/>
          <w:b w:val="0"/>
          <w:bCs w:val="0"/>
          <w:color w:val="auto"/>
          <w:szCs w:val="21"/>
          <w:highlight w:val="none"/>
        </w:rPr>
      </w:pPr>
      <w:bookmarkStart w:id="124" w:name="_Toc18074980"/>
      <w:r>
        <w:rPr>
          <w:rFonts w:hint="eastAsia" w:ascii="宋体" w:hAnsi="宋体" w:eastAsia="宋体" w:cs="宋体"/>
          <w:b w:val="0"/>
          <w:bCs w:val="0"/>
          <w:color w:val="auto"/>
          <w:szCs w:val="21"/>
          <w:highlight w:val="none"/>
          <w:lang w:eastAsia="zh-CN"/>
        </w:rPr>
        <w:t>项目名称</w:t>
      </w:r>
      <w:r>
        <w:rPr>
          <w:rFonts w:hint="eastAsia" w:ascii="宋体" w:hAnsi="宋体" w:eastAsia="宋体" w:cs="宋体"/>
          <w:b w:val="0"/>
          <w:bCs w:val="0"/>
          <w:color w:val="auto"/>
          <w:szCs w:val="21"/>
          <w:highlight w:val="none"/>
        </w:rPr>
        <w:t>：                                                  单位：万元</w:t>
      </w:r>
      <w:bookmarkEnd w:id="124"/>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1671"/>
        <w:gridCol w:w="1984"/>
        <w:gridCol w:w="1391"/>
        <w:gridCol w:w="1704"/>
        <w:gridCol w:w="874"/>
      </w:tblGrid>
      <w:tr w14:paraId="77492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1023" w:type="dxa"/>
            <w:vAlign w:val="center"/>
          </w:tcPr>
          <w:p w14:paraId="10CE040F">
            <w:pPr>
              <w:pStyle w:val="8"/>
              <w:shd w:val="clear"/>
              <w:ind w:firstLine="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序号</w:t>
            </w:r>
          </w:p>
        </w:tc>
        <w:tc>
          <w:tcPr>
            <w:tcW w:w="1671" w:type="dxa"/>
            <w:vAlign w:val="center"/>
          </w:tcPr>
          <w:p w14:paraId="6892E972">
            <w:pPr>
              <w:pStyle w:val="8"/>
              <w:shd w:val="clear"/>
              <w:ind w:firstLine="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业主</w:t>
            </w:r>
            <w:r>
              <w:rPr>
                <w:rFonts w:hint="eastAsia" w:ascii="宋体" w:hAnsi="宋体" w:eastAsia="宋体" w:cs="宋体"/>
                <w:b w:val="0"/>
                <w:bCs w:val="0"/>
                <w:color w:val="auto"/>
                <w:szCs w:val="21"/>
                <w:highlight w:val="none"/>
              </w:rPr>
              <w:t>单位名称</w:t>
            </w:r>
          </w:p>
        </w:tc>
        <w:tc>
          <w:tcPr>
            <w:tcW w:w="1984" w:type="dxa"/>
            <w:vAlign w:val="center"/>
          </w:tcPr>
          <w:p w14:paraId="7B46F8EE">
            <w:pPr>
              <w:pStyle w:val="8"/>
              <w:shd w:val="clear"/>
              <w:ind w:firstLine="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项目名称</w:t>
            </w:r>
          </w:p>
        </w:tc>
        <w:tc>
          <w:tcPr>
            <w:tcW w:w="1391" w:type="dxa"/>
            <w:vAlign w:val="center"/>
          </w:tcPr>
          <w:p w14:paraId="35050765">
            <w:pPr>
              <w:pStyle w:val="8"/>
              <w:shd w:val="clear"/>
              <w:ind w:firstLine="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合同金额</w:t>
            </w:r>
          </w:p>
        </w:tc>
        <w:tc>
          <w:tcPr>
            <w:tcW w:w="1704" w:type="dxa"/>
            <w:vAlign w:val="center"/>
          </w:tcPr>
          <w:p w14:paraId="1954D1FC">
            <w:pPr>
              <w:pStyle w:val="8"/>
              <w:shd w:val="clear"/>
              <w:ind w:firstLine="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合同签订时间</w:t>
            </w:r>
          </w:p>
        </w:tc>
        <w:tc>
          <w:tcPr>
            <w:tcW w:w="874" w:type="dxa"/>
            <w:vAlign w:val="center"/>
          </w:tcPr>
          <w:p w14:paraId="1A2E34F6">
            <w:pPr>
              <w:pStyle w:val="8"/>
              <w:shd w:val="clear"/>
              <w:ind w:firstLine="0"/>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备注</w:t>
            </w:r>
          </w:p>
        </w:tc>
      </w:tr>
      <w:tr w14:paraId="39C8D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6AC6A205">
            <w:pPr>
              <w:pStyle w:val="8"/>
              <w:shd w:val="clear"/>
              <w:ind w:firstLine="0"/>
              <w:rPr>
                <w:rFonts w:hint="eastAsia" w:ascii="宋体" w:hAnsi="宋体" w:eastAsia="宋体" w:cs="宋体"/>
                <w:color w:val="auto"/>
                <w:sz w:val="24"/>
                <w:szCs w:val="24"/>
                <w:highlight w:val="none"/>
              </w:rPr>
            </w:pPr>
          </w:p>
        </w:tc>
        <w:tc>
          <w:tcPr>
            <w:tcW w:w="1671" w:type="dxa"/>
          </w:tcPr>
          <w:p w14:paraId="28AE7556">
            <w:pPr>
              <w:pStyle w:val="8"/>
              <w:shd w:val="clear"/>
              <w:ind w:firstLine="0"/>
              <w:rPr>
                <w:rFonts w:hint="eastAsia" w:ascii="宋体" w:hAnsi="宋体" w:eastAsia="宋体" w:cs="宋体"/>
                <w:color w:val="auto"/>
                <w:sz w:val="24"/>
                <w:szCs w:val="24"/>
                <w:highlight w:val="none"/>
              </w:rPr>
            </w:pPr>
          </w:p>
        </w:tc>
        <w:tc>
          <w:tcPr>
            <w:tcW w:w="1984" w:type="dxa"/>
          </w:tcPr>
          <w:p w14:paraId="7D3681F3">
            <w:pPr>
              <w:pStyle w:val="8"/>
              <w:shd w:val="clear"/>
              <w:ind w:firstLine="0"/>
              <w:rPr>
                <w:rFonts w:hint="eastAsia" w:ascii="宋体" w:hAnsi="宋体" w:eastAsia="宋体" w:cs="宋体"/>
                <w:color w:val="auto"/>
                <w:sz w:val="24"/>
                <w:szCs w:val="24"/>
                <w:highlight w:val="none"/>
              </w:rPr>
            </w:pPr>
          </w:p>
        </w:tc>
        <w:tc>
          <w:tcPr>
            <w:tcW w:w="1391" w:type="dxa"/>
          </w:tcPr>
          <w:p w14:paraId="534D9AA1">
            <w:pPr>
              <w:pStyle w:val="8"/>
              <w:shd w:val="clear"/>
              <w:ind w:firstLine="0"/>
              <w:rPr>
                <w:rFonts w:hint="eastAsia" w:ascii="宋体" w:hAnsi="宋体" w:eastAsia="宋体" w:cs="宋体"/>
                <w:color w:val="auto"/>
                <w:sz w:val="24"/>
                <w:szCs w:val="24"/>
                <w:highlight w:val="none"/>
              </w:rPr>
            </w:pPr>
          </w:p>
        </w:tc>
        <w:tc>
          <w:tcPr>
            <w:tcW w:w="1704" w:type="dxa"/>
          </w:tcPr>
          <w:p w14:paraId="1DA8D198">
            <w:pPr>
              <w:pStyle w:val="8"/>
              <w:shd w:val="clear"/>
              <w:ind w:firstLine="0"/>
              <w:rPr>
                <w:rFonts w:hint="eastAsia" w:ascii="宋体" w:hAnsi="宋体" w:eastAsia="宋体" w:cs="宋体"/>
                <w:color w:val="auto"/>
                <w:sz w:val="24"/>
                <w:szCs w:val="24"/>
                <w:highlight w:val="none"/>
              </w:rPr>
            </w:pPr>
          </w:p>
        </w:tc>
        <w:tc>
          <w:tcPr>
            <w:tcW w:w="874" w:type="dxa"/>
          </w:tcPr>
          <w:p w14:paraId="44FE2501">
            <w:pPr>
              <w:pStyle w:val="8"/>
              <w:shd w:val="clear"/>
              <w:ind w:firstLine="0"/>
              <w:rPr>
                <w:rFonts w:hint="eastAsia" w:ascii="宋体" w:hAnsi="宋体" w:eastAsia="宋体" w:cs="宋体"/>
                <w:color w:val="auto"/>
                <w:sz w:val="24"/>
                <w:szCs w:val="24"/>
                <w:highlight w:val="none"/>
              </w:rPr>
            </w:pPr>
          </w:p>
        </w:tc>
      </w:tr>
      <w:tr w14:paraId="2F51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79BE6857">
            <w:pPr>
              <w:pStyle w:val="8"/>
              <w:shd w:val="clear"/>
              <w:ind w:firstLine="0"/>
              <w:rPr>
                <w:rFonts w:hint="eastAsia" w:ascii="宋体" w:hAnsi="宋体" w:eastAsia="宋体" w:cs="宋体"/>
                <w:color w:val="auto"/>
                <w:sz w:val="24"/>
                <w:szCs w:val="24"/>
                <w:highlight w:val="none"/>
              </w:rPr>
            </w:pPr>
          </w:p>
        </w:tc>
        <w:tc>
          <w:tcPr>
            <w:tcW w:w="1671" w:type="dxa"/>
          </w:tcPr>
          <w:p w14:paraId="14C6ED35">
            <w:pPr>
              <w:pStyle w:val="8"/>
              <w:shd w:val="clear"/>
              <w:ind w:firstLine="0"/>
              <w:rPr>
                <w:rFonts w:hint="eastAsia" w:ascii="宋体" w:hAnsi="宋体" w:eastAsia="宋体" w:cs="宋体"/>
                <w:color w:val="auto"/>
                <w:sz w:val="24"/>
                <w:szCs w:val="24"/>
                <w:highlight w:val="none"/>
              </w:rPr>
            </w:pPr>
          </w:p>
        </w:tc>
        <w:tc>
          <w:tcPr>
            <w:tcW w:w="1984" w:type="dxa"/>
          </w:tcPr>
          <w:p w14:paraId="75C2314B">
            <w:pPr>
              <w:pStyle w:val="8"/>
              <w:shd w:val="clear"/>
              <w:ind w:firstLine="0"/>
              <w:rPr>
                <w:rFonts w:hint="eastAsia" w:ascii="宋体" w:hAnsi="宋体" w:eastAsia="宋体" w:cs="宋体"/>
                <w:color w:val="auto"/>
                <w:sz w:val="24"/>
                <w:szCs w:val="24"/>
                <w:highlight w:val="none"/>
              </w:rPr>
            </w:pPr>
          </w:p>
        </w:tc>
        <w:tc>
          <w:tcPr>
            <w:tcW w:w="1391" w:type="dxa"/>
          </w:tcPr>
          <w:p w14:paraId="6EC7FA8E">
            <w:pPr>
              <w:pStyle w:val="8"/>
              <w:shd w:val="clear"/>
              <w:ind w:firstLine="0"/>
              <w:rPr>
                <w:rFonts w:hint="eastAsia" w:ascii="宋体" w:hAnsi="宋体" w:eastAsia="宋体" w:cs="宋体"/>
                <w:color w:val="auto"/>
                <w:sz w:val="24"/>
                <w:szCs w:val="24"/>
                <w:highlight w:val="none"/>
              </w:rPr>
            </w:pPr>
          </w:p>
        </w:tc>
        <w:tc>
          <w:tcPr>
            <w:tcW w:w="1704" w:type="dxa"/>
          </w:tcPr>
          <w:p w14:paraId="0E1E306A">
            <w:pPr>
              <w:pStyle w:val="8"/>
              <w:shd w:val="clear"/>
              <w:ind w:firstLine="0"/>
              <w:rPr>
                <w:rFonts w:hint="eastAsia" w:ascii="宋体" w:hAnsi="宋体" w:eastAsia="宋体" w:cs="宋体"/>
                <w:color w:val="auto"/>
                <w:sz w:val="24"/>
                <w:szCs w:val="24"/>
                <w:highlight w:val="none"/>
              </w:rPr>
            </w:pPr>
          </w:p>
        </w:tc>
        <w:tc>
          <w:tcPr>
            <w:tcW w:w="874" w:type="dxa"/>
          </w:tcPr>
          <w:p w14:paraId="7FE5A16A">
            <w:pPr>
              <w:pStyle w:val="8"/>
              <w:shd w:val="clear"/>
              <w:ind w:firstLine="0"/>
              <w:rPr>
                <w:rFonts w:hint="eastAsia" w:ascii="宋体" w:hAnsi="宋体" w:eastAsia="宋体" w:cs="宋体"/>
                <w:color w:val="auto"/>
                <w:sz w:val="24"/>
                <w:szCs w:val="24"/>
                <w:highlight w:val="none"/>
              </w:rPr>
            </w:pPr>
          </w:p>
        </w:tc>
      </w:tr>
      <w:tr w14:paraId="0E685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0AE5A732">
            <w:pPr>
              <w:pStyle w:val="8"/>
              <w:shd w:val="clear"/>
              <w:ind w:firstLine="0"/>
              <w:rPr>
                <w:rFonts w:hint="eastAsia" w:ascii="宋体" w:hAnsi="宋体" w:eastAsia="宋体" w:cs="宋体"/>
                <w:b/>
                <w:color w:val="auto"/>
                <w:sz w:val="24"/>
                <w:szCs w:val="24"/>
                <w:highlight w:val="none"/>
              </w:rPr>
            </w:pPr>
          </w:p>
        </w:tc>
        <w:tc>
          <w:tcPr>
            <w:tcW w:w="1671" w:type="dxa"/>
          </w:tcPr>
          <w:p w14:paraId="5919F7E0">
            <w:pPr>
              <w:pStyle w:val="8"/>
              <w:shd w:val="clear"/>
              <w:ind w:firstLine="0"/>
              <w:rPr>
                <w:rFonts w:hint="eastAsia" w:ascii="宋体" w:hAnsi="宋体" w:eastAsia="宋体" w:cs="宋体"/>
                <w:b/>
                <w:color w:val="auto"/>
                <w:sz w:val="24"/>
                <w:szCs w:val="24"/>
                <w:highlight w:val="none"/>
              </w:rPr>
            </w:pPr>
          </w:p>
        </w:tc>
        <w:tc>
          <w:tcPr>
            <w:tcW w:w="1984" w:type="dxa"/>
          </w:tcPr>
          <w:p w14:paraId="3D3F6759">
            <w:pPr>
              <w:pStyle w:val="8"/>
              <w:shd w:val="clear"/>
              <w:ind w:firstLine="0"/>
              <w:rPr>
                <w:rFonts w:hint="eastAsia" w:ascii="宋体" w:hAnsi="宋体" w:eastAsia="宋体" w:cs="宋体"/>
                <w:b/>
                <w:color w:val="auto"/>
                <w:sz w:val="24"/>
                <w:szCs w:val="24"/>
                <w:highlight w:val="none"/>
              </w:rPr>
            </w:pPr>
          </w:p>
        </w:tc>
        <w:tc>
          <w:tcPr>
            <w:tcW w:w="1391" w:type="dxa"/>
          </w:tcPr>
          <w:p w14:paraId="481DAE47">
            <w:pPr>
              <w:pStyle w:val="8"/>
              <w:shd w:val="clear"/>
              <w:ind w:firstLine="0"/>
              <w:rPr>
                <w:rFonts w:hint="eastAsia" w:ascii="宋体" w:hAnsi="宋体" w:eastAsia="宋体" w:cs="宋体"/>
                <w:b/>
                <w:color w:val="auto"/>
                <w:sz w:val="24"/>
                <w:szCs w:val="24"/>
                <w:highlight w:val="none"/>
              </w:rPr>
            </w:pPr>
          </w:p>
        </w:tc>
        <w:tc>
          <w:tcPr>
            <w:tcW w:w="1704" w:type="dxa"/>
          </w:tcPr>
          <w:p w14:paraId="06DA996A">
            <w:pPr>
              <w:pStyle w:val="8"/>
              <w:shd w:val="clear"/>
              <w:ind w:firstLine="0"/>
              <w:rPr>
                <w:rFonts w:hint="eastAsia" w:ascii="宋体" w:hAnsi="宋体" w:eastAsia="宋体" w:cs="宋体"/>
                <w:b/>
                <w:color w:val="auto"/>
                <w:sz w:val="24"/>
                <w:szCs w:val="24"/>
                <w:highlight w:val="none"/>
              </w:rPr>
            </w:pPr>
          </w:p>
        </w:tc>
        <w:tc>
          <w:tcPr>
            <w:tcW w:w="874" w:type="dxa"/>
          </w:tcPr>
          <w:p w14:paraId="53269A06">
            <w:pPr>
              <w:pStyle w:val="8"/>
              <w:shd w:val="clear"/>
              <w:ind w:firstLine="0"/>
              <w:rPr>
                <w:rFonts w:hint="eastAsia" w:ascii="宋体" w:hAnsi="宋体" w:eastAsia="宋体" w:cs="宋体"/>
                <w:b/>
                <w:color w:val="auto"/>
                <w:sz w:val="24"/>
                <w:szCs w:val="24"/>
                <w:highlight w:val="none"/>
              </w:rPr>
            </w:pPr>
          </w:p>
        </w:tc>
      </w:tr>
      <w:tr w14:paraId="45DC8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7CE9AF2B">
            <w:pPr>
              <w:pStyle w:val="8"/>
              <w:shd w:val="clear"/>
              <w:ind w:firstLine="0"/>
              <w:rPr>
                <w:rFonts w:hint="eastAsia" w:ascii="宋体" w:hAnsi="宋体" w:eastAsia="宋体" w:cs="宋体"/>
                <w:color w:val="auto"/>
                <w:sz w:val="24"/>
                <w:szCs w:val="24"/>
                <w:highlight w:val="none"/>
              </w:rPr>
            </w:pPr>
          </w:p>
        </w:tc>
        <w:tc>
          <w:tcPr>
            <w:tcW w:w="1671" w:type="dxa"/>
          </w:tcPr>
          <w:p w14:paraId="69CD6306">
            <w:pPr>
              <w:pStyle w:val="8"/>
              <w:shd w:val="clear"/>
              <w:ind w:firstLine="0"/>
              <w:rPr>
                <w:rFonts w:hint="eastAsia" w:ascii="宋体" w:hAnsi="宋体" w:eastAsia="宋体" w:cs="宋体"/>
                <w:color w:val="auto"/>
                <w:sz w:val="24"/>
                <w:szCs w:val="24"/>
                <w:highlight w:val="none"/>
              </w:rPr>
            </w:pPr>
          </w:p>
        </w:tc>
        <w:tc>
          <w:tcPr>
            <w:tcW w:w="1984" w:type="dxa"/>
          </w:tcPr>
          <w:p w14:paraId="12F1A582">
            <w:pPr>
              <w:pStyle w:val="8"/>
              <w:shd w:val="clear"/>
              <w:ind w:firstLine="0"/>
              <w:rPr>
                <w:rFonts w:hint="eastAsia" w:ascii="宋体" w:hAnsi="宋体" w:eastAsia="宋体" w:cs="宋体"/>
                <w:color w:val="auto"/>
                <w:sz w:val="24"/>
                <w:szCs w:val="24"/>
                <w:highlight w:val="none"/>
              </w:rPr>
            </w:pPr>
          </w:p>
        </w:tc>
        <w:tc>
          <w:tcPr>
            <w:tcW w:w="1391" w:type="dxa"/>
          </w:tcPr>
          <w:p w14:paraId="23608B32">
            <w:pPr>
              <w:pStyle w:val="8"/>
              <w:shd w:val="clear"/>
              <w:ind w:firstLine="0"/>
              <w:rPr>
                <w:rFonts w:hint="eastAsia" w:ascii="宋体" w:hAnsi="宋体" w:eastAsia="宋体" w:cs="宋体"/>
                <w:color w:val="auto"/>
                <w:sz w:val="24"/>
                <w:szCs w:val="24"/>
                <w:highlight w:val="none"/>
              </w:rPr>
            </w:pPr>
          </w:p>
        </w:tc>
        <w:tc>
          <w:tcPr>
            <w:tcW w:w="1704" w:type="dxa"/>
          </w:tcPr>
          <w:p w14:paraId="00B3CF5C">
            <w:pPr>
              <w:pStyle w:val="8"/>
              <w:shd w:val="clear"/>
              <w:ind w:firstLine="0"/>
              <w:rPr>
                <w:rFonts w:hint="eastAsia" w:ascii="宋体" w:hAnsi="宋体" w:eastAsia="宋体" w:cs="宋体"/>
                <w:color w:val="auto"/>
                <w:sz w:val="24"/>
                <w:szCs w:val="24"/>
                <w:highlight w:val="none"/>
              </w:rPr>
            </w:pPr>
          </w:p>
        </w:tc>
        <w:tc>
          <w:tcPr>
            <w:tcW w:w="874" w:type="dxa"/>
          </w:tcPr>
          <w:p w14:paraId="3248101F">
            <w:pPr>
              <w:pStyle w:val="8"/>
              <w:shd w:val="clear"/>
              <w:ind w:firstLine="0"/>
              <w:rPr>
                <w:rFonts w:hint="eastAsia" w:ascii="宋体" w:hAnsi="宋体" w:eastAsia="宋体" w:cs="宋体"/>
                <w:color w:val="auto"/>
                <w:sz w:val="24"/>
                <w:szCs w:val="24"/>
                <w:highlight w:val="none"/>
              </w:rPr>
            </w:pPr>
          </w:p>
        </w:tc>
      </w:tr>
      <w:tr w14:paraId="2BD9C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332E0203">
            <w:pPr>
              <w:pStyle w:val="8"/>
              <w:shd w:val="clear"/>
              <w:ind w:firstLine="0"/>
              <w:rPr>
                <w:rFonts w:hint="eastAsia" w:ascii="宋体" w:hAnsi="宋体" w:eastAsia="宋体" w:cs="宋体"/>
                <w:color w:val="auto"/>
                <w:sz w:val="24"/>
                <w:szCs w:val="24"/>
                <w:highlight w:val="none"/>
              </w:rPr>
            </w:pPr>
          </w:p>
        </w:tc>
        <w:tc>
          <w:tcPr>
            <w:tcW w:w="1671" w:type="dxa"/>
          </w:tcPr>
          <w:p w14:paraId="0F58DA89">
            <w:pPr>
              <w:pStyle w:val="8"/>
              <w:shd w:val="clear"/>
              <w:ind w:firstLine="0"/>
              <w:rPr>
                <w:rFonts w:hint="eastAsia" w:ascii="宋体" w:hAnsi="宋体" w:eastAsia="宋体" w:cs="宋体"/>
                <w:color w:val="auto"/>
                <w:sz w:val="24"/>
                <w:szCs w:val="24"/>
                <w:highlight w:val="none"/>
              </w:rPr>
            </w:pPr>
          </w:p>
        </w:tc>
        <w:tc>
          <w:tcPr>
            <w:tcW w:w="1984" w:type="dxa"/>
          </w:tcPr>
          <w:p w14:paraId="31E2C99D">
            <w:pPr>
              <w:pStyle w:val="8"/>
              <w:shd w:val="clear"/>
              <w:ind w:firstLine="0"/>
              <w:rPr>
                <w:rFonts w:hint="eastAsia" w:ascii="宋体" w:hAnsi="宋体" w:eastAsia="宋体" w:cs="宋体"/>
                <w:color w:val="auto"/>
                <w:sz w:val="24"/>
                <w:szCs w:val="24"/>
                <w:highlight w:val="none"/>
              </w:rPr>
            </w:pPr>
          </w:p>
        </w:tc>
        <w:tc>
          <w:tcPr>
            <w:tcW w:w="1391" w:type="dxa"/>
          </w:tcPr>
          <w:p w14:paraId="4D85C7F3">
            <w:pPr>
              <w:pStyle w:val="8"/>
              <w:shd w:val="clear"/>
              <w:ind w:firstLine="0"/>
              <w:rPr>
                <w:rFonts w:hint="eastAsia" w:ascii="宋体" w:hAnsi="宋体" w:eastAsia="宋体" w:cs="宋体"/>
                <w:color w:val="auto"/>
                <w:sz w:val="24"/>
                <w:szCs w:val="24"/>
                <w:highlight w:val="none"/>
              </w:rPr>
            </w:pPr>
          </w:p>
        </w:tc>
        <w:tc>
          <w:tcPr>
            <w:tcW w:w="1704" w:type="dxa"/>
          </w:tcPr>
          <w:p w14:paraId="72A66BE3">
            <w:pPr>
              <w:pStyle w:val="8"/>
              <w:shd w:val="clear"/>
              <w:ind w:firstLine="0"/>
              <w:rPr>
                <w:rFonts w:hint="eastAsia" w:ascii="宋体" w:hAnsi="宋体" w:eastAsia="宋体" w:cs="宋体"/>
                <w:color w:val="auto"/>
                <w:sz w:val="24"/>
                <w:szCs w:val="24"/>
                <w:highlight w:val="none"/>
              </w:rPr>
            </w:pPr>
          </w:p>
        </w:tc>
        <w:tc>
          <w:tcPr>
            <w:tcW w:w="874" w:type="dxa"/>
          </w:tcPr>
          <w:p w14:paraId="2F5F6BAC">
            <w:pPr>
              <w:pStyle w:val="8"/>
              <w:shd w:val="clear"/>
              <w:ind w:firstLine="0"/>
              <w:rPr>
                <w:rFonts w:hint="eastAsia" w:ascii="宋体" w:hAnsi="宋体" w:eastAsia="宋体" w:cs="宋体"/>
                <w:color w:val="auto"/>
                <w:sz w:val="24"/>
                <w:szCs w:val="24"/>
                <w:highlight w:val="none"/>
              </w:rPr>
            </w:pPr>
          </w:p>
        </w:tc>
      </w:tr>
      <w:tr w14:paraId="7AD89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76F47048">
            <w:pPr>
              <w:pStyle w:val="8"/>
              <w:shd w:val="clear"/>
              <w:ind w:firstLine="0"/>
              <w:rPr>
                <w:rFonts w:hint="eastAsia" w:ascii="宋体" w:hAnsi="宋体" w:eastAsia="宋体" w:cs="宋体"/>
                <w:color w:val="auto"/>
                <w:sz w:val="24"/>
                <w:szCs w:val="24"/>
                <w:highlight w:val="none"/>
              </w:rPr>
            </w:pPr>
          </w:p>
        </w:tc>
        <w:tc>
          <w:tcPr>
            <w:tcW w:w="1671" w:type="dxa"/>
          </w:tcPr>
          <w:p w14:paraId="0308BEA9">
            <w:pPr>
              <w:pStyle w:val="8"/>
              <w:shd w:val="clear"/>
              <w:ind w:firstLine="0"/>
              <w:rPr>
                <w:rFonts w:hint="eastAsia" w:ascii="宋体" w:hAnsi="宋体" w:eastAsia="宋体" w:cs="宋体"/>
                <w:color w:val="auto"/>
                <w:sz w:val="24"/>
                <w:szCs w:val="24"/>
                <w:highlight w:val="none"/>
              </w:rPr>
            </w:pPr>
          </w:p>
        </w:tc>
        <w:tc>
          <w:tcPr>
            <w:tcW w:w="1984" w:type="dxa"/>
          </w:tcPr>
          <w:p w14:paraId="5B2616EA">
            <w:pPr>
              <w:pStyle w:val="8"/>
              <w:shd w:val="clear"/>
              <w:ind w:firstLine="0"/>
              <w:rPr>
                <w:rFonts w:hint="eastAsia" w:ascii="宋体" w:hAnsi="宋体" w:eastAsia="宋体" w:cs="宋体"/>
                <w:color w:val="auto"/>
                <w:sz w:val="24"/>
                <w:szCs w:val="24"/>
                <w:highlight w:val="none"/>
              </w:rPr>
            </w:pPr>
          </w:p>
        </w:tc>
        <w:tc>
          <w:tcPr>
            <w:tcW w:w="1391" w:type="dxa"/>
          </w:tcPr>
          <w:p w14:paraId="062DAFFC">
            <w:pPr>
              <w:pStyle w:val="8"/>
              <w:shd w:val="clear"/>
              <w:ind w:firstLine="0"/>
              <w:rPr>
                <w:rFonts w:hint="eastAsia" w:ascii="宋体" w:hAnsi="宋体" w:eastAsia="宋体" w:cs="宋体"/>
                <w:color w:val="auto"/>
                <w:sz w:val="24"/>
                <w:szCs w:val="24"/>
                <w:highlight w:val="none"/>
              </w:rPr>
            </w:pPr>
          </w:p>
        </w:tc>
        <w:tc>
          <w:tcPr>
            <w:tcW w:w="1704" w:type="dxa"/>
          </w:tcPr>
          <w:p w14:paraId="21B451FB">
            <w:pPr>
              <w:pStyle w:val="8"/>
              <w:shd w:val="clear"/>
              <w:ind w:firstLine="0"/>
              <w:rPr>
                <w:rFonts w:hint="eastAsia" w:ascii="宋体" w:hAnsi="宋体" w:eastAsia="宋体" w:cs="宋体"/>
                <w:color w:val="auto"/>
                <w:sz w:val="24"/>
                <w:szCs w:val="24"/>
                <w:highlight w:val="none"/>
              </w:rPr>
            </w:pPr>
          </w:p>
        </w:tc>
        <w:tc>
          <w:tcPr>
            <w:tcW w:w="874" w:type="dxa"/>
          </w:tcPr>
          <w:p w14:paraId="74493C9F">
            <w:pPr>
              <w:pStyle w:val="8"/>
              <w:shd w:val="clear"/>
              <w:ind w:firstLine="0"/>
              <w:rPr>
                <w:rFonts w:hint="eastAsia" w:ascii="宋体" w:hAnsi="宋体" w:eastAsia="宋体" w:cs="宋体"/>
                <w:color w:val="auto"/>
                <w:sz w:val="24"/>
                <w:szCs w:val="24"/>
                <w:highlight w:val="none"/>
              </w:rPr>
            </w:pPr>
          </w:p>
        </w:tc>
      </w:tr>
      <w:tr w14:paraId="22C66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7D87E4CC">
            <w:pPr>
              <w:pStyle w:val="8"/>
              <w:shd w:val="clear"/>
              <w:ind w:firstLine="0"/>
              <w:rPr>
                <w:rFonts w:hint="eastAsia" w:ascii="宋体" w:hAnsi="宋体" w:eastAsia="宋体" w:cs="宋体"/>
                <w:color w:val="auto"/>
                <w:sz w:val="24"/>
                <w:szCs w:val="24"/>
                <w:highlight w:val="none"/>
              </w:rPr>
            </w:pPr>
          </w:p>
        </w:tc>
        <w:tc>
          <w:tcPr>
            <w:tcW w:w="1671" w:type="dxa"/>
          </w:tcPr>
          <w:p w14:paraId="1F472DB3">
            <w:pPr>
              <w:pStyle w:val="8"/>
              <w:shd w:val="clear"/>
              <w:ind w:firstLine="0"/>
              <w:rPr>
                <w:rFonts w:hint="eastAsia" w:ascii="宋体" w:hAnsi="宋体" w:eastAsia="宋体" w:cs="宋体"/>
                <w:color w:val="auto"/>
                <w:sz w:val="24"/>
                <w:szCs w:val="24"/>
                <w:highlight w:val="none"/>
              </w:rPr>
            </w:pPr>
          </w:p>
        </w:tc>
        <w:tc>
          <w:tcPr>
            <w:tcW w:w="1984" w:type="dxa"/>
          </w:tcPr>
          <w:p w14:paraId="23884A2D">
            <w:pPr>
              <w:pStyle w:val="8"/>
              <w:shd w:val="clear"/>
              <w:ind w:firstLine="0"/>
              <w:rPr>
                <w:rFonts w:hint="eastAsia" w:ascii="宋体" w:hAnsi="宋体" w:eastAsia="宋体" w:cs="宋体"/>
                <w:color w:val="auto"/>
                <w:sz w:val="24"/>
                <w:szCs w:val="24"/>
                <w:highlight w:val="none"/>
              </w:rPr>
            </w:pPr>
          </w:p>
        </w:tc>
        <w:tc>
          <w:tcPr>
            <w:tcW w:w="1391" w:type="dxa"/>
          </w:tcPr>
          <w:p w14:paraId="7328DD1C">
            <w:pPr>
              <w:pStyle w:val="8"/>
              <w:shd w:val="clear"/>
              <w:ind w:firstLine="0"/>
              <w:rPr>
                <w:rFonts w:hint="eastAsia" w:ascii="宋体" w:hAnsi="宋体" w:eastAsia="宋体" w:cs="宋体"/>
                <w:color w:val="auto"/>
                <w:sz w:val="24"/>
                <w:szCs w:val="24"/>
                <w:highlight w:val="none"/>
              </w:rPr>
            </w:pPr>
          </w:p>
        </w:tc>
        <w:tc>
          <w:tcPr>
            <w:tcW w:w="1704" w:type="dxa"/>
          </w:tcPr>
          <w:p w14:paraId="73567D7F">
            <w:pPr>
              <w:pStyle w:val="8"/>
              <w:shd w:val="clear"/>
              <w:ind w:firstLine="0"/>
              <w:rPr>
                <w:rFonts w:hint="eastAsia" w:ascii="宋体" w:hAnsi="宋体" w:eastAsia="宋体" w:cs="宋体"/>
                <w:color w:val="auto"/>
                <w:sz w:val="24"/>
                <w:szCs w:val="24"/>
                <w:highlight w:val="none"/>
              </w:rPr>
            </w:pPr>
          </w:p>
        </w:tc>
        <w:tc>
          <w:tcPr>
            <w:tcW w:w="874" w:type="dxa"/>
          </w:tcPr>
          <w:p w14:paraId="67CF04DA">
            <w:pPr>
              <w:pStyle w:val="8"/>
              <w:shd w:val="clear"/>
              <w:ind w:firstLine="0"/>
              <w:rPr>
                <w:rFonts w:hint="eastAsia" w:ascii="宋体" w:hAnsi="宋体" w:eastAsia="宋体" w:cs="宋体"/>
                <w:color w:val="auto"/>
                <w:sz w:val="24"/>
                <w:szCs w:val="24"/>
                <w:highlight w:val="none"/>
              </w:rPr>
            </w:pPr>
          </w:p>
        </w:tc>
      </w:tr>
      <w:tr w14:paraId="7F5C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E77DB05">
            <w:pPr>
              <w:pStyle w:val="8"/>
              <w:shd w:val="clear"/>
              <w:ind w:firstLine="0"/>
              <w:rPr>
                <w:rFonts w:hint="eastAsia" w:ascii="宋体" w:hAnsi="宋体" w:eastAsia="宋体" w:cs="宋体"/>
                <w:color w:val="auto"/>
                <w:sz w:val="24"/>
                <w:szCs w:val="24"/>
                <w:highlight w:val="none"/>
              </w:rPr>
            </w:pPr>
          </w:p>
        </w:tc>
        <w:tc>
          <w:tcPr>
            <w:tcW w:w="1671" w:type="dxa"/>
          </w:tcPr>
          <w:p w14:paraId="6458ECAE">
            <w:pPr>
              <w:pStyle w:val="8"/>
              <w:shd w:val="clear"/>
              <w:ind w:firstLine="0"/>
              <w:rPr>
                <w:rFonts w:hint="eastAsia" w:ascii="宋体" w:hAnsi="宋体" w:eastAsia="宋体" w:cs="宋体"/>
                <w:color w:val="auto"/>
                <w:sz w:val="24"/>
                <w:szCs w:val="24"/>
                <w:highlight w:val="none"/>
              </w:rPr>
            </w:pPr>
          </w:p>
        </w:tc>
        <w:tc>
          <w:tcPr>
            <w:tcW w:w="1984" w:type="dxa"/>
          </w:tcPr>
          <w:p w14:paraId="1476FF20">
            <w:pPr>
              <w:pStyle w:val="8"/>
              <w:shd w:val="clear"/>
              <w:ind w:firstLine="0"/>
              <w:rPr>
                <w:rFonts w:hint="eastAsia" w:ascii="宋体" w:hAnsi="宋体" w:eastAsia="宋体" w:cs="宋体"/>
                <w:color w:val="auto"/>
                <w:sz w:val="24"/>
                <w:szCs w:val="24"/>
                <w:highlight w:val="none"/>
              </w:rPr>
            </w:pPr>
          </w:p>
        </w:tc>
        <w:tc>
          <w:tcPr>
            <w:tcW w:w="1391" w:type="dxa"/>
          </w:tcPr>
          <w:p w14:paraId="41FAB2B0">
            <w:pPr>
              <w:pStyle w:val="8"/>
              <w:shd w:val="clear"/>
              <w:ind w:firstLine="0"/>
              <w:rPr>
                <w:rFonts w:hint="eastAsia" w:ascii="宋体" w:hAnsi="宋体" w:eastAsia="宋体" w:cs="宋体"/>
                <w:color w:val="auto"/>
                <w:sz w:val="24"/>
                <w:szCs w:val="24"/>
                <w:highlight w:val="none"/>
              </w:rPr>
            </w:pPr>
          </w:p>
        </w:tc>
        <w:tc>
          <w:tcPr>
            <w:tcW w:w="1704" w:type="dxa"/>
          </w:tcPr>
          <w:p w14:paraId="63772DC3">
            <w:pPr>
              <w:pStyle w:val="8"/>
              <w:shd w:val="clear"/>
              <w:ind w:firstLine="0"/>
              <w:rPr>
                <w:rFonts w:hint="eastAsia" w:ascii="宋体" w:hAnsi="宋体" w:eastAsia="宋体" w:cs="宋体"/>
                <w:color w:val="auto"/>
                <w:sz w:val="24"/>
                <w:szCs w:val="24"/>
                <w:highlight w:val="none"/>
              </w:rPr>
            </w:pPr>
          </w:p>
        </w:tc>
        <w:tc>
          <w:tcPr>
            <w:tcW w:w="874" w:type="dxa"/>
          </w:tcPr>
          <w:p w14:paraId="7C5EA39F">
            <w:pPr>
              <w:pStyle w:val="8"/>
              <w:shd w:val="clear"/>
              <w:ind w:firstLine="0"/>
              <w:rPr>
                <w:rFonts w:hint="eastAsia" w:ascii="宋体" w:hAnsi="宋体" w:eastAsia="宋体" w:cs="宋体"/>
                <w:color w:val="auto"/>
                <w:sz w:val="24"/>
                <w:szCs w:val="24"/>
                <w:highlight w:val="none"/>
              </w:rPr>
            </w:pPr>
          </w:p>
        </w:tc>
      </w:tr>
      <w:tr w14:paraId="601F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4DFAE3CC">
            <w:pPr>
              <w:pStyle w:val="8"/>
              <w:shd w:val="clear"/>
              <w:ind w:firstLine="0"/>
              <w:rPr>
                <w:rFonts w:hint="eastAsia" w:ascii="宋体" w:hAnsi="宋体" w:eastAsia="宋体" w:cs="宋体"/>
                <w:color w:val="auto"/>
                <w:sz w:val="24"/>
                <w:szCs w:val="24"/>
                <w:highlight w:val="none"/>
              </w:rPr>
            </w:pPr>
          </w:p>
        </w:tc>
        <w:tc>
          <w:tcPr>
            <w:tcW w:w="1671" w:type="dxa"/>
          </w:tcPr>
          <w:p w14:paraId="0CE247FE">
            <w:pPr>
              <w:pStyle w:val="8"/>
              <w:shd w:val="clear"/>
              <w:ind w:firstLine="0"/>
              <w:rPr>
                <w:rFonts w:hint="eastAsia" w:ascii="宋体" w:hAnsi="宋体" w:eastAsia="宋体" w:cs="宋体"/>
                <w:color w:val="auto"/>
                <w:sz w:val="24"/>
                <w:szCs w:val="24"/>
                <w:highlight w:val="none"/>
              </w:rPr>
            </w:pPr>
          </w:p>
        </w:tc>
        <w:tc>
          <w:tcPr>
            <w:tcW w:w="1984" w:type="dxa"/>
          </w:tcPr>
          <w:p w14:paraId="74861317">
            <w:pPr>
              <w:pStyle w:val="8"/>
              <w:shd w:val="clear"/>
              <w:ind w:firstLine="0"/>
              <w:rPr>
                <w:rFonts w:hint="eastAsia" w:ascii="宋体" w:hAnsi="宋体" w:eastAsia="宋体" w:cs="宋体"/>
                <w:color w:val="auto"/>
                <w:sz w:val="24"/>
                <w:szCs w:val="24"/>
                <w:highlight w:val="none"/>
              </w:rPr>
            </w:pPr>
          </w:p>
        </w:tc>
        <w:tc>
          <w:tcPr>
            <w:tcW w:w="1391" w:type="dxa"/>
          </w:tcPr>
          <w:p w14:paraId="4010D985">
            <w:pPr>
              <w:pStyle w:val="8"/>
              <w:shd w:val="clear"/>
              <w:ind w:firstLine="0"/>
              <w:rPr>
                <w:rFonts w:hint="eastAsia" w:ascii="宋体" w:hAnsi="宋体" w:eastAsia="宋体" w:cs="宋体"/>
                <w:color w:val="auto"/>
                <w:sz w:val="24"/>
                <w:szCs w:val="24"/>
                <w:highlight w:val="none"/>
              </w:rPr>
            </w:pPr>
          </w:p>
        </w:tc>
        <w:tc>
          <w:tcPr>
            <w:tcW w:w="1704" w:type="dxa"/>
          </w:tcPr>
          <w:p w14:paraId="5753AD7D">
            <w:pPr>
              <w:pStyle w:val="8"/>
              <w:shd w:val="clear"/>
              <w:ind w:firstLine="0"/>
              <w:rPr>
                <w:rFonts w:hint="eastAsia" w:ascii="宋体" w:hAnsi="宋体" w:eastAsia="宋体" w:cs="宋体"/>
                <w:color w:val="auto"/>
                <w:sz w:val="24"/>
                <w:szCs w:val="24"/>
                <w:highlight w:val="none"/>
              </w:rPr>
            </w:pPr>
          </w:p>
        </w:tc>
        <w:tc>
          <w:tcPr>
            <w:tcW w:w="874" w:type="dxa"/>
          </w:tcPr>
          <w:p w14:paraId="61C0573B">
            <w:pPr>
              <w:pStyle w:val="8"/>
              <w:shd w:val="clear"/>
              <w:ind w:firstLine="0"/>
              <w:rPr>
                <w:rFonts w:hint="eastAsia" w:ascii="宋体" w:hAnsi="宋体" w:eastAsia="宋体" w:cs="宋体"/>
                <w:color w:val="auto"/>
                <w:sz w:val="24"/>
                <w:szCs w:val="24"/>
                <w:highlight w:val="none"/>
              </w:rPr>
            </w:pPr>
          </w:p>
        </w:tc>
      </w:tr>
      <w:tr w14:paraId="39745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1023" w:type="dxa"/>
          </w:tcPr>
          <w:p w14:paraId="2D4A1814">
            <w:pPr>
              <w:pStyle w:val="8"/>
              <w:shd w:val="clear"/>
              <w:ind w:firstLine="0"/>
              <w:rPr>
                <w:rFonts w:hint="eastAsia" w:ascii="宋体" w:hAnsi="宋体" w:eastAsia="宋体" w:cs="宋体"/>
                <w:color w:val="auto"/>
                <w:sz w:val="24"/>
                <w:szCs w:val="24"/>
                <w:highlight w:val="none"/>
              </w:rPr>
            </w:pPr>
          </w:p>
        </w:tc>
        <w:tc>
          <w:tcPr>
            <w:tcW w:w="1671" w:type="dxa"/>
          </w:tcPr>
          <w:p w14:paraId="3BCE9C9B">
            <w:pPr>
              <w:pStyle w:val="8"/>
              <w:shd w:val="clear"/>
              <w:ind w:firstLine="0"/>
              <w:rPr>
                <w:rFonts w:hint="eastAsia" w:ascii="宋体" w:hAnsi="宋体" w:eastAsia="宋体" w:cs="宋体"/>
                <w:color w:val="auto"/>
                <w:sz w:val="24"/>
                <w:szCs w:val="24"/>
                <w:highlight w:val="none"/>
              </w:rPr>
            </w:pPr>
          </w:p>
        </w:tc>
        <w:tc>
          <w:tcPr>
            <w:tcW w:w="1984" w:type="dxa"/>
          </w:tcPr>
          <w:p w14:paraId="77D8804B">
            <w:pPr>
              <w:pStyle w:val="8"/>
              <w:shd w:val="clear"/>
              <w:ind w:firstLine="0"/>
              <w:rPr>
                <w:rFonts w:hint="eastAsia" w:ascii="宋体" w:hAnsi="宋体" w:eastAsia="宋体" w:cs="宋体"/>
                <w:color w:val="auto"/>
                <w:sz w:val="24"/>
                <w:szCs w:val="24"/>
                <w:highlight w:val="none"/>
              </w:rPr>
            </w:pPr>
          </w:p>
        </w:tc>
        <w:tc>
          <w:tcPr>
            <w:tcW w:w="1391" w:type="dxa"/>
          </w:tcPr>
          <w:p w14:paraId="02B6FBAA">
            <w:pPr>
              <w:pStyle w:val="8"/>
              <w:shd w:val="clear"/>
              <w:ind w:firstLine="0"/>
              <w:rPr>
                <w:rFonts w:hint="eastAsia" w:ascii="宋体" w:hAnsi="宋体" w:eastAsia="宋体" w:cs="宋体"/>
                <w:color w:val="auto"/>
                <w:sz w:val="24"/>
                <w:szCs w:val="24"/>
                <w:highlight w:val="none"/>
              </w:rPr>
            </w:pPr>
          </w:p>
        </w:tc>
        <w:tc>
          <w:tcPr>
            <w:tcW w:w="1704" w:type="dxa"/>
          </w:tcPr>
          <w:p w14:paraId="43890B0E">
            <w:pPr>
              <w:pStyle w:val="8"/>
              <w:shd w:val="clear"/>
              <w:ind w:firstLine="0"/>
              <w:rPr>
                <w:rFonts w:hint="eastAsia" w:ascii="宋体" w:hAnsi="宋体" w:eastAsia="宋体" w:cs="宋体"/>
                <w:color w:val="auto"/>
                <w:sz w:val="24"/>
                <w:szCs w:val="24"/>
                <w:highlight w:val="none"/>
              </w:rPr>
            </w:pPr>
          </w:p>
        </w:tc>
        <w:tc>
          <w:tcPr>
            <w:tcW w:w="874" w:type="dxa"/>
          </w:tcPr>
          <w:p w14:paraId="37AB02DB">
            <w:pPr>
              <w:pStyle w:val="8"/>
              <w:shd w:val="clear"/>
              <w:ind w:firstLine="0"/>
              <w:rPr>
                <w:rFonts w:hint="eastAsia" w:ascii="宋体" w:hAnsi="宋体" w:eastAsia="宋体" w:cs="宋体"/>
                <w:color w:val="auto"/>
                <w:sz w:val="24"/>
                <w:szCs w:val="24"/>
                <w:highlight w:val="none"/>
              </w:rPr>
            </w:pPr>
          </w:p>
        </w:tc>
      </w:tr>
      <w:tr w14:paraId="7CEBF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23" w:type="dxa"/>
          </w:tcPr>
          <w:p w14:paraId="0F68F86B">
            <w:pPr>
              <w:pStyle w:val="8"/>
              <w:shd w:val="clear"/>
              <w:ind w:firstLine="0"/>
              <w:rPr>
                <w:rFonts w:hint="eastAsia" w:ascii="宋体" w:hAnsi="宋体" w:eastAsia="宋体" w:cs="宋体"/>
                <w:color w:val="auto"/>
                <w:sz w:val="24"/>
                <w:szCs w:val="24"/>
                <w:highlight w:val="none"/>
              </w:rPr>
            </w:pPr>
          </w:p>
        </w:tc>
        <w:tc>
          <w:tcPr>
            <w:tcW w:w="1671" w:type="dxa"/>
          </w:tcPr>
          <w:p w14:paraId="565DAD8B">
            <w:pPr>
              <w:pStyle w:val="8"/>
              <w:shd w:val="clear"/>
              <w:ind w:firstLine="0"/>
              <w:rPr>
                <w:rFonts w:hint="eastAsia" w:ascii="宋体" w:hAnsi="宋体" w:eastAsia="宋体" w:cs="宋体"/>
                <w:color w:val="auto"/>
                <w:sz w:val="24"/>
                <w:szCs w:val="24"/>
                <w:highlight w:val="none"/>
              </w:rPr>
            </w:pPr>
          </w:p>
        </w:tc>
        <w:tc>
          <w:tcPr>
            <w:tcW w:w="1984" w:type="dxa"/>
          </w:tcPr>
          <w:p w14:paraId="4E999410">
            <w:pPr>
              <w:pStyle w:val="8"/>
              <w:shd w:val="clear"/>
              <w:ind w:firstLine="0"/>
              <w:rPr>
                <w:rFonts w:hint="eastAsia" w:ascii="宋体" w:hAnsi="宋体" w:eastAsia="宋体" w:cs="宋体"/>
                <w:color w:val="auto"/>
                <w:sz w:val="24"/>
                <w:szCs w:val="24"/>
                <w:highlight w:val="none"/>
              </w:rPr>
            </w:pPr>
          </w:p>
        </w:tc>
        <w:tc>
          <w:tcPr>
            <w:tcW w:w="1391" w:type="dxa"/>
          </w:tcPr>
          <w:p w14:paraId="395AF7AC">
            <w:pPr>
              <w:pStyle w:val="8"/>
              <w:shd w:val="clear"/>
              <w:ind w:firstLine="0"/>
              <w:rPr>
                <w:rFonts w:hint="eastAsia" w:ascii="宋体" w:hAnsi="宋体" w:eastAsia="宋体" w:cs="宋体"/>
                <w:color w:val="auto"/>
                <w:sz w:val="24"/>
                <w:szCs w:val="24"/>
                <w:highlight w:val="none"/>
              </w:rPr>
            </w:pPr>
          </w:p>
        </w:tc>
        <w:tc>
          <w:tcPr>
            <w:tcW w:w="1704" w:type="dxa"/>
          </w:tcPr>
          <w:p w14:paraId="2891FAA9">
            <w:pPr>
              <w:pStyle w:val="8"/>
              <w:shd w:val="clear"/>
              <w:ind w:firstLine="0"/>
              <w:rPr>
                <w:rFonts w:hint="eastAsia" w:ascii="宋体" w:hAnsi="宋体" w:eastAsia="宋体" w:cs="宋体"/>
                <w:color w:val="auto"/>
                <w:sz w:val="24"/>
                <w:szCs w:val="24"/>
                <w:highlight w:val="none"/>
              </w:rPr>
            </w:pPr>
          </w:p>
        </w:tc>
        <w:tc>
          <w:tcPr>
            <w:tcW w:w="874" w:type="dxa"/>
          </w:tcPr>
          <w:p w14:paraId="00FD49B4">
            <w:pPr>
              <w:pStyle w:val="8"/>
              <w:shd w:val="clear"/>
              <w:ind w:firstLine="0"/>
              <w:rPr>
                <w:rFonts w:hint="eastAsia" w:ascii="宋体" w:hAnsi="宋体" w:eastAsia="宋体" w:cs="宋体"/>
                <w:color w:val="auto"/>
                <w:sz w:val="24"/>
                <w:szCs w:val="24"/>
                <w:highlight w:val="none"/>
              </w:rPr>
            </w:pPr>
          </w:p>
        </w:tc>
      </w:tr>
      <w:tr w14:paraId="505C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23" w:type="dxa"/>
          </w:tcPr>
          <w:p w14:paraId="2CF90069">
            <w:pPr>
              <w:pStyle w:val="8"/>
              <w:shd w:val="clear"/>
              <w:ind w:firstLine="0"/>
              <w:rPr>
                <w:rFonts w:hint="eastAsia" w:ascii="宋体" w:hAnsi="宋体" w:eastAsia="宋体" w:cs="宋体"/>
                <w:color w:val="auto"/>
                <w:sz w:val="24"/>
                <w:szCs w:val="24"/>
                <w:highlight w:val="none"/>
              </w:rPr>
            </w:pPr>
          </w:p>
        </w:tc>
        <w:tc>
          <w:tcPr>
            <w:tcW w:w="1671" w:type="dxa"/>
          </w:tcPr>
          <w:p w14:paraId="49B2D9F0">
            <w:pPr>
              <w:pStyle w:val="8"/>
              <w:shd w:val="clear"/>
              <w:ind w:firstLine="0"/>
              <w:rPr>
                <w:rFonts w:hint="eastAsia" w:ascii="宋体" w:hAnsi="宋体" w:eastAsia="宋体" w:cs="宋体"/>
                <w:color w:val="auto"/>
                <w:sz w:val="24"/>
                <w:szCs w:val="24"/>
                <w:highlight w:val="none"/>
              </w:rPr>
            </w:pPr>
          </w:p>
        </w:tc>
        <w:tc>
          <w:tcPr>
            <w:tcW w:w="1984" w:type="dxa"/>
          </w:tcPr>
          <w:p w14:paraId="04E0F361">
            <w:pPr>
              <w:pStyle w:val="8"/>
              <w:shd w:val="clear"/>
              <w:ind w:firstLine="0"/>
              <w:rPr>
                <w:rFonts w:hint="eastAsia" w:ascii="宋体" w:hAnsi="宋体" w:eastAsia="宋体" w:cs="宋体"/>
                <w:color w:val="auto"/>
                <w:sz w:val="24"/>
                <w:szCs w:val="24"/>
                <w:highlight w:val="none"/>
              </w:rPr>
            </w:pPr>
          </w:p>
        </w:tc>
        <w:tc>
          <w:tcPr>
            <w:tcW w:w="1391" w:type="dxa"/>
          </w:tcPr>
          <w:p w14:paraId="28A1A47F">
            <w:pPr>
              <w:pStyle w:val="8"/>
              <w:shd w:val="clear"/>
              <w:ind w:firstLine="0"/>
              <w:rPr>
                <w:rFonts w:hint="eastAsia" w:ascii="宋体" w:hAnsi="宋体" w:eastAsia="宋体" w:cs="宋体"/>
                <w:color w:val="auto"/>
                <w:sz w:val="24"/>
                <w:szCs w:val="24"/>
                <w:highlight w:val="none"/>
              </w:rPr>
            </w:pPr>
          </w:p>
        </w:tc>
        <w:tc>
          <w:tcPr>
            <w:tcW w:w="1704" w:type="dxa"/>
          </w:tcPr>
          <w:p w14:paraId="313240B3">
            <w:pPr>
              <w:pStyle w:val="8"/>
              <w:shd w:val="clear"/>
              <w:ind w:firstLine="0"/>
              <w:rPr>
                <w:rFonts w:hint="eastAsia" w:ascii="宋体" w:hAnsi="宋体" w:eastAsia="宋体" w:cs="宋体"/>
                <w:color w:val="auto"/>
                <w:sz w:val="24"/>
                <w:szCs w:val="24"/>
                <w:highlight w:val="none"/>
              </w:rPr>
            </w:pPr>
          </w:p>
        </w:tc>
        <w:tc>
          <w:tcPr>
            <w:tcW w:w="874" w:type="dxa"/>
          </w:tcPr>
          <w:p w14:paraId="029F3D37">
            <w:pPr>
              <w:pStyle w:val="8"/>
              <w:shd w:val="clear"/>
              <w:ind w:firstLine="0"/>
              <w:rPr>
                <w:rFonts w:hint="eastAsia" w:ascii="宋体" w:hAnsi="宋体" w:eastAsia="宋体" w:cs="宋体"/>
                <w:color w:val="auto"/>
                <w:sz w:val="24"/>
                <w:szCs w:val="24"/>
                <w:highlight w:val="none"/>
              </w:rPr>
            </w:pPr>
          </w:p>
        </w:tc>
      </w:tr>
    </w:tbl>
    <w:p w14:paraId="50FA57FA">
      <w:pPr>
        <w:shd w:val="clear"/>
        <w:autoSpaceDE w:val="0"/>
        <w:autoSpaceDN w:val="0"/>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说明：1.</w:t>
      </w:r>
      <w:r>
        <w:rPr>
          <w:rFonts w:hint="eastAsia" w:ascii="宋体" w:hAnsi="宋体" w:eastAsia="宋体" w:cs="宋体"/>
          <w:color w:val="auto"/>
          <w:kern w:val="0"/>
          <w:highlight w:val="none"/>
          <w:lang w:val="zh-CN"/>
        </w:rPr>
        <w:t>提供自20</w:t>
      </w:r>
      <w:r>
        <w:rPr>
          <w:rFonts w:hint="eastAsia" w:ascii="宋体" w:hAnsi="宋体" w:eastAsia="宋体" w:cs="宋体"/>
          <w:color w:val="auto"/>
          <w:kern w:val="0"/>
          <w:highlight w:val="none"/>
          <w:lang w:val="en-US" w:eastAsia="zh-CN"/>
        </w:rPr>
        <w:t>2</w:t>
      </w:r>
      <w:r>
        <w:rPr>
          <w:rFonts w:hint="eastAsia" w:ascii="宋体" w:hAnsi="宋体" w:cs="宋体"/>
          <w:color w:val="auto"/>
          <w:kern w:val="0"/>
          <w:highlight w:val="none"/>
          <w:lang w:val="en-US" w:eastAsia="zh-CN"/>
        </w:rPr>
        <w:t>3</w:t>
      </w:r>
      <w:r>
        <w:rPr>
          <w:rFonts w:hint="eastAsia" w:ascii="宋体" w:hAnsi="宋体" w:eastAsia="宋体" w:cs="宋体"/>
          <w:color w:val="auto"/>
          <w:kern w:val="0"/>
          <w:highlight w:val="none"/>
          <w:lang w:val="zh-CN"/>
        </w:rPr>
        <w:t>年</w:t>
      </w:r>
      <w:r>
        <w:rPr>
          <w:rFonts w:hint="eastAsia" w:ascii="宋体" w:hAnsi="宋体" w:cs="宋体"/>
          <w:color w:val="auto"/>
          <w:kern w:val="0"/>
          <w:highlight w:val="none"/>
          <w:lang w:val="en-US" w:eastAsia="zh-CN"/>
        </w:rPr>
        <w:t>9</w:t>
      </w:r>
      <w:r>
        <w:rPr>
          <w:rFonts w:hint="eastAsia" w:ascii="宋体" w:hAnsi="宋体" w:eastAsia="宋体" w:cs="宋体"/>
          <w:color w:val="auto"/>
          <w:kern w:val="0"/>
          <w:highlight w:val="none"/>
          <w:lang w:val="zh-CN"/>
        </w:rPr>
        <w:t>月1日至今（以合同签订时间为准）的</w:t>
      </w:r>
      <w:r>
        <w:rPr>
          <w:rFonts w:hint="eastAsia" w:ascii="宋体" w:hAnsi="宋体" w:cs="宋体"/>
          <w:color w:val="auto"/>
          <w:kern w:val="0"/>
          <w:highlight w:val="none"/>
          <w:lang w:val="en-US" w:eastAsia="zh-CN"/>
        </w:rPr>
        <w:t>同类</w:t>
      </w:r>
      <w:r>
        <w:rPr>
          <w:rFonts w:hint="eastAsia" w:ascii="宋体" w:hAnsi="宋体" w:eastAsia="宋体" w:cs="宋体"/>
          <w:color w:val="auto"/>
          <w:kern w:val="0"/>
          <w:highlight w:val="none"/>
          <w:lang w:val="zh-CN"/>
        </w:rPr>
        <w:t>业绩证明材料；2.表后附加盖公章的</w:t>
      </w:r>
      <w:r>
        <w:rPr>
          <w:rFonts w:hint="eastAsia" w:ascii="宋体" w:hAnsi="宋体" w:cs="宋体"/>
          <w:color w:val="auto"/>
          <w:kern w:val="0"/>
          <w:highlight w:val="none"/>
          <w:lang w:val="en-US" w:eastAsia="zh-CN"/>
        </w:rPr>
        <w:t>证明材料</w:t>
      </w:r>
      <w:r>
        <w:rPr>
          <w:rFonts w:hint="eastAsia" w:ascii="宋体" w:hAnsi="宋体" w:eastAsia="宋体" w:cs="宋体"/>
          <w:color w:val="auto"/>
          <w:kern w:val="0"/>
          <w:highlight w:val="none"/>
          <w:lang w:val="zh-CN"/>
        </w:rPr>
        <w:t>；3.供应</w:t>
      </w:r>
      <w:r>
        <w:rPr>
          <w:rFonts w:hint="eastAsia" w:ascii="宋体" w:hAnsi="宋体" w:eastAsia="宋体" w:cs="宋体"/>
          <w:color w:val="auto"/>
          <w:szCs w:val="21"/>
          <w:highlight w:val="none"/>
        </w:rPr>
        <w:t>商人</w:t>
      </w:r>
      <w:r>
        <w:rPr>
          <w:rFonts w:hint="eastAsia" w:ascii="宋体" w:hAnsi="宋体" w:eastAsia="宋体" w:cs="宋体"/>
          <w:bCs/>
          <w:color w:val="auto"/>
          <w:szCs w:val="21"/>
          <w:highlight w:val="none"/>
        </w:rPr>
        <w:t>未按上述要求提供、</w:t>
      </w:r>
      <w:r>
        <w:rPr>
          <w:rFonts w:hint="eastAsia" w:ascii="宋体" w:hAnsi="宋体" w:eastAsia="宋体" w:cs="宋体"/>
          <w:color w:val="auto"/>
          <w:szCs w:val="21"/>
          <w:highlight w:val="none"/>
        </w:rPr>
        <w:t>填写</w:t>
      </w:r>
      <w:r>
        <w:rPr>
          <w:rFonts w:hint="eastAsia" w:ascii="宋体" w:hAnsi="宋体" w:eastAsia="宋体" w:cs="宋体"/>
          <w:bCs/>
          <w:color w:val="auto"/>
          <w:szCs w:val="21"/>
          <w:highlight w:val="none"/>
        </w:rPr>
        <w:t>的，评审时不予加分</w:t>
      </w:r>
    </w:p>
    <w:p w14:paraId="4303F68C">
      <w:pPr>
        <w:pStyle w:val="19"/>
        <w:shd w:val="clear"/>
        <w:spacing w:before="0" w:beforeAutospacing="0" w:after="0" w:afterAutospacing="0" w:line="480" w:lineRule="auto"/>
        <w:ind w:firstLine="2940" w:firstLineChars="1400"/>
        <w:rPr>
          <w:rFonts w:hint="eastAsia" w:ascii="宋体" w:hAnsi="宋体" w:eastAsia="宋体" w:cs="宋体"/>
          <w:color w:val="auto"/>
          <w:sz w:val="21"/>
          <w:szCs w:val="21"/>
          <w:highlight w:val="none"/>
        </w:rPr>
      </w:pPr>
    </w:p>
    <w:p w14:paraId="039145C1">
      <w:pPr>
        <w:pStyle w:val="19"/>
        <w:shd w:val="clear"/>
        <w:spacing w:before="0" w:beforeAutospacing="0" w:after="0" w:afterAutospacing="0" w:line="480" w:lineRule="auto"/>
        <w:ind w:firstLine="2940" w:firstLineChars="1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供应商名称：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3B6EA48F">
      <w:pPr>
        <w:pStyle w:val="19"/>
        <w:shd w:val="clear"/>
        <w:spacing w:before="0" w:beforeAutospacing="0" w:after="0" w:afterAutospacing="0" w:line="480" w:lineRule="auto"/>
        <w:ind w:firstLine="2940" w:firstLineChars="1400"/>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法定代表人或授权代理人：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（签字或盖章）</w:t>
      </w:r>
    </w:p>
    <w:p w14:paraId="6D3C1FB1">
      <w:pPr>
        <w:pStyle w:val="19"/>
        <w:shd w:val="clear"/>
        <w:spacing w:before="0" w:beforeAutospacing="0" w:after="0" w:afterAutospacing="0" w:line="480" w:lineRule="auto"/>
        <w:ind w:firstLine="2940" w:firstLineChars="1400"/>
        <w:rPr>
          <w:rFonts w:hint="eastAsia" w:ascii="宋体" w:hAnsi="宋体" w:eastAsia="宋体"/>
          <w:color w:val="auto"/>
          <w:sz w:val="36"/>
          <w:szCs w:val="36"/>
        </w:rPr>
      </w:pPr>
      <w:r>
        <w:rPr>
          <w:rFonts w:hint="eastAsia" w:ascii="宋体" w:hAnsi="宋体" w:eastAsia="宋体" w:cs="宋体"/>
          <w:color w:val="auto"/>
          <w:sz w:val="21"/>
          <w:szCs w:val="21"/>
          <w:highlight w:val="none"/>
          <w:u w:val="none"/>
          <w:lang w:eastAsia="zh-CN"/>
        </w:rPr>
        <w:t>日</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日</w:t>
      </w:r>
      <w:r>
        <w:rPr>
          <w:rFonts w:hint="eastAsia" w:ascii="宋体" w:hAnsi="宋体" w:eastAsia="宋体" w:cs="宋体"/>
          <w:bCs/>
          <w:color w:val="auto"/>
          <w:highlight w:val="none"/>
        </w:rPr>
        <w:t xml:space="preserve">  </w:t>
      </w:r>
    </w:p>
    <w:p w14:paraId="61FDF5F7">
      <w:pPr>
        <w:adjustRightInd w:val="0"/>
        <w:snapToGrid w:val="0"/>
        <w:jc w:val="center"/>
        <w:rPr>
          <w:rFonts w:hint="eastAsia" w:ascii="宋体" w:hAnsi="宋体"/>
          <w:b/>
          <w:bCs/>
          <w:color w:val="auto"/>
          <w:sz w:val="36"/>
          <w:szCs w:val="36"/>
        </w:rPr>
      </w:pPr>
      <w:bookmarkStart w:id="125" w:name="_Toc12907"/>
    </w:p>
    <w:p w14:paraId="57984FB0">
      <w:pPr>
        <w:adjustRightInd w:val="0"/>
        <w:snapToGrid w:val="0"/>
        <w:jc w:val="center"/>
        <w:rPr>
          <w:rFonts w:hint="eastAsia" w:ascii="宋体" w:hAnsi="宋体"/>
          <w:b/>
          <w:bCs/>
          <w:color w:val="auto"/>
          <w:sz w:val="36"/>
          <w:szCs w:val="36"/>
        </w:rPr>
      </w:pPr>
    </w:p>
    <w:p w14:paraId="13E89CF5">
      <w:pPr>
        <w:adjustRightInd w:val="0"/>
        <w:snapToGrid w:val="0"/>
        <w:jc w:val="center"/>
        <w:rPr>
          <w:rFonts w:hint="eastAsia" w:ascii="宋体" w:hAnsi="宋体"/>
          <w:b/>
          <w:bCs/>
          <w:color w:val="auto"/>
          <w:sz w:val="36"/>
          <w:szCs w:val="36"/>
        </w:rPr>
      </w:pPr>
    </w:p>
    <w:p w14:paraId="37E09C33">
      <w:pPr>
        <w:adjustRightInd w:val="0"/>
        <w:snapToGrid w:val="0"/>
        <w:jc w:val="center"/>
        <w:rPr>
          <w:rFonts w:ascii="宋体" w:hAnsi="宋体"/>
          <w:b/>
          <w:bCs/>
          <w:color w:val="auto"/>
          <w:sz w:val="36"/>
          <w:szCs w:val="36"/>
        </w:rPr>
      </w:pPr>
      <w:r>
        <w:rPr>
          <w:rFonts w:hint="eastAsia" w:ascii="宋体" w:hAnsi="宋体"/>
          <w:b/>
          <w:bCs/>
          <w:color w:val="auto"/>
          <w:sz w:val="36"/>
          <w:szCs w:val="36"/>
          <w:lang w:val="en-US" w:eastAsia="zh-CN"/>
        </w:rPr>
        <w:t>五</w:t>
      </w:r>
      <w:r>
        <w:rPr>
          <w:rFonts w:hint="eastAsia" w:ascii="宋体" w:hAnsi="宋体"/>
          <w:b/>
          <w:bCs/>
          <w:color w:val="auto"/>
          <w:sz w:val="36"/>
          <w:szCs w:val="36"/>
        </w:rPr>
        <w:t>、供应商认为需要提供的其他文件和资料</w:t>
      </w:r>
    </w:p>
    <w:p w14:paraId="45EE7D06">
      <w:pPr>
        <w:pStyle w:val="30"/>
        <w:spacing w:line="400" w:lineRule="exact"/>
        <w:rPr>
          <w:color w:val="auto"/>
        </w:rPr>
      </w:pPr>
    </w:p>
    <w:p w14:paraId="4B914F58">
      <w:pPr>
        <w:pStyle w:val="30"/>
        <w:spacing w:line="400" w:lineRule="exact"/>
        <w:rPr>
          <w:rFonts w:ascii="宋体" w:hAnsi="宋体"/>
          <w:color w:val="auto"/>
        </w:rPr>
      </w:pPr>
      <w:r>
        <w:rPr>
          <w:rFonts w:hint="eastAsia" w:ascii="楷体" w:hAnsi="楷体" w:eastAsia="楷体"/>
          <w:color w:val="auto"/>
        </w:rPr>
        <w:t>说明：格式自定。</w:t>
      </w:r>
    </w:p>
    <w:p w14:paraId="0D27277C">
      <w:pPr>
        <w:pStyle w:val="30"/>
        <w:spacing w:line="400" w:lineRule="exact"/>
        <w:jc w:val="center"/>
        <w:rPr>
          <w:rFonts w:ascii="宋体" w:hAnsi="宋体" w:cs="宋体"/>
          <w:b/>
          <w:bCs/>
          <w:color w:val="auto"/>
          <w:sz w:val="36"/>
          <w:szCs w:val="36"/>
        </w:rPr>
      </w:pPr>
    </w:p>
    <w:p w14:paraId="02D6B4E1">
      <w:pPr>
        <w:pStyle w:val="30"/>
        <w:spacing w:line="400" w:lineRule="exact"/>
        <w:jc w:val="center"/>
        <w:rPr>
          <w:rFonts w:ascii="宋体" w:hAnsi="宋体" w:cs="宋体"/>
          <w:b/>
          <w:bCs/>
          <w:color w:val="auto"/>
          <w:sz w:val="36"/>
          <w:szCs w:val="36"/>
        </w:rPr>
      </w:pPr>
    </w:p>
    <w:p w14:paraId="5B90375F">
      <w:pPr>
        <w:pStyle w:val="30"/>
        <w:spacing w:line="400" w:lineRule="exact"/>
        <w:jc w:val="center"/>
        <w:rPr>
          <w:rFonts w:ascii="宋体" w:hAnsi="宋体" w:cs="宋体"/>
          <w:b/>
          <w:bCs/>
          <w:color w:val="auto"/>
          <w:sz w:val="36"/>
          <w:szCs w:val="36"/>
        </w:rPr>
      </w:pPr>
    </w:p>
    <w:p w14:paraId="26C0C61C">
      <w:pPr>
        <w:pStyle w:val="30"/>
        <w:spacing w:line="400" w:lineRule="exact"/>
        <w:jc w:val="center"/>
        <w:rPr>
          <w:rFonts w:ascii="宋体" w:hAnsi="宋体" w:cs="宋体"/>
          <w:b/>
          <w:bCs/>
          <w:color w:val="auto"/>
          <w:sz w:val="36"/>
          <w:szCs w:val="36"/>
        </w:rPr>
      </w:pPr>
    </w:p>
    <w:p w14:paraId="100E860B">
      <w:pPr>
        <w:pStyle w:val="30"/>
        <w:spacing w:line="400" w:lineRule="exact"/>
        <w:jc w:val="center"/>
        <w:rPr>
          <w:rFonts w:ascii="宋体" w:hAnsi="宋体" w:cs="宋体"/>
          <w:b/>
          <w:bCs/>
          <w:color w:val="auto"/>
          <w:sz w:val="36"/>
          <w:szCs w:val="36"/>
        </w:rPr>
      </w:pPr>
    </w:p>
    <w:p w14:paraId="39647F27">
      <w:pPr>
        <w:pStyle w:val="30"/>
        <w:spacing w:line="400" w:lineRule="exact"/>
        <w:jc w:val="center"/>
        <w:rPr>
          <w:rFonts w:ascii="宋体" w:hAnsi="宋体" w:cs="宋体"/>
          <w:b/>
          <w:bCs/>
          <w:color w:val="auto"/>
          <w:sz w:val="36"/>
          <w:szCs w:val="36"/>
        </w:rPr>
      </w:pPr>
    </w:p>
    <w:p w14:paraId="53B38137">
      <w:pPr>
        <w:pStyle w:val="30"/>
        <w:spacing w:line="400" w:lineRule="exact"/>
        <w:jc w:val="center"/>
        <w:rPr>
          <w:rFonts w:ascii="宋体" w:hAnsi="宋体" w:cs="宋体"/>
          <w:b/>
          <w:bCs/>
          <w:color w:val="auto"/>
          <w:sz w:val="36"/>
          <w:szCs w:val="36"/>
        </w:rPr>
      </w:pPr>
    </w:p>
    <w:p w14:paraId="432E6689">
      <w:pPr>
        <w:pStyle w:val="30"/>
        <w:spacing w:line="400" w:lineRule="exact"/>
        <w:jc w:val="center"/>
        <w:rPr>
          <w:rFonts w:ascii="宋体" w:hAnsi="宋体" w:cs="宋体"/>
          <w:b/>
          <w:bCs/>
          <w:color w:val="auto"/>
          <w:sz w:val="36"/>
          <w:szCs w:val="36"/>
        </w:rPr>
      </w:pPr>
    </w:p>
    <w:p w14:paraId="7C0B60DF">
      <w:pPr>
        <w:pStyle w:val="30"/>
        <w:spacing w:line="400" w:lineRule="exact"/>
        <w:jc w:val="center"/>
        <w:rPr>
          <w:rFonts w:ascii="宋体" w:hAnsi="宋体" w:cs="宋体"/>
          <w:b/>
          <w:bCs/>
          <w:color w:val="auto"/>
          <w:sz w:val="36"/>
          <w:szCs w:val="36"/>
        </w:rPr>
      </w:pPr>
    </w:p>
    <w:p w14:paraId="5AD32891">
      <w:pPr>
        <w:pStyle w:val="30"/>
        <w:spacing w:line="400" w:lineRule="exact"/>
        <w:jc w:val="center"/>
        <w:rPr>
          <w:rFonts w:ascii="宋体" w:hAnsi="宋体" w:cs="宋体"/>
          <w:b/>
          <w:bCs/>
          <w:color w:val="auto"/>
          <w:sz w:val="36"/>
          <w:szCs w:val="36"/>
        </w:rPr>
      </w:pPr>
    </w:p>
    <w:p w14:paraId="6179BCE5">
      <w:pPr>
        <w:pStyle w:val="30"/>
        <w:spacing w:line="400" w:lineRule="exact"/>
        <w:jc w:val="center"/>
        <w:rPr>
          <w:rFonts w:ascii="宋体" w:hAnsi="宋体" w:cs="宋体"/>
          <w:b/>
          <w:bCs/>
          <w:color w:val="auto"/>
          <w:sz w:val="36"/>
          <w:szCs w:val="36"/>
        </w:rPr>
      </w:pPr>
    </w:p>
    <w:p w14:paraId="11AE90CC">
      <w:pPr>
        <w:pStyle w:val="30"/>
        <w:spacing w:line="400" w:lineRule="exact"/>
        <w:jc w:val="center"/>
        <w:rPr>
          <w:rFonts w:ascii="宋体" w:hAnsi="宋体" w:cs="宋体"/>
          <w:b/>
          <w:bCs/>
          <w:color w:val="auto"/>
          <w:sz w:val="36"/>
          <w:szCs w:val="36"/>
        </w:rPr>
      </w:pPr>
    </w:p>
    <w:p w14:paraId="20F7DC06">
      <w:pPr>
        <w:pStyle w:val="30"/>
        <w:spacing w:line="400" w:lineRule="exact"/>
        <w:jc w:val="center"/>
        <w:rPr>
          <w:rFonts w:ascii="宋体" w:hAnsi="宋体" w:cs="宋体"/>
          <w:b/>
          <w:bCs/>
          <w:color w:val="auto"/>
          <w:sz w:val="36"/>
          <w:szCs w:val="36"/>
        </w:rPr>
      </w:pPr>
    </w:p>
    <w:p w14:paraId="7EC8A818">
      <w:pPr>
        <w:pStyle w:val="30"/>
        <w:spacing w:line="400" w:lineRule="exact"/>
        <w:jc w:val="center"/>
        <w:rPr>
          <w:rFonts w:ascii="宋体" w:hAnsi="宋体" w:cs="宋体"/>
          <w:b/>
          <w:bCs/>
          <w:color w:val="auto"/>
          <w:sz w:val="36"/>
          <w:szCs w:val="36"/>
        </w:rPr>
      </w:pPr>
    </w:p>
    <w:p w14:paraId="71987B40">
      <w:pPr>
        <w:pStyle w:val="30"/>
        <w:spacing w:line="400" w:lineRule="exact"/>
        <w:jc w:val="center"/>
        <w:rPr>
          <w:rFonts w:ascii="宋体" w:hAnsi="宋体" w:cs="宋体"/>
          <w:b/>
          <w:bCs/>
          <w:color w:val="auto"/>
          <w:sz w:val="36"/>
          <w:szCs w:val="36"/>
        </w:rPr>
      </w:pPr>
    </w:p>
    <w:p w14:paraId="1833A8F2">
      <w:pPr>
        <w:pStyle w:val="30"/>
        <w:spacing w:line="400" w:lineRule="exact"/>
        <w:jc w:val="center"/>
        <w:rPr>
          <w:rFonts w:ascii="宋体" w:hAnsi="宋体" w:cs="宋体"/>
          <w:b/>
          <w:bCs/>
          <w:color w:val="auto"/>
          <w:sz w:val="36"/>
          <w:szCs w:val="36"/>
        </w:rPr>
      </w:pPr>
    </w:p>
    <w:p w14:paraId="2537A50F">
      <w:pPr>
        <w:pStyle w:val="30"/>
        <w:spacing w:line="400" w:lineRule="exact"/>
        <w:jc w:val="center"/>
        <w:rPr>
          <w:rFonts w:ascii="宋体" w:hAnsi="宋体" w:cs="宋体"/>
          <w:b/>
          <w:bCs/>
          <w:color w:val="auto"/>
          <w:sz w:val="36"/>
          <w:szCs w:val="36"/>
        </w:rPr>
      </w:pPr>
    </w:p>
    <w:p w14:paraId="78744BEF">
      <w:pPr>
        <w:pStyle w:val="30"/>
        <w:spacing w:line="400" w:lineRule="exact"/>
        <w:jc w:val="center"/>
        <w:rPr>
          <w:rFonts w:ascii="宋体" w:hAnsi="宋体" w:cs="宋体"/>
          <w:b/>
          <w:bCs/>
          <w:color w:val="auto"/>
          <w:sz w:val="36"/>
          <w:szCs w:val="36"/>
        </w:rPr>
      </w:pPr>
    </w:p>
    <w:p w14:paraId="71DCFED2">
      <w:pPr>
        <w:pStyle w:val="30"/>
        <w:spacing w:line="400" w:lineRule="exact"/>
        <w:jc w:val="center"/>
        <w:rPr>
          <w:rFonts w:ascii="宋体" w:hAnsi="宋体" w:cs="宋体"/>
          <w:b/>
          <w:bCs/>
          <w:color w:val="auto"/>
          <w:sz w:val="36"/>
          <w:szCs w:val="36"/>
        </w:rPr>
      </w:pPr>
    </w:p>
    <w:p w14:paraId="6FB2DE6F">
      <w:pPr>
        <w:pStyle w:val="30"/>
        <w:spacing w:line="400" w:lineRule="exact"/>
        <w:jc w:val="center"/>
        <w:rPr>
          <w:rFonts w:ascii="宋体" w:hAnsi="宋体" w:cs="宋体"/>
          <w:b/>
          <w:bCs/>
          <w:color w:val="auto"/>
          <w:sz w:val="36"/>
          <w:szCs w:val="36"/>
        </w:rPr>
      </w:pPr>
    </w:p>
    <w:p w14:paraId="6B558305">
      <w:pPr>
        <w:pStyle w:val="30"/>
        <w:spacing w:line="400" w:lineRule="exact"/>
        <w:jc w:val="center"/>
        <w:rPr>
          <w:rFonts w:ascii="宋体" w:hAnsi="宋体" w:cs="宋体"/>
          <w:b/>
          <w:bCs/>
          <w:color w:val="auto"/>
          <w:sz w:val="36"/>
          <w:szCs w:val="36"/>
        </w:rPr>
      </w:pPr>
    </w:p>
    <w:p w14:paraId="22CB40EF">
      <w:pPr>
        <w:pStyle w:val="30"/>
        <w:spacing w:line="400" w:lineRule="exact"/>
        <w:jc w:val="center"/>
        <w:rPr>
          <w:rFonts w:ascii="宋体" w:hAnsi="宋体" w:cs="宋体"/>
          <w:b/>
          <w:bCs/>
          <w:color w:val="auto"/>
          <w:sz w:val="36"/>
          <w:szCs w:val="36"/>
        </w:rPr>
      </w:pPr>
    </w:p>
    <w:p w14:paraId="38D283C0">
      <w:pPr>
        <w:pStyle w:val="30"/>
        <w:spacing w:line="400" w:lineRule="exact"/>
        <w:jc w:val="center"/>
        <w:rPr>
          <w:rFonts w:ascii="宋体" w:hAnsi="宋体" w:cs="宋体"/>
          <w:b/>
          <w:bCs/>
          <w:color w:val="auto"/>
          <w:sz w:val="36"/>
          <w:szCs w:val="36"/>
        </w:rPr>
      </w:pPr>
    </w:p>
    <w:p w14:paraId="0F231676">
      <w:pPr>
        <w:pStyle w:val="30"/>
        <w:spacing w:line="400" w:lineRule="exact"/>
        <w:jc w:val="center"/>
        <w:rPr>
          <w:rFonts w:ascii="宋体" w:hAnsi="宋体" w:cs="宋体"/>
          <w:b/>
          <w:bCs/>
          <w:color w:val="auto"/>
          <w:sz w:val="36"/>
          <w:szCs w:val="36"/>
        </w:rPr>
      </w:pPr>
    </w:p>
    <w:p w14:paraId="5E93D4B4">
      <w:pPr>
        <w:pStyle w:val="30"/>
        <w:spacing w:line="400" w:lineRule="exact"/>
        <w:jc w:val="center"/>
        <w:rPr>
          <w:rFonts w:ascii="宋体" w:hAnsi="宋体" w:cs="宋体"/>
          <w:b/>
          <w:bCs/>
          <w:color w:val="auto"/>
          <w:sz w:val="36"/>
          <w:szCs w:val="36"/>
        </w:rPr>
      </w:pPr>
    </w:p>
    <w:p w14:paraId="0E3F31C2">
      <w:pPr>
        <w:pStyle w:val="30"/>
        <w:spacing w:line="400" w:lineRule="exact"/>
        <w:jc w:val="center"/>
        <w:rPr>
          <w:rFonts w:ascii="宋体" w:hAnsi="宋体" w:cs="宋体"/>
          <w:b/>
          <w:bCs/>
          <w:color w:val="auto"/>
          <w:sz w:val="36"/>
          <w:szCs w:val="36"/>
        </w:rPr>
      </w:pPr>
    </w:p>
    <w:p w14:paraId="14872E2E">
      <w:pPr>
        <w:pStyle w:val="30"/>
        <w:spacing w:line="400" w:lineRule="exact"/>
        <w:jc w:val="center"/>
        <w:rPr>
          <w:rFonts w:ascii="宋体" w:hAnsi="宋体" w:cs="宋体"/>
          <w:b/>
          <w:bCs/>
          <w:color w:val="auto"/>
          <w:sz w:val="36"/>
          <w:szCs w:val="36"/>
        </w:rPr>
      </w:pPr>
    </w:p>
    <w:p w14:paraId="1FABAE75">
      <w:pPr>
        <w:pStyle w:val="30"/>
        <w:spacing w:line="400" w:lineRule="exact"/>
        <w:jc w:val="center"/>
        <w:rPr>
          <w:rFonts w:ascii="宋体" w:hAnsi="宋体" w:cs="宋体"/>
          <w:b/>
          <w:bCs/>
          <w:color w:val="auto"/>
          <w:sz w:val="36"/>
          <w:szCs w:val="36"/>
        </w:rPr>
      </w:pPr>
    </w:p>
    <w:p w14:paraId="7C69BD3F">
      <w:pPr>
        <w:pStyle w:val="30"/>
        <w:spacing w:line="400" w:lineRule="exact"/>
        <w:jc w:val="center"/>
        <w:rPr>
          <w:rFonts w:ascii="宋体" w:hAnsi="宋体" w:cs="宋体"/>
          <w:b/>
          <w:bCs/>
          <w:color w:val="auto"/>
          <w:sz w:val="36"/>
          <w:szCs w:val="36"/>
        </w:rPr>
      </w:pPr>
    </w:p>
    <w:p w14:paraId="3088595B">
      <w:pPr>
        <w:pStyle w:val="30"/>
        <w:spacing w:line="400" w:lineRule="exact"/>
        <w:jc w:val="center"/>
        <w:rPr>
          <w:rFonts w:ascii="宋体" w:hAnsi="宋体" w:cs="宋体"/>
          <w:b/>
          <w:bCs/>
          <w:color w:val="auto"/>
          <w:sz w:val="36"/>
          <w:szCs w:val="36"/>
        </w:rPr>
      </w:pPr>
    </w:p>
    <w:p w14:paraId="216785EB">
      <w:pPr>
        <w:pStyle w:val="30"/>
        <w:spacing w:line="400" w:lineRule="exact"/>
        <w:jc w:val="center"/>
        <w:rPr>
          <w:rFonts w:ascii="宋体" w:hAnsi="宋体" w:cs="宋体"/>
          <w:b/>
          <w:bCs/>
          <w:color w:val="auto"/>
          <w:sz w:val="36"/>
          <w:szCs w:val="36"/>
        </w:rPr>
      </w:pPr>
    </w:p>
    <w:p w14:paraId="54D74027">
      <w:pPr>
        <w:pStyle w:val="30"/>
        <w:spacing w:line="400" w:lineRule="exact"/>
        <w:jc w:val="center"/>
        <w:rPr>
          <w:rFonts w:ascii="宋体" w:hAnsi="宋体" w:cs="宋体"/>
          <w:b/>
          <w:bCs/>
          <w:color w:val="auto"/>
          <w:sz w:val="36"/>
          <w:szCs w:val="36"/>
        </w:rPr>
      </w:pPr>
      <w:r>
        <w:rPr>
          <w:rFonts w:hint="eastAsia" w:ascii="宋体" w:hAnsi="宋体" w:cs="宋体"/>
          <w:b/>
          <w:bCs/>
          <w:color w:val="auto"/>
          <w:sz w:val="36"/>
          <w:szCs w:val="36"/>
          <w:lang w:val="en-US" w:eastAsia="zh-CN"/>
        </w:rPr>
        <w:t>六</w:t>
      </w:r>
      <w:r>
        <w:rPr>
          <w:rFonts w:hint="eastAsia" w:ascii="宋体" w:hAnsi="宋体" w:cs="宋体"/>
          <w:b/>
          <w:bCs/>
          <w:color w:val="auto"/>
          <w:sz w:val="36"/>
          <w:szCs w:val="36"/>
        </w:rPr>
        <w:t>、陕西省政府采购供应商拒绝政府采购领域商业贿赂</w:t>
      </w:r>
    </w:p>
    <w:p w14:paraId="6698EF1D">
      <w:pPr>
        <w:pStyle w:val="30"/>
        <w:spacing w:line="400" w:lineRule="exact"/>
        <w:jc w:val="center"/>
        <w:rPr>
          <w:rFonts w:ascii="宋体" w:hAnsi="宋体" w:cs="宋体"/>
          <w:b/>
          <w:bCs/>
          <w:color w:val="auto"/>
          <w:sz w:val="36"/>
          <w:szCs w:val="36"/>
        </w:rPr>
      </w:pPr>
      <w:r>
        <w:rPr>
          <w:rFonts w:hint="eastAsia" w:ascii="宋体" w:hAnsi="宋体" w:cs="宋体"/>
          <w:b/>
          <w:bCs/>
          <w:color w:val="auto"/>
          <w:sz w:val="36"/>
          <w:szCs w:val="36"/>
        </w:rPr>
        <w:t>承诺书</w:t>
      </w:r>
    </w:p>
    <w:p w14:paraId="42723A59">
      <w:pPr>
        <w:pStyle w:val="30"/>
        <w:spacing w:line="400" w:lineRule="exact"/>
        <w:jc w:val="center"/>
        <w:rPr>
          <w:rFonts w:ascii="宋体" w:hAnsi="宋体" w:cs="宋体"/>
          <w:b/>
          <w:bCs/>
          <w:color w:val="auto"/>
          <w:sz w:val="36"/>
          <w:szCs w:val="36"/>
        </w:rPr>
      </w:pPr>
    </w:p>
    <w:p w14:paraId="3AF5948E">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为响应党中央、国务院关于治理政府采购领域商业贿赂行为的号召，我公司在此庄严承诺：</w:t>
      </w:r>
    </w:p>
    <w:p w14:paraId="74D93424">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1、在参与政府采购活动中遵纪守法、诚信经营、公平竞标。</w:t>
      </w:r>
    </w:p>
    <w:p w14:paraId="0D837CFF">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2、不向政府采购人、采购代理机构和政府采购评审专家进行任何形式的商业贿赂以谋取交易机会。</w:t>
      </w:r>
    </w:p>
    <w:p w14:paraId="48142F3E">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3、不向政府采购代理机构和采购人提供虚假资质文件或采用虚假应标方式参与政府采购市场竞争并谋取成交、成交。</w:t>
      </w:r>
    </w:p>
    <w:p w14:paraId="7E1A83B8">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4、不采取“围标、陪标”等商业欺诈手段获得政府采购定单。</w:t>
      </w:r>
    </w:p>
    <w:p w14:paraId="2842B6FB">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5、不采取不正当手段诋毁、排挤其他供应商。</w:t>
      </w:r>
    </w:p>
    <w:p w14:paraId="454D3E96">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6、不在提供商品和服务及工程时“偷梁换柱、以次充好”损害采购人的合法权益。</w:t>
      </w:r>
    </w:p>
    <w:p w14:paraId="6AFF27AC">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7、不与采购人、采购代理机构政府采购评审专家或其它供应商恶意串通，进行质疑和投诉，维护政府采购市场秩序。</w:t>
      </w:r>
    </w:p>
    <w:p w14:paraId="436F3AD7">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8、尊重和接受政府采购监督管理部门的监督和政府采购代理机构招标采购要求，承担因违约行为给采购人造成的损失。</w:t>
      </w:r>
    </w:p>
    <w:p w14:paraId="37A4D07A">
      <w:pPr>
        <w:widowControl/>
        <w:spacing w:line="408"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9、不发生其他有悖于政府采购公开、公平、公正和诚信原则的行为。</w:t>
      </w:r>
    </w:p>
    <w:p w14:paraId="48BE68A7">
      <w:pPr>
        <w:pStyle w:val="2"/>
        <w:rPr>
          <w:rFonts w:ascii="宋体" w:hAnsi="宋体" w:cs="宋体"/>
          <w:color w:val="auto"/>
        </w:rPr>
      </w:pPr>
    </w:p>
    <w:p w14:paraId="1796027E">
      <w:pPr>
        <w:spacing w:before="312" w:beforeLines="100" w:after="156" w:afterLines="50"/>
        <w:ind w:firstLine="3570" w:firstLineChars="1700"/>
        <w:jc w:val="left"/>
        <w:rPr>
          <w:rFonts w:ascii="宋体" w:hAnsi="宋体" w:cs="宋体"/>
          <w:color w:val="auto"/>
          <w:kern w:val="0"/>
          <w:szCs w:val="21"/>
        </w:rPr>
      </w:pPr>
      <w:r>
        <w:rPr>
          <w:rFonts w:hint="eastAsia" w:ascii="宋体" w:hAnsi="宋体" w:cs="宋体"/>
          <w:color w:val="auto"/>
          <w:kern w:val="0"/>
          <w:szCs w:val="21"/>
        </w:rPr>
        <w:t>供应商（</w:t>
      </w:r>
      <w:r>
        <w:rPr>
          <w:rFonts w:hint="eastAsia" w:ascii="宋体" w:hAnsi="宋体" w:cs="宋体"/>
          <w:bCs/>
          <w:color w:val="auto"/>
          <w:szCs w:val="21"/>
        </w:rPr>
        <w:t>全称并盖公章</w:t>
      </w:r>
      <w:r>
        <w:rPr>
          <w:rFonts w:hint="eastAsia" w:ascii="宋体" w:hAnsi="宋体" w:cs="宋体"/>
          <w:color w:val="auto"/>
          <w:kern w:val="0"/>
          <w:szCs w:val="21"/>
        </w:rPr>
        <w:t>）：</w:t>
      </w:r>
      <w:r>
        <w:rPr>
          <w:rFonts w:hint="eastAsia" w:ascii="宋体" w:hAnsi="宋体" w:cs="宋体"/>
          <w:color w:val="auto"/>
          <w:kern w:val="0"/>
          <w:szCs w:val="21"/>
          <w:u w:val="single"/>
        </w:rPr>
        <w:t xml:space="preserve">            </w:t>
      </w:r>
    </w:p>
    <w:p w14:paraId="1752292D">
      <w:pPr>
        <w:spacing w:before="312" w:beforeLines="100" w:after="156" w:afterLines="50"/>
        <w:ind w:firstLine="3570" w:firstLineChars="1700"/>
        <w:jc w:val="left"/>
        <w:rPr>
          <w:rFonts w:ascii="宋体" w:hAnsi="宋体" w:cs="宋体"/>
          <w:color w:val="auto"/>
          <w:kern w:val="0"/>
          <w:szCs w:val="21"/>
        </w:rPr>
      </w:pPr>
      <w:r>
        <w:rPr>
          <w:rFonts w:hint="eastAsia" w:ascii="宋体" w:hAnsi="宋体" w:cs="宋体"/>
          <w:color w:val="auto"/>
          <w:kern w:val="0"/>
          <w:szCs w:val="21"/>
        </w:rPr>
        <w:t>法定代表人或被授权人（签字或盖章）：</w:t>
      </w:r>
    </w:p>
    <w:p w14:paraId="30E6477F">
      <w:pPr>
        <w:ind w:left="1"/>
        <w:jc w:val="center"/>
        <w:rPr>
          <w:rFonts w:ascii="宋体" w:hAnsi="宋体" w:cs="宋体"/>
          <w:color w:val="auto"/>
          <w:kern w:val="0"/>
          <w:sz w:val="24"/>
        </w:rPr>
      </w:pPr>
      <w:r>
        <w:rPr>
          <w:rFonts w:hint="eastAsia" w:ascii="宋体" w:hAnsi="宋体" w:cs="宋体"/>
          <w:color w:val="auto"/>
          <w:kern w:val="0"/>
          <w:szCs w:val="21"/>
        </w:rPr>
        <w:t xml:space="preserve">                          日期：    年   月   日</w:t>
      </w:r>
    </w:p>
    <w:p w14:paraId="131B4C79">
      <w:pPr>
        <w:adjustRightInd w:val="0"/>
        <w:snapToGrid w:val="0"/>
        <w:jc w:val="center"/>
        <w:rPr>
          <w:rFonts w:ascii="宋体" w:hAnsi="宋体"/>
          <w:b/>
          <w:bCs/>
          <w:color w:val="auto"/>
          <w:sz w:val="36"/>
          <w:szCs w:val="36"/>
        </w:rPr>
      </w:pPr>
    </w:p>
    <w:p w14:paraId="55BCC7DA">
      <w:pPr>
        <w:adjustRightInd w:val="0"/>
        <w:snapToGrid w:val="0"/>
        <w:jc w:val="center"/>
        <w:rPr>
          <w:rFonts w:ascii="宋体" w:hAnsi="宋体"/>
          <w:b/>
          <w:bCs/>
          <w:color w:val="auto"/>
          <w:sz w:val="36"/>
          <w:szCs w:val="36"/>
        </w:rPr>
      </w:pPr>
    </w:p>
    <w:p w14:paraId="626497F8">
      <w:pPr>
        <w:adjustRightInd w:val="0"/>
        <w:snapToGrid w:val="0"/>
        <w:jc w:val="center"/>
        <w:rPr>
          <w:rFonts w:ascii="宋体" w:hAnsi="宋体"/>
          <w:b/>
          <w:bCs/>
          <w:color w:val="auto"/>
          <w:sz w:val="36"/>
          <w:szCs w:val="36"/>
        </w:rPr>
      </w:pPr>
    </w:p>
    <w:p w14:paraId="68B9B248">
      <w:pPr>
        <w:adjustRightInd w:val="0"/>
        <w:snapToGrid w:val="0"/>
        <w:jc w:val="center"/>
        <w:rPr>
          <w:rFonts w:ascii="宋体" w:hAnsi="宋体"/>
          <w:b/>
          <w:bCs/>
          <w:color w:val="auto"/>
          <w:sz w:val="36"/>
          <w:szCs w:val="36"/>
        </w:rPr>
      </w:pPr>
    </w:p>
    <w:p w14:paraId="75AFFEC6">
      <w:pPr>
        <w:adjustRightInd w:val="0"/>
        <w:snapToGrid w:val="0"/>
        <w:jc w:val="center"/>
        <w:rPr>
          <w:rFonts w:ascii="宋体" w:hAnsi="宋体"/>
          <w:b/>
          <w:bCs/>
          <w:color w:val="auto"/>
          <w:sz w:val="36"/>
          <w:szCs w:val="36"/>
        </w:rPr>
      </w:pPr>
    </w:p>
    <w:p w14:paraId="5E6D4BEB">
      <w:pPr>
        <w:adjustRightInd w:val="0"/>
        <w:snapToGrid w:val="0"/>
        <w:jc w:val="center"/>
        <w:rPr>
          <w:rFonts w:ascii="宋体" w:hAnsi="宋体"/>
          <w:b/>
          <w:bCs/>
          <w:color w:val="auto"/>
          <w:sz w:val="36"/>
          <w:szCs w:val="36"/>
        </w:rPr>
      </w:pPr>
    </w:p>
    <w:p w14:paraId="25C8BDE4">
      <w:pPr>
        <w:adjustRightInd w:val="0"/>
        <w:snapToGrid w:val="0"/>
        <w:jc w:val="center"/>
        <w:rPr>
          <w:rFonts w:ascii="宋体" w:hAnsi="宋体"/>
          <w:b/>
          <w:bCs/>
          <w:color w:val="auto"/>
          <w:sz w:val="36"/>
          <w:szCs w:val="36"/>
        </w:rPr>
      </w:pPr>
    </w:p>
    <w:bookmarkEnd w:id="125"/>
    <w:p w14:paraId="166E3D3C">
      <w:pPr>
        <w:rPr>
          <w:color w:val="auto"/>
        </w:rPr>
      </w:pPr>
    </w:p>
    <w:sectPr>
      <w:headerReference r:id="rId15" w:type="default"/>
      <w:footerReference r:id="rId16" w:type="default"/>
      <w:pgSz w:w="11907" w:h="16840"/>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panose1 w:val="02020609040205080304"/>
    <w:charset w:val="80"/>
    <w:family w:val="modern"/>
    <w:pitch w:val="default"/>
    <w:sig w:usb0="A00002BF" w:usb1="68C7FCFB" w:usb2="00000010" w:usb3="00000000" w:csb0="4002009F" w:csb1="DFD70000"/>
  </w:font>
  <w:font w:name="TimesNewRomanPSMT">
    <w:altName w:val="Times New Roman"/>
    <w:panose1 w:val="02020503050405090304"/>
    <w:charset w:val="00"/>
    <w:family w:val="roman"/>
    <w:pitch w:val="default"/>
    <w:sig w:usb0="00000000" w:usb1="00000000" w:usb2="00000001" w:usb3="00000000" w:csb0="400001BF" w:csb1="DFF70000"/>
  </w:font>
  <w:font w:name="Helvetica">
    <w:altName w:val="Arial"/>
    <w:panose1 w:val="00000000000000000000"/>
    <w:charset w:val="00"/>
    <w:family w:val="swiss"/>
    <w:pitch w:val="default"/>
    <w:sig w:usb0="00000000" w:usb1="00000000" w:usb2="00000000" w:usb3="00000000" w:csb0="2000019F" w:csb1="4F010000"/>
  </w:font>
  <w:font w:name="Segoe UI">
    <w:panose1 w:val="020B0502040204020203"/>
    <w:charset w:val="00"/>
    <w:family w:val="swiss"/>
    <w:pitch w:val="default"/>
    <w:sig w:usb0="E4002EFF" w:usb1="C000E47F"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67C9">
    <w:pPr>
      <w:pStyle w:val="13"/>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5DF78687">
    <w:pPr>
      <w:pStyle w:val="13"/>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72636133">
    <w:pPr>
      <w:pStyle w:val="13"/>
      <w:spacing w:line="240" w:lineRule="exact"/>
      <w:ind w:right="357"/>
      <w:jc w:val="center"/>
    </w:pPr>
    <w:r>
      <w:rPr>
        <w:rFonts w:hint="eastAsia"/>
        <w:b/>
        <w:kern w:val="0"/>
        <w:szCs w:val="21"/>
      </w:rPr>
      <w:t>地址：咸阳市秦都区人民中路新华大厦1508室  电话：029-33284736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CE2DE">
    <w:pPr>
      <w:pStyle w:val="13"/>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19A883D3">
    <w:pPr>
      <w:pStyle w:val="13"/>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45B38979">
    <w:pPr>
      <w:pStyle w:val="13"/>
      <w:spacing w:line="240" w:lineRule="exact"/>
      <w:ind w:right="357"/>
      <w:jc w:val="center"/>
    </w:pPr>
    <w:r>
      <w:rPr>
        <w:rFonts w:hint="eastAsia"/>
        <w:b/>
        <w:kern w:val="0"/>
        <w:szCs w:val="21"/>
      </w:rPr>
      <w:t>地址：咸阳市秦都区人民中路新华大厦1508室  电话：029-33284736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11CFC">
    <w:pPr>
      <w:pStyle w:val="13"/>
      <w:framePr w:wrap="around" w:vAnchor="text" w:hAnchor="margin" w:xAlign="center" w:y="1"/>
      <w:rPr>
        <w:rStyle w:val="25"/>
      </w:rPr>
    </w:pPr>
    <w:r>
      <w:fldChar w:fldCharType="begin"/>
    </w:r>
    <w:r>
      <w:rPr>
        <w:rStyle w:val="25"/>
      </w:rPr>
      <w:instrText xml:space="preserve">PAGE  </w:instrText>
    </w:r>
    <w:r>
      <w:fldChar w:fldCharType="separate"/>
    </w:r>
    <w:r>
      <w:rPr>
        <w:rStyle w:val="25"/>
      </w:rPr>
      <w:t>4</w:t>
    </w:r>
    <w:r>
      <w:fldChar w:fldCharType="end"/>
    </w:r>
  </w:p>
  <w:p w14:paraId="1CE8B92A">
    <w:pPr>
      <w:pStyle w:val="13"/>
      <w:pBdr>
        <w:bottom w:val="single" w:color="auto" w:sz="6" w:space="1"/>
      </w:pBdr>
      <w:ind w:right="360"/>
      <w:rPr>
        <w:kern w:val="0"/>
        <w:szCs w:val="21"/>
      </w:rPr>
    </w:pPr>
  </w:p>
  <w:p w14:paraId="1F441109">
    <w:pPr>
      <w:pStyle w:val="13"/>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164BA639">
    <w:pPr>
      <w:pStyle w:val="13"/>
      <w:jc w:val="both"/>
    </w:pPr>
    <w:r>
      <w:rPr>
        <w:rFonts w:hint="eastAsia"/>
        <w:kern w:val="0"/>
        <w:szCs w:val="21"/>
      </w:rPr>
      <w:t>联系电话：029-88472386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C705D">
    <w:pPr>
      <w:pStyle w:val="13"/>
      <w:ind w:right="360"/>
      <w:jc w:val="center"/>
      <w:rPr>
        <w:kern w:val="0"/>
        <w:szCs w:val="21"/>
      </w:rPr>
    </w:pPr>
    <w:r>
      <w:rPr>
        <w:rFonts w:hint="eastAsia"/>
        <w:kern w:val="0"/>
        <w:szCs w:val="21"/>
      </w:rPr>
      <w:t xml:space="preserve">-----------------------------------------------------------第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6CDC3015">
    <w:pPr>
      <w:pStyle w:val="13"/>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040E02C3">
    <w:pPr>
      <w:pStyle w:val="13"/>
      <w:spacing w:line="240" w:lineRule="exact"/>
      <w:ind w:right="357"/>
      <w:jc w:val="center"/>
    </w:pPr>
    <w:r>
      <w:rPr>
        <w:rFonts w:hint="eastAsia"/>
        <w:b/>
        <w:kern w:val="0"/>
        <w:szCs w:val="21"/>
      </w:rPr>
      <w:t>地址：咸阳市秦都区人民中路新华大厦1508室  电话：029-33284736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A2328">
    <w:pPr>
      <w:pStyle w:val="13"/>
      <w:jc w:val="center"/>
    </w:pPr>
    <w:r>
      <w:rPr>
        <w:rFonts w:hint="eastAsia"/>
        <w:kern w:val="0"/>
        <w:szCs w:val="21"/>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B3C4B">
    <w:pPr>
      <w:pStyle w:val="13"/>
      <w:framePr w:wrap="around" w:vAnchor="text" w:hAnchor="margin" w:xAlign="center" w:y="1"/>
      <w:rPr>
        <w:rStyle w:val="25"/>
      </w:rPr>
    </w:pPr>
    <w:r>
      <w:fldChar w:fldCharType="begin"/>
    </w:r>
    <w:r>
      <w:rPr>
        <w:rStyle w:val="25"/>
      </w:rPr>
      <w:instrText xml:space="preserve">PAGE  </w:instrText>
    </w:r>
    <w:r>
      <w:fldChar w:fldCharType="separate"/>
    </w:r>
    <w:r>
      <w:rPr>
        <w:rStyle w:val="25"/>
      </w:rPr>
      <w:t>4</w:t>
    </w:r>
    <w:r>
      <w:fldChar w:fldCharType="end"/>
    </w:r>
  </w:p>
  <w:p w14:paraId="1E3430DB">
    <w:pPr>
      <w:pStyle w:val="13"/>
      <w:pBdr>
        <w:bottom w:val="single" w:color="auto" w:sz="6" w:space="1"/>
      </w:pBdr>
      <w:ind w:right="360"/>
      <w:rPr>
        <w:kern w:val="0"/>
        <w:szCs w:val="21"/>
      </w:rPr>
    </w:pPr>
  </w:p>
  <w:p w14:paraId="4899913C">
    <w:pPr>
      <w:pStyle w:val="13"/>
      <w:jc w:val="center"/>
      <w:rPr>
        <w:kern w:val="0"/>
        <w:szCs w:val="21"/>
      </w:rPr>
    </w:pPr>
    <w:r>
      <w:rPr>
        <w:rFonts w:hint="eastAsia"/>
        <w:kern w:val="0"/>
        <w:szCs w:val="21"/>
      </w:rPr>
      <w:t xml:space="preserve">第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82</w:t>
    </w:r>
    <w:r>
      <w:rPr>
        <w:kern w:val="0"/>
        <w:szCs w:val="21"/>
      </w:rPr>
      <w:fldChar w:fldCharType="end"/>
    </w:r>
    <w:r>
      <w:rPr>
        <w:rFonts w:hint="eastAsia"/>
        <w:kern w:val="0"/>
        <w:szCs w:val="21"/>
      </w:rPr>
      <w:t xml:space="preserve"> 页</w:t>
    </w:r>
  </w:p>
  <w:p w14:paraId="285CE591">
    <w:pPr>
      <w:pStyle w:val="13"/>
      <w:jc w:val="both"/>
    </w:pPr>
    <w:r>
      <w:rPr>
        <w:rFonts w:hint="eastAsia"/>
        <w:kern w:val="0"/>
        <w:szCs w:val="21"/>
      </w:rPr>
      <w:t>联系电话：029-88472386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51BEA">
    <w:pPr>
      <w:pStyle w:val="13"/>
      <w:ind w:right="360"/>
      <w:jc w:val="center"/>
      <w:rPr>
        <w:kern w:val="0"/>
        <w:szCs w:val="21"/>
      </w:rPr>
    </w:pPr>
    <w:r>
      <w:rPr>
        <w:rFonts w:hint="eastAsia"/>
        <w:kern w:val="0"/>
        <w:szCs w:val="21"/>
      </w:rPr>
      <w:t xml:space="preserve"> -----------------------------------------------------------第 </w:t>
    </w:r>
    <w:r>
      <w:rPr>
        <w:kern w:val="0"/>
        <w:szCs w:val="21"/>
      </w:rPr>
      <w:fldChar w:fldCharType="begin"/>
    </w:r>
    <w:r>
      <w:rPr>
        <w:kern w:val="0"/>
        <w:szCs w:val="21"/>
      </w:rPr>
      <w:instrText xml:space="preserve"> PAGE </w:instrText>
    </w:r>
    <w:r>
      <w:rPr>
        <w:kern w:val="0"/>
        <w:szCs w:val="21"/>
      </w:rPr>
      <w:fldChar w:fldCharType="separate"/>
    </w:r>
    <w:r>
      <w:rPr>
        <w:kern w:val="0"/>
        <w:szCs w:val="21"/>
      </w:rPr>
      <w:t>45</w:t>
    </w:r>
    <w:r>
      <w:rPr>
        <w:kern w:val="0"/>
        <w:szCs w:val="21"/>
      </w:rPr>
      <w:fldChar w:fldCharType="end"/>
    </w:r>
    <w:r>
      <w:rPr>
        <w:rFonts w:hint="eastAsia"/>
        <w:kern w:val="0"/>
        <w:szCs w:val="21"/>
      </w:rPr>
      <w:t xml:space="preserve"> 页 共 </w:t>
    </w:r>
    <w:r>
      <w:rPr>
        <w:kern w:val="0"/>
        <w:szCs w:val="21"/>
      </w:rPr>
      <w:fldChar w:fldCharType="begin"/>
    </w:r>
    <w:r>
      <w:rPr>
        <w:kern w:val="0"/>
        <w:szCs w:val="21"/>
      </w:rPr>
      <w:instrText xml:space="preserve"> NUMPAGES </w:instrText>
    </w:r>
    <w:r>
      <w:rPr>
        <w:kern w:val="0"/>
        <w:szCs w:val="21"/>
      </w:rPr>
      <w:fldChar w:fldCharType="separate"/>
    </w:r>
    <w:r>
      <w:rPr>
        <w:kern w:val="0"/>
        <w:szCs w:val="21"/>
      </w:rPr>
      <w:t>101</w:t>
    </w:r>
    <w:r>
      <w:rPr>
        <w:kern w:val="0"/>
        <w:szCs w:val="21"/>
      </w:rPr>
      <w:fldChar w:fldCharType="end"/>
    </w:r>
    <w:r>
      <w:rPr>
        <w:rFonts w:hint="eastAsia"/>
        <w:kern w:val="0"/>
        <w:szCs w:val="21"/>
      </w:rPr>
      <w:t xml:space="preserve"> 页---------------------------------------------------</w:t>
    </w:r>
  </w:p>
  <w:p w14:paraId="43AA2F34">
    <w:pPr>
      <w:pStyle w:val="13"/>
      <w:spacing w:line="240" w:lineRule="exact"/>
      <w:ind w:right="357"/>
      <w:jc w:val="center"/>
      <w:rPr>
        <w:b/>
        <w:kern w:val="0"/>
        <w:szCs w:val="21"/>
      </w:rPr>
    </w:pPr>
    <w:r>
      <w:rPr>
        <w:rFonts w:hint="eastAsia"/>
        <w:b/>
        <w:kern w:val="0"/>
        <w:szCs w:val="21"/>
      </w:rPr>
      <w:t>陕西优正项目管理有限公司</w:t>
    </w:r>
    <w:r>
      <w:rPr>
        <w:b/>
        <w:kern w:val="0"/>
        <w:szCs w:val="21"/>
      </w:rPr>
      <w:t>Shaa</w:t>
    </w:r>
    <w:r>
      <w:rPr>
        <w:rFonts w:hint="eastAsia"/>
        <w:b/>
        <w:kern w:val="0"/>
        <w:szCs w:val="21"/>
      </w:rPr>
      <w:t>n</w:t>
    </w:r>
    <w:r>
      <w:rPr>
        <w:b/>
        <w:kern w:val="0"/>
        <w:szCs w:val="21"/>
      </w:rPr>
      <w:t xml:space="preserve">xi </w:t>
    </w:r>
    <w:r>
      <w:rPr>
        <w:rFonts w:hint="eastAsia"/>
        <w:b/>
        <w:kern w:val="0"/>
        <w:szCs w:val="21"/>
      </w:rPr>
      <w:t xml:space="preserve"> YOZH  Project  Management</w:t>
    </w:r>
    <w:r>
      <w:rPr>
        <w:b/>
        <w:kern w:val="0"/>
        <w:szCs w:val="21"/>
      </w:rPr>
      <w:t xml:space="preserve">  Co., Ltd</w:t>
    </w:r>
  </w:p>
  <w:p w14:paraId="0E1AF5F7">
    <w:pPr>
      <w:pStyle w:val="13"/>
      <w:spacing w:line="240" w:lineRule="exact"/>
      <w:ind w:right="357"/>
      <w:jc w:val="center"/>
    </w:pPr>
    <w:r>
      <w:rPr>
        <w:rFonts w:hint="eastAsia"/>
        <w:b/>
        <w:kern w:val="0"/>
        <w:szCs w:val="21"/>
      </w:rPr>
      <w:t>地址：咸阳市秦都区人民中路新华大厦1508室  电话：029-33284736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BBA15">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C5622">
    <w:pPr>
      <w:pBdr>
        <w:bottom w:val="thinThickSmallGap" w:color="auto" w:sz="18" w:space="1"/>
      </w:pBdr>
      <w:tabs>
        <w:tab w:val="left" w:pos="416"/>
        <w:tab w:val="right" w:pos="9206"/>
      </w:tabs>
      <w:spacing w:line="240" w:lineRule="exact"/>
      <w:ind w:right="-21" w:rightChars="-10"/>
      <w:jc w:val="left"/>
      <w:rPr>
        <w:sz w:val="18"/>
        <w:szCs w:val="18"/>
      </w:rPr>
    </w:pPr>
    <w:r>
      <w:rPr>
        <w:rFonts w:hint="eastAsia" w:ascii="宋体" w:hAnsi="宋体"/>
        <w:b/>
        <w:sz w:val="18"/>
        <w:szCs w:val="18"/>
        <w:lang w:eastAsia="zh-CN"/>
      </w:rPr>
      <w:t>旬邑县土桥镇地质灾害风险调查评价项目</w:t>
    </w:r>
    <w:r>
      <w:rPr>
        <w:rFonts w:hint="eastAsia" w:ascii="宋体" w:hAnsi="宋体"/>
        <w:b/>
        <w:sz w:val="18"/>
        <w:szCs w:val="18"/>
        <w:lang w:val="en-US" w:eastAsia="zh-CN"/>
      </w:rPr>
      <w:t xml:space="preserve">                                        </w:t>
    </w:r>
    <w:r>
      <w:rPr>
        <w:rFonts w:hint="eastAsia" w:ascii="宋体" w:hAnsi="宋体"/>
        <w:b/>
        <w:sz w:val="18"/>
        <w:szCs w:val="18"/>
      </w:rPr>
      <w:t xml:space="preserve">竞争性磋商文件  </w:t>
    </w:r>
    <w:r>
      <w:rPr>
        <w:rFonts w:hint="eastAsia" w:ascii="宋体" w:hAnsi="宋体"/>
        <w:b/>
        <w:sz w:val="18"/>
        <w:szCs w:val="18"/>
        <w:lang w:val="en-US" w:eastAsia="zh-CN"/>
      </w:rPr>
      <w:t xml:space="preserve">                         </w:t>
    </w:r>
    <w:r>
      <w:rPr>
        <w:rFonts w:hint="eastAsia" w:ascii="宋体" w:hAnsi="宋体"/>
        <w:b/>
        <w:sz w:val="18"/>
        <w:szCs w:val="18"/>
      </w:rPr>
      <w:t xml:space="preserve">    </w:t>
    </w:r>
    <w:r>
      <w:rPr>
        <w:rFonts w:hint="eastAsia" w:ascii="宋体" w:hAnsi="宋体"/>
        <w:b/>
        <w:sz w:val="18"/>
        <w:szCs w:val="18"/>
        <w:lang w:val="en-US" w:eastAsia="zh-CN"/>
      </w:rPr>
      <w:t xml:space="preserve">  </w:t>
    </w:r>
    <w:r>
      <w:rPr>
        <w:rFonts w:hint="eastAsia" w:ascii="宋体" w:hAnsi="宋体"/>
        <w:b/>
        <w:sz w:val="18"/>
        <w:szCs w:val="18"/>
      </w:rPr>
      <w:t xml:space="preserve">    </w:t>
    </w:r>
    <w:r>
      <w:rPr>
        <w:rFonts w:hint="eastAsia" w:ascii="宋体" w:hAnsi="宋体"/>
        <w:b/>
        <w:sz w:val="18"/>
        <w:szCs w:val="18"/>
        <w:lang w:val="en-US" w:eastAsia="zh-CN"/>
      </w:rPr>
      <w:t xml:space="preserve">                   </w:t>
    </w:r>
    <w:r>
      <w:rPr>
        <w:rFonts w:hint="eastAsia" w:ascii="宋体" w:hAnsi="宋体"/>
        <w:b/>
        <w:sz w:val="18"/>
        <w:szCs w:val="18"/>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94A11">
    <w:pPr>
      <w:pBdr>
        <w:bottom w:val="thinThickSmallGap" w:color="auto" w:sz="18" w:space="1"/>
      </w:pBdr>
      <w:tabs>
        <w:tab w:val="left" w:pos="416"/>
        <w:tab w:val="right" w:pos="9206"/>
      </w:tabs>
      <w:spacing w:line="240" w:lineRule="exact"/>
      <w:ind w:right="-21" w:rightChars="-10"/>
      <w:jc w:val="left"/>
      <w:rPr>
        <w:sz w:val="20"/>
        <w:szCs w:val="22"/>
      </w:rPr>
    </w:pPr>
    <w:r>
      <w:rPr>
        <w:rFonts w:hint="eastAsia" w:ascii="宋体" w:hAnsi="宋体"/>
        <w:b/>
        <w:sz w:val="18"/>
        <w:szCs w:val="18"/>
        <w:lang w:eastAsia="zh-CN"/>
      </w:rPr>
      <w:t>旬邑县土桥镇地质灾害风险调查评价项目</w:t>
    </w:r>
    <w:r>
      <w:rPr>
        <w:rFonts w:hint="eastAsia" w:ascii="宋体" w:hAnsi="宋体"/>
        <w:b/>
        <w:sz w:val="18"/>
        <w:szCs w:val="18"/>
        <w:lang w:val="en-US" w:eastAsia="zh-CN"/>
      </w:rPr>
      <w:t xml:space="preserve">                                          </w:t>
    </w:r>
    <w:r>
      <w:rPr>
        <w:rFonts w:hint="eastAsia" w:ascii="宋体" w:hAnsi="宋体"/>
        <w:b/>
        <w:sz w:val="18"/>
        <w:szCs w:val="18"/>
      </w:rPr>
      <w:t>竞争性磋商文件</w:t>
    </w:r>
    <w:r>
      <w:rPr>
        <w:rFonts w:hint="eastAsia" w:ascii="宋体" w:hAnsi="宋体"/>
        <w:b/>
        <w:sz w:val="20"/>
        <w:szCs w:val="20"/>
        <w:lang w:val="en-US" w:eastAsia="zh-CN"/>
      </w:rPr>
      <w:t xml:space="preserve">                   </w:t>
    </w:r>
    <w:r>
      <w:rPr>
        <w:rFonts w:hint="eastAsia" w:ascii="宋体" w:hAnsi="宋体"/>
        <w:b/>
        <w:sz w:val="20"/>
        <w:szCs w:val="20"/>
      </w:rPr>
      <w:t xml:space="preserve">       </w:t>
    </w:r>
    <w:r>
      <w:rPr>
        <w:rFonts w:hint="eastAsia" w:ascii="宋体" w:hAnsi="宋体"/>
        <w:b/>
        <w:sz w:val="20"/>
        <w:szCs w:val="20"/>
        <w:lang w:val="en-US" w:eastAsia="zh-CN"/>
      </w:rPr>
      <w:t xml:space="preserve">      </w:t>
    </w:r>
    <w:r>
      <w:rPr>
        <w:rFonts w:hint="eastAsia" w:ascii="宋体" w:hAnsi="宋体"/>
        <w:b/>
        <w:sz w:val="20"/>
        <w:szCs w:val="20"/>
      </w:rPr>
      <w:t xml:space="preserve">  </w:t>
    </w:r>
    <w:r>
      <w:rPr>
        <w:rFonts w:hint="eastAsia" w:ascii="宋体" w:hAnsi="宋体"/>
        <w:b/>
        <w:sz w:val="20"/>
        <w:szCs w:val="20"/>
        <w:lang w:val="en-US" w:eastAsia="zh-CN"/>
      </w:rPr>
      <w:t xml:space="preserve">     </w:t>
    </w:r>
    <w:r>
      <w:rPr>
        <w:rFonts w:hint="eastAsia" w:ascii="宋体" w:hAnsi="宋体"/>
        <w:b/>
        <w:sz w:val="20"/>
        <w:szCs w:val="20"/>
      </w:rPr>
      <w:t xml:space="preserve"> </w:t>
    </w:r>
    <w:r>
      <w:rPr>
        <w:rFonts w:hint="eastAsia" w:ascii="宋体" w:hAnsi="宋体"/>
        <w:b/>
        <w:sz w:val="20"/>
        <w:szCs w:val="20"/>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3E083">
    <w:pPr>
      <w:pStyle w:val="14"/>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F49C9">
    <w:pPr>
      <w:pBdr>
        <w:bottom w:val="thinThickSmallGap" w:color="auto" w:sz="18" w:space="1"/>
      </w:pBdr>
      <w:tabs>
        <w:tab w:val="left" w:pos="416"/>
        <w:tab w:val="right" w:pos="9206"/>
      </w:tabs>
      <w:spacing w:line="240" w:lineRule="exact"/>
      <w:ind w:right="-21" w:rightChars="-10"/>
      <w:jc w:val="left"/>
      <w:rPr>
        <w:sz w:val="18"/>
        <w:szCs w:val="18"/>
      </w:rPr>
    </w:pPr>
    <w:r>
      <w:rPr>
        <w:rFonts w:hint="eastAsia" w:ascii="宋体" w:hAnsi="宋体"/>
        <w:b/>
        <w:sz w:val="18"/>
        <w:szCs w:val="18"/>
        <w:lang w:eastAsia="zh-CN"/>
      </w:rPr>
      <w:t>旬邑县土桥镇地质灾害风险调查评价项目</w:t>
    </w:r>
    <w:r>
      <w:rPr>
        <w:rFonts w:hint="eastAsia" w:ascii="宋体" w:hAnsi="宋体"/>
        <w:b/>
        <w:sz w:val="18"/>
        <w:szCs w:val="18"/>
      </w:rPr>
      <w:t xml:space="preserve">    </w:t>
    </w:r>
    <w:r>
      <w:rPr>
        <w:rFonts w:hint="eastAsia" w:ascii="宋体" w:hAnsi="宋体"/>
        <w:b/>
        <w:sz w:val="18"/>
        <w:szCs w:val="18"/>
        <w:lang w:val="en-US" w:eastAsia="zh-CN"/>
      </w:rPr>
      <w:t xml:space="preserve">                                   </w:t>
    </w:r>
    <w:r>
      <w:rPr>
        <w:rFonts w:hint="eastAsia" w:ascii="宋体" w:hAnsi="宋体"/>
        <w:b/>
        <w:sz w:val="18"/>
        <w:szCs w:val="18"/>
      </w:rPr>
      <w:t xml:space="preserve">竞争性磋商文件      </w:t>
    </w:r>
    <w:r>
      <w:rPr>
        <w:rFonts w:hint="eastAsia" w:ascii="宋体" w:hAnsi="宋体"/>
        <w:b/>
        <w:sz w:val="18"/>
        <w:szCs w:val="18"/>
        <w:lang w:val="en-US" w:eastAsia="zh-CN"/>
      </w:rPr>
      <w:t xml:space="preserve">                         </w:t>
    </w:r>
    <w:r>
      <w:rPr>
        <w:rFonts w:hint="eastAsia" w:ascii="宋体" w:hAnsi="宋体"/>
        <w:b/>
        <w:sz w:val="18"/>
        <w:szCs w:val="18"/>
      </w:rPr>
      <w:t xml:space="preserve">    </w:t>
    </w:r>
    <w:r>
      <w:rPr>
        <w:rFonts w:hint="eastAsia" w:ascii="宋体" w:hAnsi="宋体"/>
        <w:b/>
        <w:sz w:val="18"/>
        <w:szCs w:val="18"/>
        <w:lang w:val="en-US" w:eastAsia="zh-CN"/>
      </w:rPr>
      <w:t xml:space="preserve">  </w:t>
    </w:r>
    <w:r>
      <w:rPr>
        <w:rFonts w:hint="eastAsia" w:ascii="宋体" w:hAnsi="宋体"/>
        <w:b/>
        <w:sz w:val="18"/>
        <w:szCs w:val="18"/>
      </w:rPr>
      <w:t xml:space="preserve">    </w:t>
    </w:r>
    <w:r>
      <w:rPr>
        <w:rFonts w:hint="eastAsia" w:ascii="宋体" w:hAnsi="宋体"/>
        <w:b/>
        <w:sz w:val="18"/>
        <w:szCs w:val="18"/>
        <w:lang w:val="en-US" w:eastAsia="zh-CN"/>
      </w:rPr>
      <w:t xml:space="preserve">                   </w:t>
    </w:r>
    <w:r>
      <w:rPr>
        <w:rFonts w:hint="eastAsia" w:ascii="宋体" w:hAnsi="宋体"/>
        <w:b/>
        <w:sz w:val="18"/>
        <w:szCs w:val="18"/>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83EDF">
    <w:pPr>
      <w:pStyle w:val="14"/>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A188B">
    <w:pPr>
      <w:pBdr>
        <w:bottom w:val="thinThickSmallGap" w:color="auto" w:sz="18" w:space="1"/>
      </w:pBdr>
      <w:tabs>
        <w:tab w:val="left" w:pos="416"/>
        <w:tab w:val="right" w:pos="9206"/>
      </w:tabs>
      <w:spacing w:line="240" w:lineRule="exact"/>
      <w:ind w:right="-21" w:rightChars="-10"/>
      <w:jc w:val="left"/>
      <w:rPr>
        <w:sz w:val="18"/>
        <w:szCs w:val="18"/>
      </w:rPr>
    </w:pPr>
    <w:r>
      <w:rPr>
        <w:rFonts w:hint="eastAsia" w:ascii="宋体" w:hAnsi="宋体"/>
        <w:b/>
        <w:sz w:val="18"/>
        <w:szCs w:val="18"/>
        <w:lang w:eastAsia="zh-CN"/>
      </w:rPr>
      <w:t>旬邑县土桥镇地质灾害风险调查评价项目</w:t>
    </w:r>
    <w:r>
      <w:rPr>
        <w:rFonts w:hint="eastAsia" w:ascii="宋体" w:hAnsi="宋体"/>
        <w:b/>
        <w:sz w:val="18"/>
        <w:szCs w:val="18"/>
      </w:rPr>
      <w:t xml:space="preserve">    </w:t>
    </w:r>
    <w:r>
      <w:rPr>
        <w:rFonts w:hint="eastAsia" w:ascii="宋体" w:hAnsi="宋体"/>
        <w:b/>
        <w:sz w:val="18"/>
        <w:szCs w:val="18"/>
        <w:lang w:val="en-US" w:eastAsia="zh-CN"/>
      </w:rPr>
      <w:t xml:space="preserve">                                     </w:t>
    </w:r>
    <w:r>
      <w:rPr>
        <w:rFonts w:hint="eastAsia" w:ascii="宋体" w:hAnsi="宋体"/>
        <w:b/>
        <w:sz w:val="18"/>
        <w:szCs w:val="18"/>
      </w:rPr>
      <w:t>竞争性磋商文件</w:t>
    </w:r>
    <w:r>
      <w:rPr>
        <w:rFonts w:hint="eastAsia" w:ascii="宋体" w:hAnsi="宋体"/>
        <w:b/>
        <w:sz w:val="18"/>
        <w:szCs w:val="18"/>
        <w:lang w:val="en-US" w:eastAsia="zh-CN"/>
      </w:rPr>
      <w:t xml:space="preserve">                                              </w:t>
    </w:r>
    <w:r>
      <w:rPr>
        <w:rFonts w:hint="eastAsia" w:ascii="宋体" w:hAnsi="宋体"/>
        <w:b/>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33B5D"/>
    <w:multiLevelType w:val="singleLevel"/>
    <w:tmpl w:val="87D33B5D"/>
    <w:lvl w:ilvl="0" w:tentative="0">
      <w:start w:val="1"/>
      <w:numFmt w:val="decimal"/>
      <w:suff w:val="nothing"/>
      <w:lvlText w:val="（%1）"/>
      <w:lvlJc w:val="left"/>
    </w:lvl>
  </w:abstractNum>
  <w:abstractNum w:abstractNumId="1">
    <w:nsid w:val="8ABBED5F"/>
    <w:multiLevelType w:val="singleLevel"/>
    <w:tmpl w:val="8ABBED5F"/>
    <w:lvl w:ilvl="0" w:tentative="0">
      <w:start w:val="1"/>
      <w:numFmt w:val="decimal"/>
      <w:suff w:val="nothing"/>
      <w:lvlText w:val="%1、"/>
      <w:lvlJc w:val="left"/>
    </w:lvl>
  </w:abstractNum>
  <w:abstractNum w:abstractNumId="2">
    <w:nsid w:val="DB177483"/>
    <w:multiLevelType w:val="singleLevel"/>
    <w:tmpl w:val="DB177483"/>
    <w:lvl w:ilvl="0" w:tentative="0">
      <w:start w:val="6"/>
      <w:numFmt w:val="decimal"/>
      <w:suff w:val="nothing"/>
      <w:lvlText w:val="%1、"/>
      <w:lvlJc w:val="left"/>
    </w:lvl>
  </w:abstractNum>
  <w:abstractNum w:abstractNumId="3">
    <w:nsid w:val="1E090170"/>
    <w:multiLevelType w:val="multilevel"/>
    <w:tmpl w:val="1E090170"/>
    <w:lvl w:ilvl="0" w:tentative="0">
      <w:start w:val="1"/>
      <w:numFmt w:val="chineseCountingThousand"/>
      <w:suff w:val="space"/>
      <w:lvlText w:val="第%1章"/>
      <w:lvlJc w:val="left"/>
      <w:pPr>
        <w:ind w:left="432" w:hanging="432"/>
      </w:pPr>
      <w:rPr>
        <w:rFonts w:hint="eastAsia"/>
      </w:rPr>
    </w:lvl>
    <w:lvl w:ilvl="1" w:tentative="0">
      <w:start w:val="1"/>
      <w:numFmt w:val="decimal"/>
      <w:suff w:val="space"/>
      <w:lvlText w:val="%2"/>
      <w:lvlJc w:val="left"/>
      <w:pPr>
        <w:ind w:left="576" w:hanging="576"/>
      </w:pPr>
      <w:rPr>
        <w:rFonts w:hint="eastAsia"/>
      </w:rPr>
    </w:lvl>
    <w:lvl w:ilvl="2" w:tentative="0">
      <w:start w:val="1"/>
      <w:numFmt w:val="decimal"/>
      <w:pStyle w:val="36"/>
      <w:suff w:val="space"/>
      <w:lvlText w:val="%2.%3"/>
      <w:lvlJc w:val="left"/>
      <w:pPr>
        <w:ind w:left="720" w:hanging="720"/>
      </w:pPr>
      <w:rPr>
        <w:rFonts w:hint="eastAsia"/>
      </w:rPr>
    </w:lvl>
    <w:lvl w:ilvl="3" w:tentative="0">
      <w:start w:val="1"/>
      <w:numFmt w:val="decimal"/>
      <w:suff w:val="space"/>
      <w:lvlText w:val="%2.%3.%4"/>
      <w:lvlJc w:val="left"/>
      <w:pPr>
        <w:ind w:left="864" w:hanging="864"/>
      </w:pPr>
      <w:rPr>
        <w:rFonts w:hint="eastAsia"/>
      </w:rPr>
    </w:lvl>
    <w:lvl w:ilvl="4" w:tentative="0">
      <w:start w:val="1"/>
      <w:numFmt w:val="decimal"/>
      <w:suff w:val="space"/>
      <w:lvlText w:val="%2.%3.%4.%5"/>
      <w:lvlJc w:val="left"/>
      <w:pPr>
        <w:ind w:left="1008" w:hanging="1008"/>
      </w:pPr>
      <w:rPr>
        <w:rFonts w:hint="eastAsia"/>
      </w:rPr>
    </w:lvl>
    <w:lvl w:ilvl="5" w:tentative="0">
      <w:start w:val="1"/>
      <w:numFmt w:val="decimal"/>
      <w:suff w:val="space"/>
      <w:lvlText w:val="%2.%3.%4.%5.%6"/>
      <w:lvlJc w:val="left"/>
      <w:pPr>
        <w:ind w:left="1152" w:hanging="1152"/>
      </w:pPr>
      <w:rPr>
        <w:rFonts w:hint="eastAsia"/>
      </w:rPr>
    </w:lvl>
    <w:lvl w:ilvl="6" w:tentative="0">
      <w:start w:val="1"/>
      <w:numFmt w:val="decimal"/>
      <w:suff w:val="space"/>
      <w:lvlText w:val="%2.%3.%4.%5.%6.%7"/>
      <w:lvlJc w:val="left"/>
      <w:pPr>
        <w:ind w:left="1296" w:hanging="1296"/>
      </w:pPr>
      <w:rPr>
        <w:rFonts w:hint="eastAsia"/>
      </w:rPr>
    </w:lvl>
    <w:lvl w:ilvl="7" w:tentative="0">
      <w:start w:val="1"/>
      <w:numFmt w:val="decimal"/>
      <w:suff w:val="space"/>
      <w:lvlText w:val="%2.%3.%4.%5.%6.%7.%8"/>
      <w:lvlJc w:val="left"/>
      <w:pPr>
        <w:ind w:left="1440" w:hanging="1440"/>
      </w:pPr>
      <w:rPr>
        <w:rFonts w:hint="eastAsia"/>
      </w:rPr>
    </w:lvl>
    <w:lvl w:ilvl="8" w:tentative="0">
      <w:start w:val="1"/>
      <w:numFmt w:val="decimal"/>
      <w:suff w:val="space"/>
      <w:lvlText w:val="%2.%3.%4.%5.%6.%7.%8.%9"/>
      <w:lvlJc w:val="left"/>
      <w:pPr>
        <w:ind w:left="1584" w:hanging="1584"/>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UwZmFlMGFiZTQ5YjE3MDM3NDM4YTc0NWM1M2EwYWQifQ=="/>
  </w:docVars>
  <w:rsids>
    <w:rsidRoot w:val="59744013"/>
    <w:rsid w:val="00146501"/>
    <w:rsid w:val="001525B6"/>
    <w:rsid w:val="00231B5B"/>
    <w:rsid w:val="002630BB"/>
    <w:rsid w:val="002C06A4"/>
    <w:rsid w:val="00477231"/>
    <w:rsid w:val="00651537"/>
    <w:rsid w:val="008201C6"/>
    <w:rsid w:val="008C5F60"/>
    <w:rsid w:val="00A3429A"/>
    <w:rsid w:val="014021FF"/>
    <w:rsid w:val="017B7267"/>
    <w:rsid w:val="017D5CD0"/>
    <w:rsid w:val="01D5675C"/>
    <w:rsid w:val="01D73EA1"/>
    <w:rsid w:val="02497534"/>
    <w:rsid w:val="02DC59B0"/>
    <w:rsid w:val="02EA6AA5"/>
    <w:rsid w:val="02FC6355"/>
    <w:rsid w:val="03103BAE"/>
    <w:rsid w:val="03177DA2"/>
    <w:rsid w:val="0330198E"/>
    <w:rsid w:val="033B78B3"/>
    <w:rsid w:val="0386200F"/>
    <w:rsid w:val="03B66504"/>
    <w:rsid w:val="03F62E1B"/>
    <w:rsid w:val="04162569"/>
    <w:rsid w:val="043C6354"/>
    <w:rsid w:val="04467BEA"/>
    <w:rsid w:val="04477AA3"/>
    <w:rsid w:val="04666CAC"/>
    <w:rsid w:val="046B692F"/>
    <w:rsid w:val="04792C91"/>
    <w:rsid w:val="04BD38C2"/>
    <w:rsid w:val="053B274F"/>
    <w:rsid w:val="054E0D55"/>
    <w:rsid w:val="059C373C"/>
    <w:rsid w:val="05A87DB0"/>
    <w:rsid w:val="05DE61E6"/>
    <w:rsid w:val="05EE314E"/>
    <w:rsid w:val="060E66C3"/>
    <w:rsid w:val="066940D3"/>
    <w:rsid w:val="068D7050"/>
    <w:rsid w:val="06B0103D"/>
    <w:rsid w:val="06E33EC7"/>
    <w:rsid w:val="0708351A"/>
    <w:rsid w:val="07375BAD"/>
    <w:rsid w:val="074C2CB3"/>
    <w:rsid w:val="075B72E6"/>
    <w:rsid w:val="075C69CC"/>
    <w:rsid w:val="076562D9"/>
    <w:rsid w:val="07F615C4"/>
    <w:rsid w:val="083976FA"/>
    <w:rsid w:val="084560A8"/>
    <w:rsid w:val="08664D49"/>
    <w:rsid w:val="08904039"/>
    <w:rsid w:val="08AA13B1"/>
    <w:rsid w:val="09135DCA"/>
    <w:rsid w:val="09710286"/>
    <w:rsid w:val="098450EC"/>
    <w:rsid w:val="09BC63DC"/>
    <w:rsid w:val="09CA2D09"/>
    <w:rsid w:val="09E04B47"/>
    <w:rsid w:val="0A314FFA"/>
    <w:rsid w:val="0A48220A"/>
    <w:rsid w:val="0A4B7BC1"/>
    <w:rsid w:val="0A735578"/>
    <w:rsid w:val="0A88591C"/>
    <w:rsid w:val="0B631455"/>
    <w:rsid w:val="0B8429AC"/>
    <w:rsid w:val="0B8670FE"/>
    <w:rsid w:val="0BCA1543"/>
    <w:rsid w:val="0BEC538A"/>
    <w:rsid w:val="0C421CC7"/>
    <w:rsid w:val="0C7E4044"/>
    <w:rsid w:val="0C7E718C"/>
    <w:rsid w:val="0CD07C62"/>
    <w:rsid w:val="0CE916F8"/>
    <w:rsid w:val="0D336D28"/>
    <w:rsid w:val="0D35123B"/>
    <w:rsid w:val="0D4866A7"/>
    <w:rsid w:val="0DB17D41"/>
    <w:rsid w:val="0DB463D8"/>
    <w:rsid w:val="0DD17656"/>
    <w:rsid w:val="0E576B35"/>
    <w:rsid w:val="0E7134B6"/>
    <w:rsid w:val="0E774998"/>
    <w:rsid w:val="0E8A2ED7"/>
    <w:rsid w:val="0EC25296"/>
    <w:rsid w:val="0ED76ECF"/>
    <w:rsid w:val="0EF065D2"/>
    <w:rsid w:val="0F2A2DC5"/>
    <w:rsid w:val="0F567752"/>
    <w:rsid w:val="0F7923CE"/>
    <w:rsid w:val="0F884D12"/>
    <w:rsid w:val="0F8E2A2A"/>
    <w:rsid w:val="0FA7267C"/>
    <w:rsid w:val="10084662"/>
    <w:rsid w:val="102D3FF1"/>
    <w:rsid w:val="10305685"/>
    <w:rsid w:val="10381817"/>
    <w:rsid w:val="108F1ABB"/>
    <w:rsid w:val="10D44D47"/>
    <w:rsid w:val="112065DF"/>
    <w:rsid w:val="112E76DF"/>
    <w:rsid w:val="11852469"/>
    <w:rsid w:val="11FA5F6E"/>
    <w:rsid w:val="122E4051"/>
    <w:rsid w:val="12A932D0"/>
    <w:rsid w:val="12B07E32"/>
    <w:rsid w:val="12C228C9"/>
    <w:rsid w:val="12EC00D1"/>
    <w:rsid w:val="13143C4F"/>
    <w:rsid w:val="13250FB0"/>
    <w:rsid w:val="133665D9"/>
    <w:rsid w:val="13426006"/>
    <w:rsid w:val="137D5290"/>
    <w:rsid w:val="13A7230D"/>
    <w:rsid w:val="13D03611"/>
    <w:rsid w:val="13DE7F44"/>
    <w:rsid w:val="1424395D"/>
    <w:rsid w:val="14432035"/>
    <w:rsid w:val="14624D7D"/>
    <w:rsid w:val="148701AF"/>
    <w:rsid w:val="149E2401"/>
    <w:rsid w:val="14D54096"/>
    <w:rsid w:val="15287943"/>
    <w:rsid w:val="1538749C"/>
    <w:rsid w:val="15464809"/>
    <w:rsid w:val="15584F70"/>
    <w:rsid w:val="15A35944"/>
    <w:rsid w:val="15CE1DD3"/>
    <w:rsid w:val="15DB0A63"/>
    <w:rsid w:val="163A6938"/>
    <w:rsid w:val="163A7623"/>
    <w:rsid w:val="16775651"/>
    <w:rsid w:val="16D552BE"/>
    <w:rsid w:val="173200A9"/>
    <w:rsid w:val="175979F0"/>
    <w:rsid w:val="176D7290"/>
    <w:rsid w:val="17D35D21"/>
    <w:rsid w:val="17F62AFB"/>
    <w:rsid w:val="18372678"/>
    <w:rsid w:val="183C16C8"/>
    <w:rsid w:val="18664D1B"/>
    <w:rsid w:val="18A85016"/>
    <w:rsid w:val="18E17A47"/>
    <w:rsid w:val="192012CB"/>
    <w:rsid w:val="194A6D83"/>
    <w:rsid w:val="194F78B9"/>
    <w:rsid w:val="1996237E"/>
    <w:rsid w:val="19DB4ABE"/>
    <w:rsid w:val="1A17528D"/>
    <w:rsid w:val="1A1E4790"/>
    <w:rsid w:val="1A206945"/>
    <w:rsid w:val="1A385A31"/>
    <w:rsid w:val="1A5A0A36"/>
    <w:rsid w:val="1A717BD4"/>
    <w:rsid w:val="1A7E2B15"/>
    <w:rsid w:val="1A9058A9"/>
    <w:rsid w:val="1A954ECE"/>
    <w:rsid w:val="1B2F116A"/>
    <w:rsid w:val="1B4D379A"/>
    <w:rsid w:val="1B7E0DBC"/>
    <w:rsid w:val="1B8A62D5"/>
    <w:rsid w:val="1B9E0192"/>
    <w:rsid w:val="1BA92FE3"/>
    <w:rsid w:val="1BB6133F"/>
    <w:rsid w:val="1BB838E6"/>
    <w:rsid w:val="1BF12CCA"/>
    <w:rsid w:val="1C0E2269"/>
    <w:rsid w:val="1C2E550C"/>
    <w:rsid w:val="1C493CE1"/>
    <w:rsid w:val="1CFE1B57"/>
    <w:rsid w:val="1D041120"/>
    <w:rsid w:val="1D270A2C"/>
    <w:rsid w:val="1D93080B"/>
    <w:rsid w:val="1D9409BC"/>
    <w:rsid w:val="1DAE0F94"/>
    <w:rsid w:val="1DAF59D9"/>
    <w:rsid w:val="1DB26E61"/>
    <w:rsid w:val="1DE957BD"/>
    <w:rsid w:val="1E423F1D"/>
    <w:rsid w:val="1E4737D4"/>
    <w:rsid w:val="1E481C5F"/>
    <w:rsid w:val="1E6935FB"/>
    <w:rsid w:val="1E976E10"/>
    <w:rsid w:val="1EC73863"/>
    <w:rsid w:val="1EFB31FF"/>
    <w:rsid w:val="1F126007"/>
    <w:rsid w:val="1F2F398C"/>
    <w:rsid w:val="1F3E08D9"/>
    <w:rsid w:val="1FA6252F"/>
    <w:rsid w:val="1FA842CA"/>
    <w:rsid w:val="1FA96EE8"/>
    <w:rsid w:val="1FC826D4"/>
    <w:rsid w:val="1FE43C10"/>
    <w:rsid w:val="20085831"/>
    <w:rsid w:val="20431D07"/>
    <w:rsid w:val="204436B2"/>
    <w:rsid w:val="20454830"/>
    <w:rsid w:val="207258E4"/>
    <w:rsid w:val="208C3627"/>
    <w:rsid w:val="20970180"/>
    <w:rsid w:val="20AA343C"/>
    <w:rsid w:val="20C37250"/>
    <w:rsid w:val="20E03FD2"/>
    <w:rsid w:val="20EA6D8B"/>
    <w:rsid w:val="20F95342"/>
    <w:rsid w:val="21384E1D"/>
    <w:rsid w:val="214221A0"/>
    <w:rsid w:val="21456BB1"/>
    <w:rsid w:val="21580061"/>
    <w:rsid w:val="21831372"/>
    <w:rsid w:val="218D548A"/>
    <w:rsid w:val="21B05C47"/>
    <w:rsid w:val="21BE528F"/>
    <w:rsid w:val="223B79A3"/>
    <w:rsid w:val="225D3BF3"/>
    <w:rsid w:val="226809CE"/>
    <w:rsid w:val="22745AB0"/>
    <w:rsid w:val="22833F45"/>
    <w:rsid w:val="22A82DEA"/>
    <w:rsid w:val="22E6641E"/>
    <w:rsid w:val="22F06E95"/>
    <w:rsid w:val="233B63E4"/>
    <w:rsid w:val="235C0B63"/>
    <w:rsid w:val="23690EFA"/>
    <w:rsid w:val="237C10C0"/>
    <w:rsid w:val="23BB5E80"/>
    <w:rsid w:val="23D06D16"/>
    <w:rsid w:val="23D50208"/>
    <w:rsid w:val="23F34320"/>
    <w:rsid w:val="241C412E"/>
    <w:rsid w:val="24466890"/>
    <w:rsid w:val="249C6AA1"/>
    <w:rsid w:val="24C1577E"/>
    <w:rsid w:val="24C30629"/>
    <w:rsid w:val="24C51676"/>
    <w:rsid w:val="251B46F5"/>
    <w:rsid w:val="2536630A"/>
    <w:rsid w:val="25840839"/>
    <w:rsid w:val="25C302F7"/>
    <w:rsid w:val="25F97C66"/>
    <w:rsid w:val="26063C58"/>
    <w:rsid w:val="2671601B"/>
    <w:rsid w:val="26824C7A"/>
    <w:rsid w:val="26E55BCF"/>
    <w:rsid w:val="26FE3B9A"/>
    <w:rsid w:val="2726292C"/>
    <w:rsid w:val="27AB3411"/>
    <w:rsid w:val="27BA6BDA"/>
    <w:rsid w:val="27BC7FFB"/>
    <w:rsid w:val="27BF7F28"/>
    <w:rsid w:val="27CB4511"/>
    <w:rsid w:val="27F76F67"/>
    <w:rsid w:val="283331D5"/>
    <w:rsid w:val="2835234F"/>
    <w:rsid w:val="284C6509"/>
    <w:rsid w:val="286921C0"/>
    <w:rsid w:val="28940C5A"/>
    <w:rsid w:val="28BB69F6"/>
    <w:rsid w:val="28CF57EE"/>
    <w:rsid w:val="28DA3C87"/>
    <w:rsid w:val="29333523"/>
    <w:rsid w:val="294E49AE"/>
    <w:rsid w:val="29955671"/>
    <w:rsid w:val="29D816BE"/>
    <w:rsid w:val="29D945FA"/>
    <w:rsid w:val="29ED5B0B"/>
    <w:rsid w:val="29EF1FF7"/>
    <w:rsid w:val="2A223F7D"/>
    <w:rsid w:val="2A737539"/>
    <w:rsid w:val="2A9078E4"/>
    <w:rsid w:val="2AA81916"/>
    <w:rsid w:val="2AB71773"/>
    <w:rsid w:val="2AC92519"/>
    <w:rsid w:val="2AF47FC3"/>
    <w:rsid w:val="2B262BFA"/>
    <w:rsid w:val="2B593A95"/>
    <w:rsid w:val="2B873B84"/>
    <w:rsid w:val="2B895AF7"/>
    <w:rsid w:val="2BFE65F4"/>
    <w:rsid w:val="2C2F1DC9"/>
    <w:rsid w:val="2C45259D"/>
    <w:rsid w:val="2C7B08E4"/>
    <w:rsid w:val="2C9F701A"/>
    <w:rsid w:val="2CA13945"/>
    <w:rsid w:val="2CF772CF"/>
    <w:rsid w:val="2D133D7F"/>
    <w:rsid w:val="2D297862"/>
    <w:rsid w:val="2D512810"/>
    <w:rsid w:val="2D8F2BC2"/>
    <w:rsid w:val="2DDC10C5"/>
    <w:rsid w:val="2E1804EC"/>
    <w:rsid w:val="2EBE3D34"/>
    <w:rsid w:val="2F096E91"/>
    <w:rsid w:val="2F3F7252"/>
    <w:rsid w:val="2F6C1E88"/>
    <w:rsid w:val="2FB40A42"/>
    <w:rsid w:val="2FBC2096"/>
    <w:rsid w:val="2FC73280"/>
    <w:rsid w:val="30155E33"/>
    <w:rsid w:val="30185CCC"/>
    <w:rsid w:val="301B6385"/>
    <w:rsid w:val="30311084"/>
    <w:rsid w:val="30C85944"/>
    <w:rsid w:val="30C909D7"/>
    <w:rsid w:val="30FE2EAC"/>
    <w:rsid w:val="312B2CC1"/>
    <w:rsid w:val="314B0324"/>
    <w:rsid w:val="31742F20"/>
    <w:rsid w:val="31D16A7B"/>
    <w:rsid w:val="32195370"/>
    <w:rsid w:val="32263868"/>
    <w:rsid w:val="323109D1"/>
    <w:rsid w:val="3257640C"/>
    <w:rsid w:val="32655415"/>
    <w:rsid w:val="32697930"/>
    <w:rsid w:val="3287538B"/>
    <w:rsid w:val="329A267C"/>
    <w:rsid w:val="32A25C21"/>
    <w:rsid w:val="3304377F"/>
    <w:rsid w:val="330A5F0A"/>
    <w:rsid w:val="33ED2E70"/>
    <w:rsid w:val="33F173AF"/>
    <w:rsid w:val="34283B7B"/>
    <w:rsid w:val="34323F9A"/>
    <w:rsid w:val="348B4C3D"/>
    <w:rsid w:val="34A615B5"/>
    <w:rsid w:val="34B23C40"/>
    <w:rsid w:val="34B876A1"/>
    <w:rsid w:val="34E54B18"/>
    <w:rsid w:val="34E96107"/>
    <w:rsid w:val="35123632"/>
    <w:rsid w:val="352910ED"/>
    <w:rsid w:val="3538471B"/>
    <w:rsid w:val="36054F45"/>
    <w:rsid w:val="362E4652"/>
    <w:rsid w:val="36323F79"/>
    <w:rsid w:val="365544BB"/>
    <w:rsid w:val="366E1745"/>
    <w:rsid w:val="367C4B66"/>
    <w:rsid w:val="36832CEE"/>
    <w:rsid w:val="36B233B3"/>
    <w:rsid w:val="36B60D3C"/>
    <w:rsid w:val="36C0038C"/>
    <w:rsid w:val="371168B4"/>
    <w:rsid w:val="3729246B"/>
    <w:rsid w:val="37362F54"/>
    <w:rsid w:val="3767221E"/>
    <w:rsid w:val="376F0C8B"/>
    <w:rsid w:val="378C4CAC"/>
    <w:rsid w:val="383425AF"/>
    <w:rsid w:val="38444A32"/>
    <w:rsid w:val="38517C12"/>
    <w:rsid w:val="386B5112"/>
    <w:rsid w:val="388A20A7"/>
    <w:rsid w:val="389918B8"/>
    <w:rsid w:val="38A320EF"/>
    <w:rsid w:val="38D13246"/>
    <w:rsid w:val="38E64544"/>
    <w:rsid w:val="392E5A3C"/>
    <w:rsid w:val="395E69D4"/>
    <w:rsid w:val="39813B1B"/>
    <w:rsid w:val="399E71E0"/>
    <w:rsid w:val="39A81897"/>
    <w:rsid w:val="3A290FC4"/>
    <w:rsid w:val="3A664FA0"/>
    <w:rsid w:val="3A7D6C2A"/>
    <w:rsid w:val="3AA77902"/>
    <w:rsid w:val="3AB818D1"/>
    <w:rsid w:val="3ABB0191"/>
    <w:rsid w:val="3B4C1E76"/>
    <w:rsid w:val="3B575514"/>
    <w:rsid w:val="3B5BA077"/>
    <w:rsid w:val="3B66708D"/>
    <w:rsid w:val="3B6C63D8"/>
    <w:rsid w:val="3B783AC3"/>
    <w:rsid w:val="3BC62A80"/>
    <w:rsid w:val="3BD916CB"/>
    <w:rsid w:val="3C48097A"/>
    <w:rsid w:val="3C6A0477"/>
    <w:rsid w:val="3C796AD8"/>
    <w:rsid w:val="3C9865EC"/>
    <w:rsid w:val="3C99126A"/>
    <w:rsid w:val="3CEF2EE3"/>
    <w:rsid w:val="3D121CF5"/>
    <w:rsid w:val="3D272932"/>
    <w:rsid w:val="3D3664DD"/>
    <w:rsid w:val="3D3812E9"/>
    <w:rsid w:val="3DA00EAE"/>
    <w:rsid w:val="3DAC7926"/>
    <w:rsid w:val="3DD34016"/>
    <w:rsid w:val="3DFA7484"/>
    <w:rsid w:val="3E215A7B"/>
    <w:rsid w:val="3E391E19"/>
    <w:rsid w:val="3E49179F"/>
    <w:rsid w:val="3E565D4A"/>
    <w:rsid w:val="3E7B5E43"/>
    <w:rsid w:val="3F55678C"/>
    <w:rsid w:val="3F6D5DD8"/>
    <w:rsid w:val="3F780536"/>
    <w:rsid w:val="3FD6525C"/>
    <w:rsid w:val="3FE50536"/>
    <w:rsid w:val="40420B44"/>
    <w:rsid w:val="404A2EC7"/>
    <w:rsid w:val="404D769D"/>
    <w:rsid w:val="40786313"/>
    <w:rsid w:val="40B44DD5"/>
    <w:rsid w:val="40C67CA9"/>
    <w:rsid w:val="413F4150"/>
    <w:rsid w:val="4163432F"/>
    <w:rsid w:val="41AB2F2C"/>
    <w:rsid w:val="41B31F77"/>
    <w:rsid w:val="41BB6175"/>
    <w:rsid w:val="41D207F7"/>
    <w:rsid w:val="41F54E7E"/>
    <w:rsid w:val="42196050"/>
    <w:rsid w:val="42283963"/>
    <w:rsid w:val="427E550A"/>
    <w:rsid w:val="428E37C9"/>
    <w:rsid w:val="42972733"/>
    <w:rsid w:val="42C51E7E"/>
    <w:rsid w:val="430420E0"/>
    <w:rsid w:val="430C7FC3"/>
    <w:rsid w:val="436A288B"/>
    <w:rsid w:val="43DC18FE"/>
    <w:rsid w:val="43F93057"/>
    <w:rsid w:val="43FA76C0"/>
    <w:rsid w:val="4419566F"/>
    <w:rsid w:val="443D58E0"/>
    <w:rsid w:val="445552E9"/>
    <w:rsid w:val="44E71584"/>
    <w:rsid w:val="45476BA1"/>
    <w:rsid w:val="45505AB1"/>
    <w:rsid w:val="4581787C"/>
    <w:rsid w:val="45A21B82"/>
    <w:rsid w:val="45EA7A35"/>
    <w:rsid w:val="45EB38B1"/>
    <w:rsid w:val="45F2762F"/>
    <w:rsid w:val="45F90588"/>
    <w:rsid w:val="46080C83"/>
    <w:rsid w:val="460F14C8"/>
    <w:rsid w:val="46B04C6E"/>
    <w:rsid w:val="46D57584"/>
    <w:rsid w:val="46DA1AD6"/>
    <w:rsid w:val="46FF32EA"/>
    <w:rsid w:val="470067F3"/>
    <w:rsid w:val="473A4C06"/>
    <w:rsid w:val="475F2682"/>
    <w:rsid w:val="4764285D"/>
    <w:rsid w:val="478E495D"/>
    <w:rsid w:val="47C307BC"/>
    <w:rsid w:val="484A2C8B"/>
    <w:rsid w:val="486637E6"/>
    <w:rsid w:val="48DD0799"/>
    <w:rsid w:val="49594145"/>
    <w:rsid w:val="4998569A"/>
    <w:rsid w:val="49990ADD"/>
    <w:rsid w:val="49FC6FF3"/>
    <w:rsid w:val="4A0E242A"/>
    <w:rsid w:val="4A194400"/>
    <w:rsid w:val="4A2D37E6"/>
    <w:rsid w:val="4A4D25BF"/>
    <w:rsid w:val="4A5251D9"/>
    <w:rsid w:val="4A653DAC"/>
    <w:rsid w:val="4A720527"/>
    <w:rsid w:val="4AB52051"/>
    <w:rsid w:val="4AC7092A"/>
    <w:rsid w:val="4B0A7CB9"/>
    <w:rsid w:val="4B1F1850"/>
    <w:rsid w:val="4B3D2B25"/>
    <w:rsid w:val="4B582341"/>
    <w:rsid w:val="4B693428"/>
    <w:rsid w:val="4B7234F6"/>
    <w:rsid w:val="4BDD5D96"/>
    <w:rsid w:val="4C070A98"/>
    <w:rsid w:val="4C4B60F0"/>
    <w:rsid w:val="4C59131E"/>
    <w:rsid w:val="4C702411"/>
    <w:rsid w:val="4C863FF4"/>
    <w:rsid w:val="4CA66B82"/>
    <w:rsid w:val="4CE335BA"/>
    <w:rsid w:val="4CE47E68"/>
    <w:rsid w:val="4D5D7DD5"/>
    <w:rsid w:val="4DAB24E9"/>
    <w:rsid w:val="4DEB2C5E"/>
    <w:rsid w:val="4E3A346E"/>
    <w:rsid w:val="4E840458"/>
    <w:rsid w:val="4E922A4A"/>
    <w:rsid w:val="4EDC6E53"/>
    <w:rsid w:val="4EDE0AB1"/>
    <w:rsid w:val="4F275AD4"/>
    <w:rsid w:val="4FC1444E"/>
    <w:rsid w:val="503D11B0"/>
    <w:rsid w:val="50D61560"/>
    <w:rsid w:val="50EC2A23"/>
    <w:rsid w:val="50F304CD"/>
    <w:rsid w:val="51425D58"/>
    <w:rsid w:val="51586419"/>
    <w:rsid w:val="5263643C"/>
    <w:rsid w:val="52674CEC"/>
    <w:rsid w:val="52A450E3"/>
    <w:rsid w:val="52A64F62"/>
    <w:rsid w:val="52AD50FC"/>
    <w:rsid w:val="52CC46D6"/>
    <w:rsid w:val="52E119B5"/>
    <w:rsid w:val="52FE4451"/>
    <w:rsid w:val="53837613"/>
    <w:rsid w:val="53BF64EF"/>
    <w:rsid w:val="53CF2D03"/>
    <w:rsid w:val="5408144B"/>
    <w:rsid w:val="543152B8"/>
    <w:rsid w:val="544E2479"/>
    <w:rsid w:val="554750CA"/>
    <w:rsid w:val="558E5019"/>
    <w:rsid w:val="55942E6E"/>
    <w:rsid w:val="559B573E"/>
    <w:rsid w:val="55ED1470"/>
    <w:rsid w:val="55F37482"/>
    <w:rsid w:val="560B7B26"/>
    <w:rsid w:val="56101F8B"/>
    <w:rsid w:val="5616253F"/>
    <w:rsid w:val="56222B52"/>
    <w:rsid w:val="562C577E"/>
    <w:rsid w:val="564936B4"/>
    <w:rsid w:val="56780F70"/>
    <w:rsid w:val="56CE09CA"/>
    <w:rsid w:val="56EC311E"/>
    <w:rsid w:val="56FA4CB9"/>
    <w:rsid w:val="57116FF2"/>
    <w:rsid w:val="57301521"/>
    <w:rsid w:val="573718FE"/>
    <w:rsid w:val="574B681C"/>
    <w:rsid w:val="577F30F6"/>
    <w:rsid w:val="57A12B6D"/>
    <w:rsid w:val="5853604F"/>
    <w:rsid w:val="585B7E33"/>
    <w:rsid w:val="58B6732C"/>
    <w:rsid w:val="58D5034F"/>
    <w:rsid w:val="59181005"/>
    <w:rsid w:val="59350DEE"/>
    <w:rsid w:val="59435603"/>
    <w:rsid w:val="59701AD0"/>
    <w:rsid w:val="59744013"/>
    <w:rsid w:val="59B81BCF"/>
    <w:rsid w:val="5A3612C1"/>
    <w:rsid w:val="5A376592"/>
    <w:rsid w:val="5A3A2183"/>
    <w:rsid w:val="5A47527D"/>
    <w:rsid w:val="5A75462C"/>
    <w:rsid w:val="5B505CE1"/>
    <w:rsid w:val="5B68677C"/>
    <w:rsid w:val="5B751021"/>
    <w:rsid w:val="5B9071FC"/>
    <w:rsid w:val="5BED4129"/>
    <w:rsid w:val="5C7C4C73"/>
    <w:rsid w:val="5CE64E80"/>
    <w:rsid w:val="5CE83845"/>
    <w:rsid w:val="5CF13423"/>
    <w:rsid w:val="5D3B1CEA"/>
    <w:rsid w:val="5D6965E7"/>
    <w:rsid w:val="5D721F9A"/>
    <w:rsid w:val="5D8A1B05"/>
    <w:rsid w:val="5E0314BA"/>
    <w:rsid w:val="5E1D07CE"/>
    <w:rsid w:val="5E802B0B"/>
    <w:rsid w:val="5E9A289E"/>
    <w:rsid w:val="5ED30E8D"/>
    <w:rsid w:val="5ED45D9F"/>
    <w:rsid w:val="5F291E6A"/>
    <w:rsid w:val="5F6F47EF"/>
    <w:rsid w:val="5F7B16CF"/>
    <w:rsid w:val="5FB2252C"/>
    <w:rsid w:val="5FDA0B97"/>
    <w:rsid w:val="5FFCE278"/>
    <w:rsid w:val="60077589"/>
    <w:rsid w:val="601A0A51"/>
    <w:rsid w:val="60206354"/>
    <w:rsid w:val="604A1623"/>
    <w:rsid w:val="60632B44"/>
    <w:rsid w:val="607B6FD9"/>
    <w:rsid w:val="608672F7"/>
    <w:rsid w:val="60B926A8"/>
    <w:rsid w:val="60FD4FB0"/>
    <w:rsid w:val="611759BC"/>
    <w:rsid w:val="622A675E"/>
    <w:rsid w:val="62393F5B"/>
    <w:rsid w:val="62CD6613"/>
    <w:rsid w:val="63620F5A"/>
    <w:rsid w:val="641C6397"/>
    <w:rsid w:val="64283A29"/>
    <w:rsid w:val="64290F2C"/>
    <w:rsid w:val="64616026"/>
    <w:rsid w:val="64747F00"/>
    <w:rsid w:val="647709AE"/>
    <w:rsid w:val="6504637F"/>
    <w:rsid w:val="65110961"/>
    <w:rsid w:val="65206DF6"/>
    <w:rsid w:val="652167FA"/>
    <w:rsid w:val="65337031"/>
    <w:rsid w:val="65642D7E"/>
    <w:rsid w:val="657045EE"/>
    <w:rsid w:val="65F14168"/>
    <w:rsid w:val="65FF6FA8"/>
    <w:rsid w:val="66024DE1"/>
    <w:rsid w:val="662B0D54"/>
    <w:rsid w:val="6631751B"/>
    <w:rsid w:val="66393280"/>
    <w:rsid w:val="664F7894"/>
    <w:rsid w:val="667B6DE0"/>
    <w:rsid w:val="66B5181B"/>
    <w:rsid w:val="66B90807"/>
    <w:rsid w:val="66E71307"/>
    <w:rsid w:val="676002E5"/>
    <w:rsid w:val="67A07535"/>
    <w:rsid w:val="67B820EB"/>
    <w:rsid w:val="67CE7FF7"/>
    <w:rsid w:val="67FF0FCF"/>
    <w:rsid w:val="68006BB1"/>
    <w:rsid w:val="68246BFD"/>
    <w:rsid w:val="683629F3"/>
    <w:rsid w:val="686806A5"/>
    <w:rsid w:val="68790962"/>
    <w:rsid w:val="6899745D"/>
    <w:rsid w:val="68D224E1"/>
    <w:rsid w:val="6906436D"/>
    <w:rsid w:val="69410F5B"/>
    <w:rsid w:val="69750D65"/>
    <w:rsid w:val="69B760D8"/>
    <w:rsid w:val="69CD4C83"/>
    <w:rsid w:val="69D97BBF"/>
    <w:rsid w:val="69E4216D"/>
    <w:rsid w:val="69EC54F9"/>
    <w:rsid w:val="6A5169D6"/>
    <w:rsid w:val="6A7B2B14"/>
    <w:rsid w:val="6A894859"/>
    <w:rsid w:val="6A991D33"/>
    <w:rsid w:val="6A9A4F55"/>
    <w:rsid w:val="6B785EAD"/>
    <w:rsid w:val="6B82544F"/>
    <w:rsid w:val="6B9936F4"/>
    <w:rsid w:val="6B9E312D"/>
    <w:rsid w:val="6BBF2CB3"/>
    <w:rsid w:val="6BD34359"/>
    <w:rsid w:val="6C2440E9"/>
    <w:rsid w:val="6C5268E5"/>
    <w:rsid w:val="6C8E0AE9"/>
    <w:rsid w:val="6CA67E59"/>
    <w:rsid w:val="6CAB0F6A"/>
    <w:rsid w:val="6CBC7B76"/>
    <w:rsid w:val="6CBD6780"/>
    <w:rsid w:val="6CF063DE"/>
    <w:rsid w:val="6D045F6E"/>
    <w:rsid w:val="6D4437AE"/>
    <w:rsid w:val="6D891FA5"/>
    <w:rsid w:val="6D8A4356"/>
    <w:rsid w:val="6DA3777B"/>
    <w:rsid w:val="6DBC4486"/>
    <w:rsid w:val="6DCF530A"/>
    <w:rsid w:val="6DE1645F"/>
    <w:rsid w:val="6DFC5EAB"/>
    <w:rsid w:val="6E005A16"/>
    <w:rsid w:val="6E2A7F73"/>
    <w:rsid w:val="6E331A32"/>
    <w:rsid w:val="6E881C94"/>
    <w:rsid w:val="6EA42775"/>
    <w:rsid w:val="6EC82EAB"/>
    <w:rsid w:val="6EDD49A4"/>
    <w:rsid w:val="6F5F27C4"/>
    <w:rsid w:val="6F683873"/>
    <w:rsid w:val="6FB10330"/>
    <w:rsid w:val="6FF32445"/>
    <w:rsid w:val="709177BB"/>
    <w:rsid w:val="70D57200"/>
    <w:rsid w:val="70E26D95"/>
    <w:rsid w:val="70EF0F9D"/>
    <w:rsid w:val="71146562"/>
    <w:rsid w:val="7137174F"/>
    <w:rsid w:val="713E488C"/>
    <w:rsid w:val="71630942"/>
    <w:rsid w:val="717D7B2D"/>
    <w:rsid w:val="71CD298B"/>
    <w:rsid w:val="71E002A1"/>
    <w:rsid w:val="720D7D02"/>
    <w:rsid w:val="727535CD"/>
    <w:rsid w:val="72780E8D"/>
    <w:rsid w:val="729442CE"/>
    <w:rsid w:val="72C65E03"/>
    <w:rsid w:val="72CC754C"/>
    <w:rsid w:val="72EE6522"/>
    <w:rsid w:val="73015CC9"/>
    <w:rsid w:val="73397AFA"/>
    <w:rsid w:val="733D6697"/>
    <w:rsid w:val="736B6686"/>
    <w:rsid w:val="739B1B8E"/>
    <w:rsid w:val="748D2B05"/>
    <w:rsid w:val="74A215D5"/>
    <w:rsid w:val="74EB5AFA"/>
    <w:rsid w:val="751C6422"/>
    <w:rsid w:val="75303AAA"/>
    <w:rsid w:val="75373573"/>
    <w:rsid w:val="75664820"/>
    <w:rsid w:val="758846D4"/>
    <w:rsid w:val="758F4416"/>
    <w:rsid w:val="75A04A75"/>
    <w:rsid w:val="75A804BF"/>
    <w:rsid w:val="75B07C63"/>
    <w:rsid w:val="75BD7D22"/>
    <w:rsid w:val="75CE6BF9"/>
    <w:rsid w:val="75F60993"/>
    <w:rsid w:val="76032820"/>
    <w:rsid w:val="76464DAE"/>
    <w:rsid w:val="7662101C"/>
    <w:rsid w:val="769060F9"/>
    <w:rsid w:val="769076F2"/>
    <w:rsid w:val="76EB7F54"/>
    <w:rsid w:val="76ED6818"/>
    <w:rsid w:val="76FD50A9"/>
    <w:rsid w:val="771A29C0"/>
    <w:rsid w:val="773553C0"/>
    <w:rsid w:val="77957490"/>
    <w:rsid w:val="77B23300"/>
    <w:rsid w:val="77BB3E94"/>
    <w:rsid w:val="77C62D3E"/>
    <w:rsid w:val="786F5D7A"/>
    <w:rsid w:val="78732FAD"/>
    <w:rsid w:val="787D2FEB"/>
    <w:rsid w:val="78A70F68"/>
    <w:rsid w:val="78B92187"/>
    <w:rsid w:val="78BB602D"/>
    <w:rsid w:val="78E51355"/>
    <w:rsid w:val="79390690"/>
    <w:rsid w:val="798D0B47"/>
    <w:rsid w:val="798D106E"/>
    <w:rsid w:val="79C431B2"/>
    <w:rsid w:val="79E60647"/>
    <w:rsid w:val="7A3A6920"/>
    <w:rsid w:val="7A7F0F08"/>
    <w:rsid w:val="7A9861CB"/>
    <w:rsid w:val="7AAB7196"/>
    <w:rsid w:val="7AAE020C"/>
    <w:rsid w:val="7AD65B35"/>
    <w:rsid w:val="7AE33DC7"/>
    <w:rsid w:val="7AF61C21"/>
    <w:rsid w:val="7B167881"/>
    <w:rsid w:val="7B452CBB"/>
    <w:rsid w:val="7BE44D35"/>
    <w:rsid w:val="7C10780F"/>
    <w:rsid w:val="7C256CF4"/>
    <w:rsid w:val="7C3C40BE"/>
    <w:rsid w:val="7C7729DA"/>
    <w:rsid w:val="7C8C4EC5"/>
    <w:rsid w:val="7C922C5C"/>
    <w:rsid w:val="7CC869E7"/>
    <w:rsid w:val="7CD61BED"/>
    <w:rsid w:val="7D357821"/>
    <w:rsid w:val="7D3A315F"/>
    <w:rsid w:val="7D3E79C1"/>
    <w:rsid w:val="7D6B1540"/>
    <w:rsid w:val="7D7825F0"/>
    <w:rsid w:val="7D92707F"/>
    <w:rsid w:val="7DB84FE3"/>
    <w:rsid w:val="7DC3247A"/>
    <w:rsid w:val="7DF53624"/>
    <w:rsid w:val="7DF869DB"/>
    <w:rsid w:val="7E1F3C97"/>
    <w:rsid w:val="7E3C337C"/>
    <w:rsid w:val="7EB40DB1"/>
    <w:rsid w:val="7ECF4E82"/>
    <w:rsid w:val="7ED625A7"/>
    <w:rsid w:val="7EE661FF"/>
    <w:rsid w:val="7F233313"/>
    <w:rsid w:val="7F452304"/>
    <w:rsid w:val="7F621CA1"/>
    <w:rsid w:val="7F8B7AF3"/>
    <w:rsid w:val="7F8D608D"/>
    <w:rsid w:val="7FC4780F"/>
    <w:rsid w:val="7FEEDB09"/>
    <w:rsid w:val="7FF21238"/>
    <w:rsid w:val="EE4F01B6"/>
    <w:rsid w:val="F76F7C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32"/>
      <w:szCs w:val="20"/>
    </w:rPr>
  </w:style>
  <w:style w:type="paragraph" w:styleId="4">
    <w:name w:val="heading 2"/>
    <w:basedOn w:val="1"/>
    <w:next w:val="1"/>
    <w:qFormat/>
    <w:uiPriority w:val="0"/>
    <w:pPr>
      <w:keepNext/>
      <w:keepLines/>
      <w:spacing w:before="260" w:after="260" w:line="500" w:lineRule="exact"/>
      <w:outlineLvl w:val="1"/>
    </w:pPr>
    <w:rPr>
      <w:rFonts w:ascii="Arial" w:hAnsi="Arial" w:eastAsia="黑体"/>
      <w:b/>
      <w:sz w:val="28"/>
      <w:szCs w:val="20"/>
    </w:rPr>
  </w:style>
  <w:style w:type="paragraph" w:styleId="5">
    <w:name w:val="heading 3"/>
    <w:basedOn w:val="1"/>
    <w:next w:val="1"/>
    <w:qFormat/>
    <w:uiPriority w:val="0"/>
    <w:pPr>
      <w:keepNext/>
      <w:keepLines/>
      <w:spacing w:before="260" w:after="260" w:line="412"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6"/>
    <w:basedOn w:val="1"/>
    <w:next w:val="8"/>
    <w:qFormat/>
    <w:uiPriority w:val="0"/>
    <w:pPr>
      <w:keepNext/>
      <w:keepLines/>
      <w:spacing w:before="240" w:after="64" w:line="316" w:lineRule="auto"/>
      <w:outlineLvl w:val="5"/>
    </w:pPr>
    <w:rPr>
      <w:rFonts w:ascii="Arial" w:hAnsi="Arial" w:eastAsia="黑体"/>
      <w:b/>
      <w:sz w:val="24"/>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8">
    <w:name w:val="Normal Indent"/>
    <w:basedOn w:val="1"/>
    <w:qFormat/>
    <w:uiPriority w:val="0"/>
    <w:pPr>
      <w:ind w:firstLine="420"/>
    </w:pPr>
    <w:rPr>
      <w:szCs w:val="20"/>
    </w:rPr>
  </w:style>
  <w:style w:type="paragraph" w:styleId="9">
    <w:name w:val="annotation text"/>
    <w:basedOn w:val="1"/>
    <w:qFormat/>
    <w:uiPriority w:val="0"/>
    <w:pPr>
      <w:jc w:val="left"/>
    </w:pPr>
  </w:style>
  <w:style w:type="paragraph" w:styleId="10">
    <w:name w:val="Body Text Indent"/>
    <w:basedOn w:val="1"/>
    <w:qFormat/>
    <w:uiPriority w:val="0"/>
    <w:pPr>
      <w:ind w:firstLine="630"/>
    </w:pPr>
    <w:rPr>
      <w:sz w:val="32"/>
      <w:szCs w:val="20"/>
    </w:rPr>
  </w:style>
  <w:style w:type="paragraph" w:styleId="11">
    <w:name w:val="Plain Text"/>
    <w:basedOn w:val="1"/>
    <w:qFormat/>
    <w:uiPriority w:val="0"/>
    <w:rPr>
      <w:rFonts w:ascii="宋体" w:hAnsi="Courier New" w:cs="Courier New"/>
      <w:szCs w:val="21"/>
    </w:rPr>
  </w:style>
  <w:style w:type="paragraph" w:styleId="12">
    <w:name w:val="Body Text Indent 2"/>
    <w:basedOn w:val="1"/>
    <w:qFormat/>
    <w:uiPriority w:val="0"/>
    <w:pPr>
      <w:ind w:firstLine="630"/>
    </w:pPr>
    <w:rPr>
      <w:sz w:val="32"/>
      <w:szCs w:val="20"/>
    </w:rPr>
  </w:style>
  <w:style w:type="paragraph" w:styleId="13">
    <w:name w:val="footer"/>
    <w:basedOn w:val="1"/>
    <w:next w:val="2"/>
    <w:qFormat/>
    <w:uiPriority w:val="0"/>
    <w:pPr>
      <w:tabs>
        <w:tab w:val="center" w:pos="4153"/>
        <w:tab w:val="right" w:pos="8306"/>
      </w:tabs>
      <w:snapToGrid w:val="0"/>
      <w:jc w:val="left"/>
    </w:pPr>
    <w:rPr>
      <w:sz w:val="18"/>
      <w:szCs w:val="20"/>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5">
    <w:name w:val="toc 1"/>
    <w:basedOn w:val="1"/>
    <w:next w:val="1"/>
    <w:qFormat/>
    <w:uiPriority w:val="39"/>
  </w:style>
  <w:style w:type="paragraph" w:styleId="16">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17">
    <w:name w:val="toc 2"/>
    <w:basedOn w:val="1"/>
    <w:next w:val="1"/>
    <w:qFormat/>
    <w:uiPriority w:val="39"/>
    <w:pPr>
      <w:ind w:left="420" w:leftChars="200"/>
    </w:pPr>
  </w:style>
  <w:style w:type="paragraph" w:styleId="18">
    <w:name w:val="Body Text 2"/>
    <w:basedOn w:val="1"/>
    <w:qFormat/>
    <w:uiPriority w:val="0"/>
    <w:pPr>
      <w:spacing w:after="120" w:line="480" w:lineRule="auto"/>
    </w:pPr>
    <w:rPr>
      <w:sz w:val="21"/>
    </w:rPr>
  </w:style>
  <w:style w:type="paragraph" w:styleId="19">
    <w:name w:val="Normal (Web)"/>
    <w:basedOn w:val="1"/>
    <w:qFormat/>
    <w:uiPriority w:val="99"/>
    <w:pPr>
      <w:widowControl/>
      <w:spacing w:before="100" w:beforeAutospacing="1" w:after="100" w:afterAutospacing="1"/>
      <w:jc w:val="left"/>
    </w:pPr>
    <w:rPr>
      <w:rFonts w:ascii="宋体" w:hAnsi="宋体"/>
      <w:kern w:val="0"/>
      <w:sz w:val="18"/>
      <w:szCs w:val="18"/>
    </w:rPr>
  </w:style>
  <w:style w:type="paragraph" w:styleId="20">
    <w:name w:val="Body Text First Indent"/>
    <w:basedOn w:val="2"/>
    <w:qFormat/>
    <w:uiPriority w:val="0"/>
    <w:pPr>
      <w:spacing w:after="120"/>
      <w:ind w:right="0" w:rightChars="0" w:firstLine="420" w:firstLineChars="100"/>
      <w:jc w:val="both"/>
    </w:pPr>
    <w:rPr>
      <w:szCs w:val="20"/>
    </w:rPr>
  </w:style>
  <w:style w:type="paragraph" w:styleId="21">
    <w:name w:val="Body Text First Indent 2"/>
    <w:basedOn w:val="10"/>
    <w:next w:val="1"/>
    <w:qFormat/>
    <w:uiPriority w:val="0"/>
    <w:pPr>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annotation reference"/>
    <w:basedOn w:val="24"/>
    <w:qFormat/>
    <w:uiPriority w:val="0"/>
    <w:rPr>
      <w:sz w:val="21"/>
      <w:szCs w:val="21"/>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8">
    <w:name w:val="p0"/>
    <w:basedOn w:val="1"/>
    <w:qFormat/>
    <w:uiPriority w:val="0"/>
    <w:pPr>
      <w:widowControl/>
    </w:pPr>
    <w:rPr>
      <w:kern w:val="0"/>
      <w:szCs w:val="21"/>
    </w:rPr>
  </w:style>
  <w:style w:type="paragraph" w:customStyle="1" w:styleId="29">
    <w:name w:val="列出段落1"/>
    <w:basedOn w:val="1"/>
    <w:qFormat/>
    <w:uiPriority w:val="0"/>
    <w:pPr>
      <w:spacing w:line="324" w:lineRule="auto"/>
      <w:ind w:firstLine="420" w:firstLineChars="200"/>
    </w:pPr>
    <w:rPr>
      <w:szCs w:val="20"/>
    </w:rPr>
  </w:style>
  <w:style w:type="paragraph" w:customStyle="1" w:styleId="30">
    <w:name w:val="Char1"/>
    <w:basedOn w:val="1"/>
    <w:qFormat/>
    <w:uiPriority w:val="0"/>
    <w:rPr>
      <w:szCs w:val="21"/>
    </w:rPr>
  </w:style>
  <w:style w:type="paragraph" w:customStyle="1" w:styleId="31">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2">
    <w:name w:val="msonospacing"/>
    <w:basedOn w:val="1"/>
    <w:qFormat/>
    <w:uiPriority w:val="0"/>
    <w:rPr>
      <w:sz w:val="24"/>
    </w:rPr>
  </w:style>
  <w:style w:type="paragraph" w:customStyle="1" w:styleId="33">
    <w:name w:val="列出段落3"/>
    <w:basedOn w:val="1"/>
    <w:qFormat/>
    <w:uiPriority w:val="0"/>
    <w:pPr>
      <w:ind w:firstLine="420" w:firstLineChars="200"/>
    </w:pPr>
    <w:rPr>
      <w:szCs w:val="21"/>
    </w:rPr>
  </w:style>
  <w:style w:type="paragraph" w:customStyle="1" w:styleId="34">
    <w:name w:val="样式 首行缩进:  2 字符"/>
    <w:basedOn w:val="1"/>
    <w:qFormat/>
    <w:uiPriority w:val="0"/>
    <w:pPr>
      <w:spacing w:line="400" w:lineRule="exact"/>
      <w:ind w:firstLine="200" w:firstLineChars="200"/>
    </w:pPr>
    <w:rPr>
      <w:rFonts w:cs="宋体"/>
    </w:rPr>
  </w:style>
  <w:style w:type="paragraph" w:customStyle="1" w:styleId="35">
    <w:name w:val="目录"/>
    <w:basedOn w:val="1"/>
    <w:qFormat/>
    <w:uiPriority w:val="0"/>
    <w:pPr>
      <w:widowControl/>
      <w:jc w:val="center"/>
    </w:pPr>
    <w:rPr>
      <w:b/>
      <w:sz w:val="36"/>
    </w:rPr>
  </w:style>
  <w:style w:type="paragraph" w:customStyle="1" w:styleId="36">
    <w:name w:val="hik-标题3"/>
    <w:next w:val="37"/>
    <w:qFormat/>
    <w:uiPriority w:val="0"/>
    <w:pPr>
      <w:numPr>
        <w:ilvl w:val="2"/>
        <w:numId w:val="1"/>
      </w:numPr>
      <w:spacing w:line="360" w:lineRule="auto"/>
      <w:outlineLvl w:val="2"/>
    </w:pPr>
    <w:rPr>
      <w:rFonts w:ascii="Times New Roman" w:hAnsi="Times New Roman" w:eastAsia="黑体" w:cs="Times New Roman"/>
      <w:kern w:val="2"/>
      <w:sz w:val="28"/>
      <w:szCs w:val="28"/>
      <w:lang w:val="en-US" w:eastAsia="zh-CN" w:bidi="ar-SA"/>
    </w:rPr>
  </w:style>
  <w:style w:type="paragraph" w:customStyle="1" w:styleId="37">
    <w:name w:val="hik-正文"/>
    <w:basedOn w:val="1"/>
    <w:qFormat/>
    <w:uiPriority w:val="0"/>
    <w:pPr>
      <w:spacing w:line="360" w:lineRule="auto"/>
      <w:ind w:right="210" w:firstLine="425"/>
      <w:jc w:val="left"/>
    </w:pPr>
    <w:rPr>
      <w:rFonts w:ascii="仿宋_GB2312" w:hAnsi="仿宋" w:eastAsia="仿宋_GB2312"/>
      <w:snapToGrid w:val="0"/>
      <w:kern w:val="24"/>
      <w:sz w:val="24"/>
      <w:lang w:val="zh-CN" w:eastAsia="zh-CN"/>
    </w:rPr>
  </w:style>
  <w:style w:type="paragraph" w:styleId="38">
    <w:name w:val="List Paragraph"/>
    <w:basedOn w:val="1"/>
    <w:qFormat/>
    <w:uiPriority w:val="34"/>
    <w:pPr>
      <w:ind w:firstLine="420" w:firstLineChars="200"/>
    </w:pPr>
  </w:style>
  <w:style w:type="paragraph" w:customStyle="1" w:styleId="39">
    <w:name w:val="样式 仿宋_GB2312 四号 行距: 1.5 倍行距"/>
    <w:basedOn w:val="1"/>
    <w:qFormat/>
    <w:uiPriority w:val="0"/>
    <w:pPr>
      <w:tabs>
        <w:tab w:val="left" w:pos="2619"/>
      </w:tabs>
      <w:spacing w:line="360" w:lineRule="auto"/>
      <w:ind w:firstLine="560"/>
    </w:pPr>
    <w:rPr>
      <w:rFonts w:ascii="仿宋_GB2312" w:eastAsia="仿宋_GB2312" w:cs="宋体"/>
    </w:rPr>
  </w:style>
  <w:style w:type="character" w:customStyle="1" w:styleId="40">
    <w:name w:val="font51"/>
    <w:basedOn w:val="24"/>
    <w:qFormat/>
    <w:uiPriority w:val="0"/>
    <w:rPr>
      <w:rFonts w:hint="default" w:ascii="Times New Roman" w:hAnsi="Times New Roman" w:cs="Times New Roman"/>
      <w:color w:val="000000"/>
      <w:sz w:val="28"/>
      <w:szCs w:val="28"/>
      <w:u w:val="none"/>
    </w:rPr>
  </w:style>
  <w:style w:type="character" w:customStyle="1" w:styleId="41">
    <w:name w:val="font41"/>
    <w:basedOn w:val="24"/>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95</Pages>
  <Words>142</Words>
  <Characters>157</Characters>
  <Lines>0</Lines>
  <Paragraphs>0</Paragraphs>
  <TotalTime>250</TotalTime>
  <ScaleCrop>false</ScaleCrop>
  <LinksUpToDate>false</LinksUpToDate>
  <CharactersWithSpaces>183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2022-10-28T03:47:00Z</dcterms:created>
  <dc:creator>Adminstor</dc:creator>
  <cp:lastModifiedBy>依文</cp:lastModifiedBy>
  <dcterms:modified xsi:type="dcterms:W3CDTF">2026-09-04T02:08:38Z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6B2B806DB1F14CCBAF345A38D4E8757B_13</vt:lpwstr>
  </property>
  <property fmtid="{D5CDD505-2E9C-101B-9397-08002B2CF9AE}" pid="4" name="KSOTemplateDocerSaveRecord">
    <vt:lpwstr>eyJoZGlkIjoiYTU3MjJhZjEyZWViNTljYzNlNzAxMjBmN2U2NThhMGIiLCJ1c2VySWQiOiIyNjEwMDc2MjIifQ==</vt:lpwstr>
  </property>
</Properties>
</file>