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版本号：SCZB2026-CS-1722-00120260623001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食堂食材采购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SCZB2026-CS-1722-001</w:t>
      </w:r>
      <w:r>
        <w:br/>
      </w:r>
      <w:r>
        <w:br/>
      </w:r>
      <w:r>
        <w:br/>
      </w:r>
    </w:p>
    <w:p>
      <w:pPr>
        <w:pStyle w:val="null3"/>
        <w:jc w:val="center"/>
        <w:outlineLvl w:val="2"/>
      </w:pPr>
      <w:r>
        <w:rPr>
          <w:rFonts w:ascii="仿宋_GB2312" w:hAnsi="仿宋_GB2312" w:cs="仿宋_GB2312" w:eastAsia="仿宋_GB2312"/>
          <w:sz w:val="28"/>
          <w:b/>
        </w:rPr>
        <w:t>西安幼儿园</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西安幼儿园</w:t>
      </w:r>
      <w:r>
        <w:rPr>
          <w:rFonts w:ascii="仿宋_GB2312" w:hAnsi="仿宋_GB2312" w:cs="仿宋_GB2312" w:eastAsia="仿宋_GB2312"/>
        </w:rPr>
        <w:t>委托，拟对</w:t>
      </w:r>
      <w:r>
        <w:rPr>
          <w:rFonts w:ascii="仿宋_GB2312" w:hAnsi="仿宋_GB2312" w:cs="仿宋_GB2312" w:eastAsia="仿宋_GB2312"/>
        </w:rPr>
        <w:t>食堂食材采购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SCZB2026-CS-1722-001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食堂食材采购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陕西省西安幼儿园食堂食材供应及配送服务，确保食品安全、货物新鲜、品质佳，送货及时便捷，具体详见采购文件。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采购包1（食堂食材供应及配送服务）：属于专门面向小微企业采购。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法定代表人授权书/法定代表人身份证明：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被授权人须与开标时签到表的授权人保持一致）；</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资质：供应商若为生产厂家的须具备有效期内的《食品生产许可证》和《动物防疫条件合格证》，供应商若为代理商须具备有效期内的《食品经营许可证》或者具备供应商所在地县级以上地方市场监督管理部门颁发的备案证；</w:t>
      </w:r>
    </w:p>
    <w:p>
      <w:pPr>
        <w:pStyle w:val="null3"/>
      </w:pPr>
      <w:r>
        <w:rPr>
          <w:rFonts w:ascii="仿宋_GB2312" w:hAnsi="仿宋_GB2312" w:cs="仿宋_GB2312" w:eastAsia="仿宋_GB2312"/>
        </w:rPr>
        <w:t>5、非联合体：参与供应商为非联合体（提供声明函）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西安市碑林区和平路东羊市15号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029-89624965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薛珊、年婷婷、张学强、刘艳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银行账号：102461558127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代理服务费收费标准：参照国家计委计价格[2002]1980号及发改办价格[2003]857号通知规定按采购预算计取，由中标人支付代理服务费， 每合同包中标单位的招标代理服务费缴纳信息： 银行户名：陕西省采购招标有限责任公司 开户银行：中国光大银行西安友谊路支行 账 号：78560188000095264 联系人：财务部 联系电话：029-85263975。 （备注：本项目采购包1收取代理服务费金额：21,240.00元）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西安幼儿园</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地址：陕西省采购招标有限责任公司综合办公室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陕西省西安幼儿园食堂食材供应及配送服务，且确保食品安全、货物新鲜、品质佳、送货及时便捷，具体详见采购文件。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1,780,000.00</w:t>
      </w:r>
    </w:p>
    <w:p>
      <w:pPr>
        <w:pStyle w:val="null3"/>
      </w:pPr>
      <w:r>
        <w:rPr>
          <w:rFonts w:ascii="仿宋_GB2312" w:hAnsi="仿宋_GB2312" w:cs="仿宋_GB2312" w:eastAsia="仿宋_GB2312"/>
        </w:rPr>
        <w:t>采购包最高限价（元）: 1,780,000.00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陕西省西安幼儿园食堂食材供应及配送服务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标的名称：陕西省西安幼儿园食堂食材供应及配送服务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每日用餐幼儿数量合计为400人；具体实际数量，以采购人实际需求为准。</w:t>
            </w:r>
          </w:p>
          <w:p>
            <w:pPr>
              <w:pStyle w:val="null3"/>
            </w:pPr>
            <w:r>
              <w:rPr>
                <w:rFonts w:ascii="仿宋_GB2312" w:hAnsi="仿宋_GB2312" w:cs="仿宋_GB2312" w:eastAsia="仿宋_GB2312"/>
              </w:rPr>
              <w:t>食材采购需求：</w:t>
            </w:r>
          </w:p>
          <w:p>
            <w:pPr>
              <w:pStyle w:val="null3"/>
            </w:pPr>
            <w:r>
              <w:rPr>
                <w:rFonts w:ascii="仿宋_GB2312" w:hAnsi="仿宋_GB2312" w:cs="仿宋_GB2312" w:eastAsia="仿宋_GB2312"/>
              </w:rPr>
              <w:t>1、产品包装应该有产品名称，厂名，厂址或出产地等，应有产品质量合格证明；产品生产厂家应持有卫生许可证；产品应符合国家食品卫生法规规定的标准；</w:t>
            </w:r>
          </w:p>
          <w:p>
            <w:pPr>
              <w:pStyle w:val="null3"/>
            </w:pPr>
            <w:r>
              <w:rPr>
                <w:rFonts w:ascii="仿宋_GB2312" w:hAnsi="仿宋_GB2312" w:cs="仿宋_GB2312" w:eastAsia="仿宋_GB2312"/>
              </w:rPr>
              <w:t>2、食用油供货：</w:t>
            </w:r>
          </w:p>
          <w:p>
            <w:pPr>
              <w:pStyle w:val="null3"/>
            </w:pPr>
            <w:r>
              <w:rPr>
                <w:rFonts w:ascii="仿宋_GB2312" w:hAnsi="仿宋_GB2312" w:cs="仿宋_GB2312" w:eastAsia="仿宋_GB2312"/>
              </w:rPr>
              <w:t>食用油为非转基因食用油，品牌须由采购人指定，应符合"国家标准一级"产品质量标准。食用油应外包装完好，有SC标志，标明品名，厂名，重量，生产日期，保质期或保存期，执行标准，剩余保存期不少于保质期的三分之二，具有产品合格证。具有正常植物油的色泽，透明度，气味和滋味，无焦臭，酸败及其他异味；</w:t>
            </w:r>
          </w:p>
          <w:p>
            <w:pPr>
              <w:pStyle w:val="null3"/>
            </w:pPr>
            <w:r>
              <w:rPr>
                <w:rFonts w:ascii="仿宋_GB2312" w:hAnsi="仿宋_GB2312" w:cs="仿宋_GB2312" w:eastAsia="仿宋_GB2312"/>
              </w:rPr>
              <w:t>3、面粉供货：</w:t>
            </w:r>
          </w:p>
          <w:p>
            <w:pPr>
              <w:pStyle w:val="null3"/>
            </w:pPr>
            <w:r>
              <w:rPr>
                <w:rFonts w:ascii="仿宋_GB2312" w:hAnsi="仿宋_GB2312" w:cs="仿宋_GB2312" w:eastAsia="仿宋_GB2312"/>
              </w:rPr>
              <w:t>面粉：应符合《馒头用小麦粉》(LS/T3204-1993)标准指标要求(遇国家修改标准，自新标准施行之日起采用新标准)；水分14.0%；灰分(以干基计)0.70%；粗细度：全部通过GB36号筛；湿面筋25.0%~30.0%；粉质曲线稳定时间3.0min；降落数值250s；含砂量0.02%;磁性金属物0.003g/Kg；气味，口感正常。</w:t>
            </w:r>
          </w:p>
          <w:p>
            <w:pPr>
              <w:pStyle w:val="null3"/>
            </w:pPr>
            <w:r>
              <w:rPr>
                <w:rFonts w:ascii="仿宋_GB2312" w:hAnsi="仿宋_GB2312" w:cs="仿宋_GB2312" w:eastAsia="仿宋_GB2312"/>
              </w:rPr>
              <w:t>4、产品无发霉，无变质，干货无受潮；产品包装应该有产品名称，厂名，厂址或出产地等，应有产品质量合格证明；产品生产厂家应应持有卫生许可证；产品应符合国家食品卫生法规规定的标准。</w:t>
            </w:r>
          </w:p>
          <w:p>
            <w:pPr>
              <w:pStyle w:val="null3"/>
            </w:pPr>
            <w:r>
              <w:rPr>
                <w:rFonts w:ascii="仿宋_GB2312" w:hAnsi="仿宋_GB2312" w:cs="仿宋_GB2312" w:eastAsia="仿宋_GB2312"/>
              </w:rPr>
              <w:t>5、鲜肉供货：</w:t>
            </w:r>
          </w:p>
          <w:p>
            <w:pPr>
              <w:pStyle w:val="null3"/>
            </w:pPr>
            <w:r>
              <w:rPr>
                <w:rFonts w:ascii="仿宋_GB2312" w:hAnsi="仿宋_GB2312" w:cs="仿宋_GB2312" w:eastAsia="仿宋_GB2312"/>
              </w:rPr>
              <w:t>产品为在政府规定的屠宰场所屠杀的生鲜禽畜肉；产品应符合国家食品安全标准；产品非病死禽畜肉；产品非"注水"禽畜肉，母猪肉，老猪肉；产品应经检验，检疫合格，有相应的检验，检疫证明，有当地卫生主管部门出具的动物检疫合格证明，有当地政府部门定点屠宰厂"瘦肉精"残留检测合格证明和肉品品质检验合格证供成交供应商随时抽查，抽查发现提供的证明材料与鲜肉不符时，按本批鲜肉量合同价值的30%向成交供应商支付违约金，违约金不足以弥补损失的，按损失补足。新鲜的肉类，表面有光泽，颜色均匀，有弹性，不得呈现青紫色死斑：</w:t>
            </w:r>
          </w:p>
          <w:p>
            <w:pPr>
              <w:pStyle w:val="null3"/>
            </w:pPr>
            <w:r>
              <w:rPr>
                <w:rFonts w:ascii="仿宋_GB2312" w:hAnsi="仿宋_GB2312" w:cs="仿宋_GB2312" w:eastAsia="仿宋_GB2312"/>
              </w:rPr>
              <w:t>6、蛋类供货：</w:t>
            </w:r>
          </w:p>
          <w:p>
            <w:pPr>
              <w:pStyle w:val="null3"/>
            </w:pPr>
            <w:r>
              <w:rPr>
                <w:rFonts w:ascii="仿宋_GB2312" w:hAnsi="仿宋_GB2312" w:cs="仿宋_GB2312" w:eastAsia="仿宋_GB2312"/>
              </w:rPr>
              <w:t>蛋类的外观应该整齐，光滑，无损伤，供货的蛋类应具有良好的新鲜度，没有变质的迹象；</w:t>
            </w:r>
          </w:p>
          <w:p>
            <w:pPr>
              <w:pStyle w:val="null3"/>
            </w:pPr>
            <w:r>
              <w:rPr>
                <w:rFonts w:ascii="仿宋_GB2312" w:hAnsi="仿宋_GB2312" w:cs="仿宋_GB2312" w:eastAsia="仿宋_GB2312"/>
              </w:rPr>
              <w:t>7、肉蛋及(如有)冷冻制品类还须符合以下要求：</w:t>
            </w:r>
          </w:p>
          <w:p>
            <w:pPr>
              <w:pStyle w:val="null3"/>
            </w:pPr>
            <w:r>
              <w:rPr>
                <w:rFonts w:ascii="仿宋_GB2312" w:hAnsi="仿宋_GB2312" w:cs="仿宋_GB2312" w:eastAsia="仿宋_GB2312"/>
              </w:rPr>
              <w:t>(1)应当符合《产品质量法》和《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pPr>
            <w:r>
              <w:rPr>
                <w:rFonts w:ascii="仿宋_GB2312" w:hAnsi="仿宋_GB2312" w:cs="仿宋_GB2312" w:eastAsia="仿宋_GB2312"/>
              </w:rPr>
              <w:t>(2)不得提供未经检疫或者检疫不合格的肉类品(含熟制品)，须提供当批次《肉类卫生防疫证明》：</w:t>
            </w:r>
          </w:p>
          <w:p>
            <w:pPr>
              <w:pStyle w:val="null3"/>
            </w:pPr>
            <w:r>
              <w:rPr>
                <w:rFonts w:ascii="仿宋_GB2312" w:hAnsi="仿宋_GB2312" w:cs="仿宋_GB2312" w:eastAsia="仿宋_GB2312"/>
              </w:rPr>
              <w:t>(3)不得提供假冒，伪劣，过期或者不符合规定包装，卫生标准的物品；(4)不得提供来历不明，不能提供相应产品标签的散装物品；</w:t>
            </w:r>
          </w:p>
          <w:p>
            <w:pPr>
              <w:pStyle w:val="null3"/>
            </w:pPr>
            <w:r>
              <w:rPr>
                <w:rFonts w:ascii="仿宋_GB2312" w:hAnsi="仿宋_GB2312" w:cs="仿宋_GB2312" w:eastAsia="仿宋_GB2312"/>
              </w:rPr>
              <w:t>(5)当天送达食品，在检查过程中发现存在变质腐败，油脂酸败，霉变，生虫，污秽不洁，混有异物或者其他感官性状异常，含有毒有害物质或者被有毒有害物质污染，可能对人体健康有害的物品，必须在当天及时更换货物，如有造成的损失由供货方承担；</w:t>
            </w:r>
          </w:p>
          <w:p>
            <w:pPr>
              <w:pStyle w:val="null3"/>
            </w:pPr>
            <w:r>
              <w:rPr>
                <w:rFonts w:ascii="仿宋_GB2312" w:hAnsi="仿宋_GB2312" w:cs="仿宋_GB2312" w:eastAsia="仿宋_GB2312"/>
              </w:rPr>
              <w:t>(6)提供的物资必须达到国家规定的卫生安全标准。</w:t>
            </w:r>
          </w:p>
          <w:p>
            <w:pPr>
              <w:pStyle w:val="null3"/>
            </w:pPr>
            <w:r>
              <w:rPr>
                <w:rFonts w:ascii="仿宋_GB2312" w:hAnsi="仿宋_GB2312" w:cs="仿宋_GB2312" w:eastAsia="仿宋_GB2312"/>
              </w:rPr>
              <w:t>8、水产供货：水产的外观应该整齐，光滑，无损伤，供货的应具有良好的新鲜度，没有变质的迹象。产品应符合国家食品卫生法规规定的标准。(如有)冷冻类产品无发霉，无变质，临期产品等：产品包装应该有产品名称，厂名，厂址或出产地等，应有产品质量合格证明；产品生产厂家应持有卫生许可证；产品应符合国家食品卫生法规规定的标准。</w:t>
            </w:r>
          </w:p>
          <w:p>
            <w:pPr>
              <w:pStyle w:val="null3"/>
            </w:pPr>
            <w:r>
              <w:rPr>
                <w:rFonts w:ascii="仿宋_GB2312" w:hAnsi="仿宋_GB2312" w:cs="仿宋_GB2312" w:eastAsia="仿宋_GB2312"/>
              </w:rPr>
              <w:t>9、杂粮，蔬菜，水果，调味品，乳制品，点心，面制品供货：</w:t>
            </w:r>
          </w:p>
          <w:p>
            <w:pPr>
              <w:pStyle w:val="null3"/>
            </w:pPr>
            <w:r>
              <w:rPr>
                <w:rFonts w:ascii="仿宋_GB2312" w:hAnsi="仿宋_GB2312" w:cs="仿宋_GB2312" w:eastAsia="仿宋_GB2312"/>
              </w:rPr>
              <w:t>产品无发霉，无变质，临期产品等；产品包装应该有产品名称，厂名，厂址或出产地等，应有产品质量合格证明；产品生产厂家应持有卫生许可证；产品应符合国家食品卫生法规规定的标准。</w:t>
            </w:r>
          </w:p>
          <w:p>
            <w:pPr>
              <w:pStyle w:val="null3"/>
            </w:pPr>
            <w:r>
              <w:rPr>
                <w:rFonts w:ascii="仿宋_GB2312" w:hAnsi="仿宋_GB2312" w:cs="仿宋_GB2312" w:eastAsia="仿宋_GB2312"/>
              </w:rPr>
              <w:t>10、糕点及面制品供货：产品须经过正规厂家生产，并符合《食品安全国家标准糕点，面包》(GB7099-2015)，《糕点通则》(GB/T20977-2007)等相关标准：外包装完好，有SC标志，标明品名，厂名，重量，生产日期，保质期或保存期，执行标准，剩余保存期不少于保质期的三分之二，具有产品合格证。包装无胀气，破损，具有正常糕点气味和滋味，无焦臭，酸败及其他异味。所有食材成交供应商必须按照采购人要求的种类，规格进行供货，满足采购人使用需求。所有食材采购，配送时间，配送地点均以采购方通知为准，采购人有权根据实际需求量随时调整采购计划及供货时间段。</w:t>
            </w:r>
          </w:p>
          <w:p>
            <w:pPr>
              <w:pStyle w:val="null3"/>
            </w:pPr>
            <w:r>
              <w:rPr>
                <w:rFonts w:ascii="仿宋_GB2312" w:hAnsi="仿宋_GB2312" w:cs="仿宋_GB2312" w:eastAsia="仿宋_GB2312"/>
              </w:rPr>
              <w:t>11、副食品供货：产品无发霉，无变质，无变味，不掺杂，不掺假，不掺水，干货无受潮，临期产品；产品包装应该有产品名称，厂名，厂址或出产地等，应有产品质量合格证明；产品生产厂家应持有卫生许可证；产品应符合国家食品卫生法规规定的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其他，每学期开学满一个月服务运行状况正常后，于次月办理上一月款项结算，按实际发生金额据实支付，次月起15个工作日内，支付食材采购总额的100%，达到付款条件起15个工作日内，支付合同总金额的100.0%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CDATA[1.异常低价审查 评审中出现下列情形之一的，评标委员会应当启动异常低价响应审查程序： ①供应商最终响应报价低于全部通过符合性审查供应商最终响应报价平均值50%的，即最终响应报价<全部通过符合性审查供应商最终响应报价平均值×50%； ②供应商最终响应报价低于通过符合性审查的次低报价供应商最终响应报价50%的，即最终响应报价<通过符合性审查的次低报价供应商最终响应报价×50%； ③最终响应报价低于采购项目最高限价45%的，即最终响应报价<采购项目最高限价×45%； ④评标委员会基于专业判断，认为供应商报价过低，有可能影响产品质量或者不能诚信履约的其他情形。 相关法律法规对供应商报价有规定的，从其规定。 评标委员会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30分钟。其中，属于第3项情形，供应商已随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2.若供应商采用保函形式缴纳保证金，请供应商在开标前一天告知代理机构并将保函扫描件发送到代理机构负责人邮箱（525633509@qq.com）。3.落实政府采购政策：3.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3.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3.3《关于运用政府采购政策支持乡村产业振兴的通知》（财库〔2021〕19 号）、《关于印发<关于深入开展政府采购脱贫地区农副产品工作推进乡村产业振兴的实施意见>的通知》（财库〔2021〕20 号）。3.4《国家互联网信息办公室 工业和信息化部 公安部 财政部 国家认证认可监督管理委员会关于调整网络安全专用产品安全管理有关事项的公告》（2023年第1号）。3.5《陕西省财政厅关于加快推进我省中小企业政府采购信用融资工作的通知》（陕财办采〔2020〕15 号）、《陕西省财政厅关于印发<陕西省中小企业政府采购信用融资办法>的通知》（陕财办采〔2018〕23 号）。 3.6《关于扩大政府采购支持绿色建材促进建筑品质提升政策实施范围的通知》（财库〔2022〕35号）、《财政部办公厅 住房城乡建设部办公厅 工业和信息化部办公厅关于印发<政府采购支持绿色建材促进建筑品质提升政策项目实施指南>的通知》（ 财办库〔2023〕52号）。3.7《国务院办公厅关于在政府采购中实施本国产品标准及相关政策的通知》（国办发〔2025〕34号）。3.8《陕西省财政厅关于规范政府采购项目评审主观分赋分有关事项的通知》（陕财办采〔2026〕10号）若享受以上政策优惠的企业，提供相应声明函或品目清单范围内产品的有效认证证书或相关证明。备注：开标评标结束后，中标人须无偿向采购人提供盖章齐全的纸质版投标文件两套（正本1套、副本1套），纸质版投标文件内容须与电子投标文件保持一致。纸质版投标文件递交地址：都市之门C座9层招标二部，收件人：薛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磋商方案或技术方案.pdf 服务内容及服务要求应答表 标的清单 报价表 资格证明文件部分.pdf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①资信证明须为递交投标文件截止时间前三个月内由供应商基本账户开户银行出具。（须提供基本开户信息）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资格证明文件部分.pdf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资格证明文件部分.pdf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资格证明文件部分.pdf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被授权人须与开标时签到表的授权人保持一致）；</w:t>
            </w:r>
          </w:p>
        </w:tc>
        <w:tc>
          <w:tcPr>
            <w:tcW w:type="dxa" w:w="1661"/>
          </w:tcPr>
          <w:p>
            <w:pPr>
              <w:pStyle w:val="null3"/>
            </w:pPr>
            <w:r>
              <w:rPr>
                <w:rFonts w:ascii="仿宋_GB2312" w:hAnsi="仿宋_GB2312" w:cs="仿宋_GB2312" w:eastAsia="仿宋_GB2312"/>
              </w:rPr>
              <w:t>资格证明文件部分.pdf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资格证明文件部分.pdf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若为生产厂家的须具备有效期内的《食品生产许可证》和《动物防疫条件合格证》，供应商若为代理商须具备有效期内的《食品经营许可证》或者具备供应商所在地县级以上地方市场监督管理部门颁发的备案证；</w:t>
            </w:r>
          </w:p>
        </w:tc>
        <w:tc>
          <w:tcPr>
            <w:tcW w:type="dxa" w:w="1661"/>
          </w:tcPr>
          <w:p>
            <w:pPr>
              <w:pStyle w:val="null3"/>
            </w:pPr>
            <w:r>
              <w:rPr>
                <w:rFonts w:ascii="仿宋_GB2312" w:hAnsi="仿宋_GB2312" w:cs="仿宋_GB2312" w:eastAsia="仿宋_GB2312"/>
              </w:rPr>
              <w:t>资格证明文件部分.pdf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资格证明文件部分.pdf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异常低价审查情况：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3）评标委员会认为供应商的报价明显低于其他通过符合性审查供应商的报价（供应商的报价明显高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磋商文件盖章</w:t>
            </w:r>
          </w:p>
        </w:tc>
        <w:tc>
          <w:tcPr>
            <w:tcW w:type="dxa" w:w="3322"/>
          </w:tcPr>
          <w:p>
            <w:pPr>
              <w:pStyle w:val="null3"/>
            </w:pPr>
            <w:r>
              <w:rPr>
                <w:rFonts w:ascii="仿宋_GB2312" w:hAnsi="仿宋_GB2312" w:cs="仿宋_GB2312" w:eastAsia="仿宋_GB2312"/>
              </w:rPr>
              <w:t>响应文件盖章满足磋商文件的要求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磋商方案或技术方案.pdf 服务内容及服务要求应答表 标的清单 报价表 资格证明文件部分.pdf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w:t>
            </w:r>
          </w:p>
        </w:tc>
        <w:tc>
          <w:tcPr>
            <w:tcW w:type="dxa" w:w="3322"/>
          </w:tcPr>
          <w:p>
            <w:pPr>
              <w:pStyle w:val="null3"/>
            </w:pPr>
            <w:r>
              <w:rPr>
                <w:rFonts w:ascii="仿宋_GB2312" w:hAnsi="仿宋_GB2312" w:cs="仿宋_GB2312" w:eastAsia="仿宋_GB2312"/>
              </w:rPr>
              <w:t>响应文件法定代表人（或其他组织负责人）或其授权代表签字盖章满足磋商文件的要求</w:t>
            </w:r>
          </w:p>
        </w:tc>
        <w:tc>
          <w:tcPr>
            <w:tcW w:type="dxa" w:w="1661"/>
          </w:tcPr>
          <w:p>
            <w:pPr>
              <w:pStyle w:val="null3"/>
            </w:pPr>
            <w:r>
              <w:rPr>
                <w:rFonts w:ascii="仿宋_GB2312" w:hAnsi="仿宋_GB2312" w:cs="仿宋_GB2312" w:eastAsia="仿宋_GB2312"/>
              </w:rPr>
              <w:t>响应文件封面 资格证明文件部分.pdf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磋商保证金已按采购文件规定提交且金额、形式、缴纳时间（磋商截止时间前）符合采购文件要求</w:t>
            </w:r>
          </w:p>
        </w:tc>
        <w:tc>
          <w:tcPr>
            <w:tcW w:type="dxa" w:w="1661"/>
          </w:tcPr>
          <w:p>
            <w:pPr>
              <w:pStyle w:val="null3"/>
            </w:pPr>
            <w:r>
              <w:rPr>
                <w:rFonts w:ascii="仿宋_GB2312" w:hAnsi="仿宋_GB2312" w:cs="仿宋_GB2312" w:eastAsia="仿宋_GB2312"/>
              </w:rPr>
              <w:t>响应文件封面 资格证明文件部分.pdf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磋商内容未出现漏项，与要求相符，未出现重大负偏差。</w:t>
            </w:r>
          </w:p>
        </w:tc>
        <w:tc>
          <w:tcPr>
            <w:tcW w:type="dxa" w:w="1661"/>
          </w:tcPr>
          <w:p>
            <w:pPr>
              <w:pStyle w:val="null3"/>
            </w:pPr>
            <w:r>
              <w:rPr>
                <w:rFonts w:ascii="仿宋_GB2312" w:hAnsi="仿宋_GB2312" w:cs="仿宋_GB2312" w:eastAsia="仿宋_GB2312"/>
              </w:rPr>
              <w:t>响应文件封面 磋商方案或技术方案.pdf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项目整体设想及规划</w:t>
            </w:r>
          </w:p>
        </w:tc>
        <w:tc>
          <w:tcPr>
            <w:tcW w:type="dxa" w:w="2492"/>
          </w:tcPr>
          <w:p>
            <w:pPr>
              <w:pStyle w:val="null3"/>
            </w:pPr>
            <w:r>
              <w:rPr>
                <w:rFonts w:ascii="仿宋_GB2312" w:hAnsi="仿宋_GB2312" w:cs="仿宋_GB2312" w:eastAsia="仿宋_GB2312"/>
              </w:rPr>
              <w:t>项目整体设想及规划：通过对本项目服务对象及项目特点分析，制定适合学校食堂的供货服务理念及服务目标。 评审标准:达到上述要求的得3分，满分3分。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磋商方案或技术方案.pdf</w:t>
            </w:r>
          </w:p>
        </w:tc>
      </w:tr>
      <w:tr>
        <w:tc>
          <w:tcPr>
            <w:tcW w:type="dxa" w:w="831"/>
            <w:vMerge/>
          </w:tcPr>
          <w:p/>
        </w:tc>
        <w:tc>
          <w:tcPr>
            <w:tcW w:type="dxa" w:w="1661"/>
          </w:tcPr>
          <w:p>
            <w:pPr>
              <w:pStyle w:val="null3"/>
            </w:pPr>
            <w:r>
              <w:rPr>
                <w:rFonts w:ascii="仿宋_GB2312" w:hAnsi="仿宋_GB2312" w:cs="仿宋_GB2312" w:eastAsia="仿宋_GB2312"/>
              </w:rPr>
              <w:t>食品安全保证措施</w:t>
            </w:r>
          </w:p>
        </w:tc>
        <w:tc>
          <w:tcPr>
            <w:tcW w:type="dxa" w:w="2492"/>
          </w:tcPr>
          <w:p>
            <w:pPr>
              <w:pStyle w:val="null3"/>
            </w:pPr>
            <w:r>
              <w:rPr>
                <w:rFonts w:ascii="仿宋_GB2312" w:hAnsi="仿宋_GB2312" w:cs="仿宋_GB2312" w:eastAsia="仿宋_GB2312"/>
              </w:rPr>
              <w:t>评审内容:根据供应商针对本项目的食品安全保证措施，措施内容全面详细、阐述条理清晰详尽、符合招标要求。措施内容包括①生鲜肉类；②禽蛋类；③蔬菜、瓜果类；④粮油面（包含面点）；⑤干货、调料类。 评审标准:达到上述要求的每项为3分，满分15分。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磋商方案或技术方案.pdf</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标的物供货渠道合法，且无产权纠纷，根据供应商提供产品来源渠道合法证明文件（不限于原厂授权、销售协议、代理协议等资料）： 评审标准:达到上述要求的得4分，满分4分。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磋商方案或技术方案.pdf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供应商针对本项目提出具体的售后服务方案，方案各部分内容全面详细、阐述条理清晰详尽、符合招标要求。方案内容包含:①售后服务人员组织、售后服务机构地址，电话联系人；②售后服务保障措施；③交付采购方后出现质量问题的响应时间；供货不及时、出现残次品等补货换货解决方案。在服务期内食材质量、配送等若出现问题，供应商有完整的赔偿措施及赔偿方式。 评审标准:达到上述要求的每项为2分，满分6分。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磋商方案或技术方案.pdf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供应商提供类似合同业绩（2024年1月至今，以合同签订时间为准并提供完整的合同复印件加盖公章），每提供一份得4分，满分12分。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磋商方案或技术方案.pdf</w:t>
            </w:r>
          </w:p>
        </w:tc>
      </w:tr>
      <w:tr>
        <w:tc>
          <w:tcPr>
            <w:tcW w:type="dxa" w:w="831"/>
            <w:vMerge/>
          </w:tcPr>
          <w:p/>
        </w:tc>
        <w:tc>
          <w:tcPr>
            <w:tcW w:type="dxa" w:w="1661"/>
          </w:tcPr>
          <w:p>
            <w:pPr>
              <w:pStyle w:val="null3"/>
            </w:pPr>
            <w:r>
              <w:rPr>
                <w:rFonts w:ascii="仿宋_GB2312" w:hAnsi="仿宋_GB2312" w:cs="仿宋_GB2312" w:eastAsia="仿宋_GB2312"/>
              </w:rPr>
              <w:t>供货组织方案</w:t>
            </w:r>
          </w:p>
        </w:tc>
        <w:tc>
          <w:tcPr>
            <w:tcW w:type="dxa" w:w="2492"/>
          </w:tcPr>
          <w:p>
            <w:pPr>
              <w:pStyle w:val="null3"/>
            </w:pPr>
            <w:r>
              <w:rPr>
                <w:rFonts w:ascii="仿宋_GB2312" w:hAnsi="仿宋_GB2312" w:cs="仿宋_GB2312" w:eastAsia="仿宋_GB2312"/>
              </w:rPr>
              <w:t>评审内容:根据供应商针对本项目的供货组织方案，方案各部分内容全面详细、阐述条理清晰详尽、符合招标要求。方案内容包含①供货方式；②财力调配；③供货时效；④运输途中保鲜措施；⑤人员车辆配备（人员须提供具有有效的健康证；车辆须提供车辆登记证书或购置发票或租赁合同、照片等证明材料）。 评审标准:上述每项方案内容无缺陷得2分，满分为10分。方案内容每存在1处缺陷：扣0.5分，扣完为止。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磋商方案或技术方案.pdf</w:t>
            </w:r>
          </w:p>
        </w:tc>
      </w:tr>
      <w:tr>
        <w:tc>
          <w:tcPr>
            <w:tcW w:type="dxa" w:w="831"/>
            <w:vMerge/>
          </w:tcPr>
          <w:p/>
        </w:tc>
        <w:tc>
          <w:tcPr>
            <w:tcW w:type="dxa" w:w="1661"/>
          </w:tcPr>
          <w:p>
            <w:pPr>
              <w:pStyle w:val="null3"/>
            </w:pPr>
            <w:r>
              <w:rPr>
                <w:rFonts w:ascii="仿宋_GB2312" w:hAnsi="仿宋_GB2312" w:cs="仿宋_GB2312" w:eastAsia="仿宋_GB2312"/>
              </w:rPr>
              <w:t>食材存储方案</w:t>
            </w:r>
          </w:p>
        </w:tc>
        <w:tc>
          <w:tcPr>
            <w:tcW w:type="dxa" w:w="2492"/>
          </w:tcPr>
          <w:p>
            <w:pPr>
              <w:pStyle w:val="null3"/>
            </w:pPr>
            <w:r>
              <w:rPr>
                <w:rFonts w:ascii="仿宋_GB2312" w:hAnsi="仿宋_GB2312" w:cs="仿宋_GB2312" w:eastAsia="仿宋_GB2312"/>
              </w:rPr>
              <w:t>评审内容:根据供应商针对本项目的食材存储方案，方案各部分内容全面详细、阐述条理清晰详尽、符合招标要求。方案内容包含①场所条件（提供购房或租房合同、现场图片等相关证明）；②管理人员配备；③保险措施；④安全防范。 评审标准:上述每项方案内容无缺陷得2分，满分为8分。方案内容每存在1处缺陷：扣0.5分，扣完为止。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磋商方案或技术方案.pdf</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根据供应商针对本项目的配送方案，方案各部分内容全面详细、阐述条理清晰详尽、符合招标要求。方案内容包含①整体配送方案；②有针对本项目的配送人员和车辆，合理的配送方案及配送路线；③有食品配送服务应急方案，保证食品的正常食用。 评审标准:上述每项方案内容无缺陷得4分，满分为12分。方案内容每存在1处缺陷：扣0.5分，扣完为止。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磋商方案或技术方案.pdf</w:t>
            </w:r>
          </w:p>
        </w:tc>
      </w:tr>
      <w:tr>
        <w:tc>
          <w:tcPr>
            <w:tcW w:type="dxa" w:w="831"/>
            <w:vMerge/>
          </w:tcPr>
          <w:p/>
        </w:tc>
        <w:tc>
          <w:tcPr>
            <w:tcW w:type="dxa" w:w="1661"/>
          </w:tcPr>
          <w:p>
            <w:pPr>
              <w:pStyle w:val="null3"/>
            </w:pPr>
            <w:r>
              <w:rPr>
                <w:rFonts w:ascii="仿宋_GB2312" w:hAnsi="仿宋_GB2312" w:cs="仿宋_GB2312" w:eastAsia="仿宋_GB2312"/>
              </w:rPr>
              <w:t>食品危机管理应急方案</w:t>
            </w:r>
          </w:p>
        </w:tc>
        <w:tc>
          <w:tcPr>
            <w:tcW w:type="dxa" w:w="2492"/>
          </w:tcPr>
          <w:p>
            <w:pPr>
              <w:pStyle w:val="null3"/>
            </w:pPr>
            <w:r>
              <w:rPr>
                <w:rFonts w:ascii="仿宋_GB2312" w:hAnsi="仿宋_GB2312" w:cs="仿宋_GB2312" w:eastAsia="仿宋_GB2312"/>
              </w:rPr>
              <w:t>评审内容:根据供应商针对本项目的日常管理应急预案，方案各部分内容全面详细、阐述条理清晰详尽、符合招标要求。方案内容包含①危机处理；②人员救治；③危害控制；④事故调查；⑤临时性的接待、活动、考察、培训等导致配送增多等情况的应对措施。 评审标准:上述每项方案内容无缺陷得2分，满分为10分。方案内容每存在1处缺陷：扣0.5分，扣完为止。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磋商报价即为综合折扣，满足采购文件要求且磋商报价综合折扣最低的为评标基准价，即其报价得分为满分。 计算公式：报价得分=（评标基准价/综合折扣）×价格权值×100 计算分数时四舍五入取小数点后两位。 本项目结算金额按“采购人根据采购需求与成交供应商进行供货。（结算金额=标的物总价报价*（综合折扣） （%））”； 2、结算金额：比如标的物总价报价为100元，综合折扣为90%，则结算金额为100*0.90=90元。 例：报价按综合折扣（%）报价，综合折扣请按百分比填写，如打9折，请填90%。 3、报价组成：是指标的物到达使用地点并按采购人要求供货验收，达到正常使用条件下的所有费用，包括完成标的物加工（如有）服务及完成本项目过程中所产生的所有费用等，如产生其他费用，采购人不再另外支付。以采购文件的内容和要求作为响应依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详见附件：资格证明文件部分.pdf</w:t>
      </w:r>
    </w:p>
    <w:p>
      <w:pPr>
        <w:pStyle w:val="null3"/>
        <w:ind w:firstLine="960"/>
      </w:pPr>
      <w:r>
        <w:rPr>
          <w:rFonts w:ascii="仿宋_GB2312" w:hAnsi="仿宋_GB2312" w:cs="仿宋_GB2312" w:eastAsia="仿宋_GB2312"/>
        </w:rPr>
        <w:t>详见附件：磋商方案或技术方案.pdf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