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版本号：政采-渭南市-2026-0092320260528001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渭南市成品油综合服务智慧监管平台密码应用安全性评估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政采-渭南市-2026-00923</w:t>
      </w:r>
      <w:r>
        <w:br/>
      </w:r>
      <w:r>
        <w:br/>
      </w:r>
      <w:r>
        <w:br/>
      </w:r>
    </w:p>
    <w:p>
      <w:pPr>
        <w:pStyle w:val="null3"/>
        <w:jc w:val="center"/>
        <w:outlineLvl w:val="2"/>
      </w:pPr>
      <w:r>
        <w:rPr>
          <w:rFonts w:ascii="仿宋_GB2312" w:hAnsi="仿宋_GB2312" w:cs="仿宋_GB2312" w:eastAsia="仿宋_GB2312"/>
          <w:sz w:val="28"/>
          <w:b/>
        </w:rPr>
        <w:t>渭南市数据服务中心</w:t>
      </w:r>
    </w:p>
    <w:p>
      <w:pPr>
        <w:pStyle w:val="null3"/>
        <w:jc w:val="center"/>
        <w:outlineLvl w:val="2"/>
      </w:pPr>
      <w:r>
        <w:rPr>
          <w:rFonts w:ascii="仿宋_GB2312" w:hAnsi="仿宋_GB2312" w:cs="仿宋_GB2312" w:eastAsia="仿宋_GB2312"/>
          <w:sz w:val="28"/>
          <w:b/>
        </w:rPr>
        <w:t>陕西嘉信至诚项目管理有限公司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陕西嘉信至诚项目管理有限公司</w:t>
      </w:r>
      <w:r>
        <w:rPr>
          <w:rFonts w:ascii="仿宋_GB2312" w:hAnsi="仿宋_GB2312" w:cs="仿宋_GB2312" w:eastAsia="仿宋_GB2312"/>
        </w:rPr>
        <w:t>（以下简称“代理机构”）受</w:t>
      </w:r>
      <w:r>
        <w:rPr>
          <w:rFonts w:ascii="仿宋_GB2312" w:hAnsi="仿宋_GB2312" w:cs="仿宋_GB2312" w:eastAsia="仿宋_GB2312"/>
        </w:rPr>
        <w:t>渭南市数据服务中心</w:t>
      </w:r>
      <w:r>
        <w:rPr>
          <w:rFonts w:ascii="仿宋_GB2312" w:hAnsi="仿宋_GB2312" w:cs="仿宋_GB2312" w:eastAsia="仿宋_GB2312"/>
        </w:rPr>
        <w:t>委托，拟对</w:t>
      </w:r>
      <w:r>
        <w:rPr>
          <w:rFonts w:ascii="仿宋_GB2312" w:hAnsi="仿宋_GB2312" w:cs="仿宋_GB2312" w:eastAsia="仿宋_GB2312"/>
        </w:rPr>
        <w:t>渭南市成品油综合服务智慧监管平台密码应用安全性评估</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政采-渭南市-2026-00923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渭南市成品油综合服务智慧监管平台密码应用安全性评估</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完成渭南市成品油综合服务智慧监管平台密码应用安全性评估全部内容。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采购包1（渭南市成品油综合服务智慧监管平台密码应用安全性评估）：属于专门面向中小企业采购。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负责人）或授权代表身份证明：供应商应授权合法的人员参加磋商全过程，其中法定代表人（负责人）直接参加的，须提供法定代表人（负责人）身份证明，并与营业执照上信息一致。法定代表人（负责人）授权代表参加的，须提供法定代表人（负责人）授权书及授权代表身份证明；</w:t>
      </w:r>
    </w:p>
    <w:p>
      <w:pPr>
        <w:pStyle w:val="null3"/>
      </w:pPr>
      <w:r>
        <w:rPr>
          <w:rFonts w:ascii="仿宋_GB2312" w:hAnsi="仿宋_GB2312" w:cs="仿宋_GB2312" w:eastAsia="仿宋_GB2312"/>
        </w:rPr>
        <w:t>2、企业资质：供应商提供有效的《商用密码检测机构资质证书》；</w:t>
      </w:r>
    </w:p>
    <w:p>
      <w:pPr>
        <w:pStyle w:val="null3"/>
      </w:pPr>
      <w:r>
        <w:rPr>
          <w:rFonts w:ascii="仿宋_GB2312" w:hAnsi="仿宋_GB2312" w:cs="仿宋_GB2312" w:eastAsia="仿宋_GB2312"/>
        </w:rPr>
        <w:t>3、信用信息：供应商未列入“信用中国”网站（www.creditchina.gov.cn）失信被执行人、重大税收违法失信主体、政府采购严重违法失信行为记录名单和中国政府采购网（www.ccgp.gov.cn）政府采购严重违法失信行为记录名单；</w:t>
      </w:r>
    </w:p>
    <w:p>
      <w:pPr>
        <w:pStyle w:val="null3"/>
      </w:pPr>
      <w:r>
        <w:rPr>
          <w:rFonts w:ascii="仿宋_GB2312" w:hAnsi="仿宋_GB2312" w:cs="仿宋_GB2312" w:eastAsia="仿宋_GB2312"/>
        </w:rPr>
        <w:t>4、供应商不得存在下列情形之一：供应商不得存在下列情形之一：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渭南市数据服务中心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渭南市临渭区车雷大街69号市民综合服务中心西配楼1楼西侧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0913-2930456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陕西嘉信至诚项目管理有限公司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渭南市临渭区解放路与双王街十字东南角商贸楼三楼东侧（槐衙曦和公馆南门斜对面）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李绒</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0913-2130688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开户名称：中国银行渭南分行营业部</w:t>
            </w:r>
          </w:p>
          <w:p>
            <w:pPr>
              <w:pStyle w:val="null3"/>
            </w:pPr>
            <w:r>
              <w:rPr>
                <w:rFonts w:ascii="仿宋_GB2312" w:hAnsi="仿宋_GB2312" w:cs="仿宋_GB2312" w:eastAsia="仿宋_GB2312"/>
              </w:rPr>
              <w:t>开户银行：陕西嘉信至诚项目管理有限公司</w:t>
            </w:r>
          </w:p>
          <w:p>
            <w:pPr>
              <w:pStyle w:val="null3"/>
            </w:pPr>
            <w:r>
              <w:rPr>
                <w:rFonts w:ascii="仿宋_GB2312" w:hAnsi="仿宋_GB2312" w:cs="仿宋_GB2312" w:eastAsia="仿宋_GB2312"/>
              </w:rPr>
              <w:t>银行账号：103714785487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渭南市数据服务中心</w:t>
      </w:r>
      <w:r>
        <w:rPr>
          <w:rFonts w:ascii="仿宋_GB2312" w:hAnsi="仿宋_GB2312" w:cs="仿宋_GB2312" w:eastAsia="仿宋_GB2312"/>
        </w:rPr>
        <w:t>和</w:t>
      </w:r>
      <w:r>
        <w:rPr>
          <w:rFonts w:ascii="仿宋_GB2312" w:hAnsi="仿宋_GB2312" w:cs="仿宋_GB2312" w:eastAsia="仿宋_GB2312"/>
        </w:rPr>
        <w:t>陕西嘉信至诚项目管理有限公司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渭南市数据服务中心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陕西嘉信至诚项目管理有限公司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渭南市数据服务中心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陕西嘉信至诚项目管理有限公司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行业标准、合同要求，以及采购文件技术要求、供应商响应文件等。供应商须提供合法、合规、有效的密码应用安全性评估报告。经采购人或相关专家验收，一致认为已达到相关要求的，视为验收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联系人：李绒</w:t>
      </w:r>
    </w:p>
    <w:p>
      <w:pPr>
        <w:pStyle w:val="null3"/>
      </w:pPr>
      <w:r>
        <w:rPr>
          <w:rFonts w:ascii="仿宋_GB2312" w:hAnsi="仿宋_GB2312" w:cs="仿宋_GB2312" w:eastAsia="仿宋_GB2312"/>
        </w:rPr>
        <w:t>联系电话：0913-2130688</w:t>
      </w:r>
    </w:p>
    <w:p>
      <w:pPr>
        <w:pStyle w:val="null3"/>
      </w:pPr>
      <w:r>
        <w:rPr>
          <w:rFonts w:ascii="仿宋_GB2312" w:hAnsi="仿宋_GB2312" w:cs="仿宋_GB2312" w:eastAsia="仿宋_GB2312"/>
        </w:rPr>
        <w:t>地址：陕西省渭南市临渭区解放路与双王街十字东南角商贸楼三楼东侧（槐衙曦和公馆南门斜对面）</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完成渭南市成品油综合服务智慧监管平台密码应用安全性评估全部内容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渭南市成品油综合服务智慧监管平台密码应用安全性评估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标的名称：渭南市成品油综合服务智慧监管平台密码应用安全性评估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一、基本要求</w:t>
            </w:r>
          </w:p>
          <w:p>
            <w:pPr>
              <w:pStyle w:val="null3"/>
            </w:pPr>
            <w:r>
              <w:rPr>
                <w:rFonts w:ascii="仿宋_GB2312" w:hAnsi="仿宋_GB2312" w:cs="仿宋_GB2312" w:eastAsia="仿宋_GB2312"/>
                <w:sz w:val="21"/>
              </w:rPr>
              <w:t>1.功能要求：完成渭南市成品油综合服务智慧监管平台密码应用安全性评估全部内容。</w:t>
            </w:r>
          </w:p>
          <w:p>
            <w:pPr>
              <w:pStyle w:val="null3"/>
            </w:pPr>
            <w:r>
              <w:rPr>
                <w:rFonts w:ascii="仿宋_GB2312" w:hAnsi="仿宋_GB2312" w:cs="仿宋_GB2312" w:eastAsia="仿宋_GB2312"/>
                <w:sz w:val="21"/>
              </w:rPr>
              <w:t>2.服务期限：三年</w:t>
            </w:r>
          </w:p>
          <w:p>
            <w:pPr>
              <w:pStyle w:val="null3"/>
            </w:pPr>
            <w:r>
              <w:rPr>
                <w:rFonts w:ascii="仿宋_GB2312" w:hAnsi="仿宋_GB2312" w:cs="仿宋_GB2312" w:eastAsia="仿宋_GB2312"/>
                <w:sz w:val="21"/>
              </w:rPr>
              <w:t>3.服务地点：渭南市</w:t>
            </w:r>
          </w:p>
          <w:p>
            <w:pPr>
              <w:pStyle w:val="null3"/>
            </w:pPr>
            <w:r>
              <w:rPr>
                <w:rFonts w:ascii="仿宋_GB2312" w:hAnsi="仿宋_GB2312" w:cs="仿宋_GB2312" w:eastAsia="仿宋_GB2312"/>
                <w:sz w:val="21"/>
                <w:b/>
              </w:rPr>
              <w:t>二、需执行的国家相关标准、行业标准、地方标准或者其他标准、规范</w:t>
            </w:r>
          </w:p>
          <w:p>
            <w:pPr>
              <w:pStyle w:val="null3"/>
            </w:pPr>
            <w:r>
              <w:rPr>
                <w:rFonts w:ascii="仿宋_GB2312" w:hAnsi="仿宋_GB2312" w:cs="仿宋_GB2312" w:eastAsia="仿宋_GB2312"/>
                <w:sz w:val="21"/>
              </w:rPr>
              <w:t>《中华人民共和国密码法》</w:t>
            </w:r>
          </w:p>
          <w:p>
            <w:pPr>
              <w:pStyle w:val="null3"/>
            </w:pPr>
            <w:r>
              <w:rPr>
                <w:rFonts w:ascii="仿宋_GB2312" w:hAnsi="仿宋_GB2312" w:cs="仿宋_GB2312" w:eastAsia="仿宋_GB2312"/>
                <w:sz w:val="21"/>
              </w:rPr>
              <w:t>《信息安全技术信息系统密码应用基本要求》（GB/T39786-2021）</w:t>
            </w:r>
          </w:p>
          <w:p>
            <w:pPr>
              <w:pStyle w:val="null3"/>
            </w:pPr>
            <w:r>
              <w:rPr>
                <w:rFonts w:ascii="仿宋_GB2312" w:hAnsi="仿宋_GB2312" w:cs="仿宋_GB2312" w:eastAsia="仿宋_GB2312"/>
                <w:sz w:val="21"/>
              </w:rPr>
              <w:t>《信息系统密码应用高风险判定指引》</w:t>
            </w:r>
          </w:p>
          <w:p>
            <w:pPr>
              <w:pStyle w:val="null3"/>
            </w:pPr>
            <w:r>
              <w:rPr>
                <w:rFonts w:ascii="仿宋_GB2312" w:hAnsi="仿宋_GB2312" w:cs="仿宋_GB2312" w:eastAsia="仿宋_GB2312"/>
                <w:sz w:val="21"/>
              </w:rPr>
              <w:t>《商用密码应用安全性评估量化评估规则》等标准。</w:t>
            </w:r>
          </w:p>
          <w:p>
            <w:pPr>
              <w:pStyle w:val="null3"/>
            </w:pPr>
            <w:r>
              <w:rPr>
                <w:rFonts w:ascii="仿宋_GB2312" w:hAnsi="仿宋_GB2312" w:cs="仿宋_GB2312" w:eastAsia="仿宋_GB2312"/>
                <w:sz w:val="21"/>
              </w:rPr>
              <w:t>需执行国家相关标准、行业标准、地方标准以及其他标准、规范，并统一执行最新标准规范。</w:t>
            </w:r>
          </w:p>
          <w:p>
            <w:pPr>
              <w:pStyle w:val="null3"/>
              <w:jc w:val="both"/>
            </w:pPr>
            <w:r>
              <w:rPr>
                <w:rFonts w:ascii="仿宋_GB2312" w:hAnsi="仿宋_GB2312" w:cs="仿宋_GB2312" w:eastAsia="仿宋_GB2312"/>
                <w:sz w:val="21"/>
                <w:b/>
              </w:rPr>
              <w:t>三、服务指标的具体要求</w:t>
            </w:r>
          </w:p>
          <w:p>
            <w:pPr>
              <w:pStyle w:val="null3"/>
              <w:jc w:val="both"/>
            </w:pPr>
            <w:r>
              <w:rPr>
                <w:rFonts w:ascii="仿宋_GB2312" w:hAnsi="仿宋_GB2312" w:cs="仿宋_GB2312" w:eastAsia="仿宋_GB2312"/>
                <w:sz w:val="21"/>
                <w:b/>
              </w:rPr>
              <w:t xml:space="preserve"> 1.服务内容</w:t>
            </w:r>
          </w:p>
          <w:p>
            <w:pPr>
              <w:pStyle w:val="null3"/>
              <w:ind w:firstLine="640"/>
              <w:jc w:val="both"/>
            </w:pPr>
            <w:r>
              <w:rPr>
                <w:rFonts w:ascii="仿宋_GB2312" w:hAnsi="仿宋_GB2312" w:cs="仿宋_GB2312" w:eastAsia="仿宋_GB2312"/>
                <w:sz w:val="21"/>
              </w:rPr>
              <w:t>根据《中华人民共和国密码法》等国家相关法律法规，按照《信息安全技术信息系统密码应用基本要求》GB/T39786-2021标准要求，结合《信息系统密码应用高风险判定指引》《商用密码应用安全性评估量化评估规则》等标准，对渭南市成品油综合服务智慧监管平台定期开展密码应用安全性评估，密码应用测评须满足合规性、正确性、有效性。</w:t>
            </w:r>
          </w:p>
          <w:p>
            <w:pPr>
              <w:pStyle w:val="null3"/>
              <w:ind w:firstLine="616"/>
              <w:jc w:val="both"/>
            </w:pPr>
            <w:r>
              <w:rPr>
                <w:rFonts w:ascii="仿宋_GB2312" w:hAnsi="仿宋_GB2312" w:cs="仿宋_GB2312" w:eastAsia="仿宋_GB2312"/>
                <w:sz w:val="21"/>
              </w:rPr>
              <w:t>针对被评系统，从技术要求、密钥管理、安全管理三个角度出发，围绕信息系统的物理和环境安全、网络和通信安全、设备和计算安全、应用和数据安全以及密钥管理、安全管理开展密码测评工作，发现信息系统与其相应安全等级要求之间的差距以及存在的安全隐患，为密码应用测评工作提供改进建议，保障信息系统密码合规、正确、有效地应用。具体内容如下：</w:t>
            </w:r>
          </w:p>
          <w:p>
            <w:pPr>
              <w:pStyle w:val="null3"/>
              <w:ind w:firstLine="640"/>
              <w:jc w:val="both"/>
            </w:pPr>
            <w:r>
              <w:rPr>
                <w:rFonts w:ascii="仿宋_GB2312" w:hAnsi="仿宋_GB2312" w:cs="仿宋_GB2312" w:eastAsia="仿宋_GB2312"/>
                <w:sz w:val="21"/>
              </w:rPr>
              <w:t>（1）评估准备：掌握被评系统的详细情况，准备评估工具，为编制评估方案做好准备。</w:t>
            </w:r>
          </w:p>
          <w:p>
            <w:pPr>
              <w:pStyle w:val="null3"/>
              <w:ind w:firstLine="640"/>
              <w:jc w:val="both"/>
            </w:pPr>
            <w:r>
              <w:rPr>
                <w:rFonts w:ascii="仿宋_GB2312" w:hAnsi="仿宋_GB2312" w:cs="仿宋_GB2312" w:eastAsia="仿宋_GB2312"/>
                <w:sz w:val="21"/>
              </w:rPr>
              <w:t>（2）方案编制：确定与被评系统相适应的评估对象、测评指标及测评内容等，形成评估方案，为实施现场评估提供依据。</w:t>
            </w:r>
          </w:p>
          <w:p>
            <w:pPr>
              <w:pStyle w:val="null3"/>
              <w:ind w:firstLine="640"/>
              <w:jc w:val="both"/>
            </w:pPr>
            <w:r>
              <w:rPr>
                <w:rFonts w:ascii="仿宋_GB2312" w:hAnsi="仿宋_GB2312" w:cs="仿宋_GB2312" w:eastAsia="仿宋_GB2312"/>
                <w:sz w:val="21"/>
              </w:rPr>
              <w:t>（3）现场评估：按照评估方案的总体要求，分步实施所有评估项目，包括单项评估、评估单元和整体评估等方面，以了解系统的真实保护情况，获取足够证据，发现系统存在的密码应用安全性问题。</w:t>
            </w:r>
          </w:p>
          <w:p>
            <w:pPr>
              <w:pStyle w:val="null3"/>
              <w:ind w:firstLine="616"/>
              <w:jc w:val="both"/>
            </w:pPr>
            <w:r>
              <w:rPr>
                <w:rFonts w:ascii="仿宋_GB2312" w:hAnsi="仿宋_GB2312" w:cs="仿宋_GB2312" w:eastAsia="仿宋_GB2312"/>
                <w:sz w:val="21"/>
              </w:rPr>
              <w:t>（4）分析与报告编制：根据现场评估结果和相关标准要求，通过单项评估结果判定、评估单元结果判定、整体评估和风险分析等方法，找出整个系统密码的安全保护现状与相应等级的保护要求之间的差距，并分析这些差距导致被评系统面临的风险，从而给出评估结论，形成评估报告文本。</w:t>
            </w:r>
          </w:p>
          <w:p>
            <w:pPr>
              <w:pStyle w:val="null3"/>
              <w:ind w:firstLine="640"/>
              <w:jc w:val="both"/>
            </w:pPr>
            <w:r>
              <w:rPr>
                <w:rFonts w:ascii="仿宋_GB2312" w:hAnsi="仿宋_GB2312" w:cs="仿宋_GB2312" w:eastAsia="仿宋_GB2312"/>
                <w:sz w:val="21"/>
              </w:rPr>
              <w:t>（5）整改：以评估发现的问题为重点，编写信息系统密码评估整改建议。</w:t>
            </w:r>
          </w:p>
          <w:p>
            <w:pPr>
              <w:pStyle w:val="null3"/>
              <w:ind w:firstLine="480"/>
              <w:jc w:val="both"/>
            </w:pPr>
            <w:r>
              <w:rPr>
                <w:rFonts w:ascii="仿宋_GB2312" w:hAnsi="仿宋_GB2312" w:cs="仿宋_GB2312" w:eastAsia="仿宋_GB2312"/>
                <w:sz w:val="21"/>
              </w:rPr>
              <w:t>2.交付成果</w:t>
            </w:r>
          </w:p>
          <w:p>
            <w:pPr>
              <w:pStyle w:val="null3"/>
              <w:ind w:firstLine="480"/>
              <w:jc w:val="both"/>
            </w:pPr>
            <w:r>
              <w:rPr>
                <w:rFonts w:ascii="仿宋_GB2312" w:hAnsi="仿宋_GB2312" w:cs="仿宋_GB2312" w:eastAsia="仿宋_GB2312"/>
                <w:sz w:val="21"/>
              </w:rPr>
              <w:t>除实际的服务工作外，本项目须提交成果资料，包括纸质文档装订成册3套，电子文档1套（电子版与纸质版内容一致），包括但不限于以下文档：密码应用测评方案、密码应用测评记录、密码应用测评报告（需包含测评依据、测评过程、测评内容、测评结果及测评结论）、密码应用测评整改建议。</w:t>
            </w:r>
          </w:p>
          <w:p>
            <w:pPr>
              <w:pStyle w:val="null3"/>
              <w:ind w:firstLine="640"/>
              <w:jc w:val="both"/>
            </w:pPr>
            <w:r>
              <w:rPr>
                <w:rFonts w:ascii="仿宋_GB2312" w:hAnsi="仿宋_GB2312" w:cs="仿宋_GB2312" w:eastAsia="仿宋_GB2312"/>
                <w:sz w:val="21"/>
              </w:rPr>
              <w:t>3.服务要求</w:t>
            </w:r>
          </w:p>
          <w:p>
            <w:pPr>
              <w:pStyle w:val="null3"/>
              <w:ind w:firstLine="640"/>
              <w:jc w:val="both"/>
            </w:pPr>
            <w:r>
              <w:rPr>
                <w:rFonts w:ascii="仿宋_GB2312" w:hAnsi="仿宋_GB2312" w:cs="仿宋_GB2312" w:eastAsia="仿宋_GB2312"/>
                <w:sz w:val="21"/>
              </w:rPr>
              <w:t>（1）归档要求：供应商按照采购人关于项目归档的相关要求，在项目完成验收后的20个工作日内协助完成项目成果资料的归档工作。</w:t>
            </w:r>
          </w:p>
          <w:p>
            <w:pPr>
              <w:pStyle w:val="null3"/>
              <w:ind w:firstLine="640"/>
              <w:jc w:val="both"/>
            </w:pPr>
            <w:r>
              <w:rPr>
                <w:rFonts w:ascii="仿宋_GB2312" w:hAnsi="仿宋_GB2312" w:cs="仿宋_GB2312" w:eastAsia="仿宋_GB2312"/>
                <w:sz w:val="21"/>
              </w:rPr>
              <w:t>（2）保密要求：1）供应商须签订保密协议，对其因身份、职务、职业或技术关系而知悉的采购人商业秘密和党政机关保密信息应严格保守秘密，保证不被披露或使用，包括因意外或过失的情况。 2）供应商不得以竞争为目的或出于私利或为第三人谋利而擅自保存、披露、使用采购人商业秘密和党政机关保密信息；不得直接或间接地向无关人员泄露采购人的商业秘密和党政机关保密信息；不得向不承担保密义务的任何第三人披露采购人的商业秘密和党政机关保密信息。供应商在从事政府项目时，不得擅自记录、复制、拍摄、摘抄、收藏在工作中涉及的保密信息，严禁将涉及政府项目的任何资料、数据透露或以其他方式提供给项目以外的其他方或供应商内部与该项目无关的任何人员。 3）供应商对于工作期间知悉采购人的商业秘密和党政机关保密信息（包括业务信息在内），或工作过程中接触到的政府机关文件（包括内部发文、各类通知及会议记录等）的内容，同样承担保密责任，严禁将政府机关内部会议、谈话内容泄露给无关人员；不得翻阅与工作无关的文件和资料。 4）严禁泄露在工作中接触到的政府机关科技研究、发明、装备器材及其技术资料和政府工作信息。</w:t>
            </w:r>
          </w:p>
          <w:p>
            <w:pPr>
              <w:pStyle w:val="null3"/>
              <w:ind w:firstLine="640"/>
              <w:jc w:val="both"/>
            </w:pPr>
            <w:r>
              <w:rPr>
                <w:rFonts w:ascii="仿宋_GB2312" w:hAnsi="仿宋_GB2312" w:cs="仿宋_GB2312" w:eastAsia="仿宋_GB2312"/>
                <w:sz w:val="21"/>
              </w:rPr>
              <w:t>（3）本项目实施过程中要求配备专用的设备以及工具。</w:t>
            </w:r>
          </w:p>
          <w:p>
            <w:pPr>
              <w:pStyle w:val="null3"/>
              <w:ind w:firstLine="640"/>
              <w:jc w:val="both"/>
            </w:pPr>
            <w:r>
              <w:rPr>
                <w:rFonts w:ascii="仿宋_GB2312" w:hAnsi="仿宋_GB2312" w:cs="仿宋_GB2312" w:eastAsia="仿宋_GB2312"/>
                <w:sz w:val="21"/>
              </w:rPr>
              <w:t>（4）在项目负责人员方面，应包括一名专职负责的项目负责人；在实施期内，项目负责人应根据项目需要到指定现场处理问题或交流情况。应保证为本项目配备足够的现场测评技术人员，构建测评工具环境，同时应保证足够的场外支持人员。</w:t>
            </w:r>
          </w:p>
          <w:p>
            <w:pPr>
              <w:pStyle w:val="null3"/>
              <w:ind w:firstLine="480"/>
              <w:jc w:val="both"/>
            </w:pPr>
            <w:r>
              <w:rPr>
                <w:rFonts w:ascii="仿宋_GB2312" w:hAnsi="仿宋_GB2312" w:cs="仿宋_GB2312" w:eastAsia="仿宋_GB2312"/>
                <w:sz w:val="21"/>
              </w:rPr>
              <w:t>配备的评估人员须具有商用密码应用安全性评估资格，并签署保密协议。</w:t>
            </w:r>
          </w:p>
          <w:p>
            <w:pPr>
              <w:pStyle w:val="null3"/>
              <w:ind w:firstLine="480"/>
              <w:jc w:val="both"/>
            </w:pPr>
            <w:r>
              <w:rPr>
                <w:rFonts w:ascii="仿宋_GB2312" w:hAnsi="仿宋_GB2312" w:cs="仿宋_GB2312" w:eastAsia="仿宋_GB2312"/>
                <w:sz w:val="21"/>
              </w:rPr>
              <w:t>（5）供应商在服务期内定期对系统开展密码应用安全性评估，每年至少对平台进行一次密码应用安全性评估，并出具符合国家密码管理部门要求的评估报告，并协助采购人完成报告备案。</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根据项目需求配置相应人员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根据项目需求配置相应人员</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1.合同终止或服务期结束后，应按照采购人要求，做好资料交接和工作衔接，保证项目业务连续性。 2.项目实施过程资料等完整准确。 3.供应商应履行采购人保密义务。 4.符合国家相关法律法规、行业规范及采购要求。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行业标准、合同要求，以及采购文件技术要求、供应商响应文件等。供应商须提供合法、合规、有效的密码应用安全性评估报告。经采购人或相关专家验收，一致认为已达到相关要求的，视为验收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预付款，合同签订生效后，达到付款条件起10个工作日内，支付合同总金额的40.0%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进度款，项目第二年完成全部密评工作，出具正式密评合格报告并通过甲方终验合格后，达到付款条件起10个工作日内，支付合同总金额的30.0%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进度款，项目第三年完成全部密评工作，出具正式密评合格报告并通过甲方终验合格后，达到付款条件起10个工作日内，支付合同总金额的30.0%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1.成交单位在成交结果公告发布后3个工作日内提供叁套纸质磋商响应文件（经编标工具生成的文件直接打印并加盖公章），递交的纸质版文件内容确保与线上电子文件保持一致，不允许修改和补充。 2.供应商应根据《政府采购促进中小企业发展管理办法》、《关于印发中小企业划型标准规定的通知》(工信部联企业(2011)300号)要求和采购文件中明确的采购标的所属行业进行企业划型。 3.出具磋商保证金交纳凭证或担保机构出具的保函（未按磋商文件要求提供响应无效）。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1.1供应商应具备独立承担民事责任能力的法人、其他组织或自然人，提供合法有效的统一社会信用代码的营业执照副本或相关证明（自然人提供身份证复印件）； 1.2提供具有财务审计资质单位出具的2024年度或2025年度的财务报告或响应文件提交截止时间前六个月内其基本账户银行出具的资信证明； 1.3供应商提供响应文件提交截止时间前一年内任意一个月的社会保障资金缴存证明或社保机构开具的社会保险参保缴费情况证明； 1.4供应商提供响应文件提交截止时间前一年内任意一个月的依法缴纳税收的相关证明，依法免税需提供相关证明材料； 1.5提供供应商参加政府采购活动前三年内经营活动中没有重大违法纪录的书面声明； 1.6提供具有履行合同所必需的设备和专业技术能力的声明。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法定代表人（负责人）或授权代表身份证明</w:t>
            </w:r>
          </w:p>
        </w:tc>
        <w:tc>
          <w:tcPr>
            <w:tcW w:type="dxa" w:w="3322"/>
          </w:tcPr>
          <w:p>
            <w:pPr>
              <w:pStyle w:val="null3"/>
            </w:pPr>
            <w:r>
              <w:rPr>
                <w:rFonts w:ascii="仿宋_GB2312" w:hAnsi="仿宋_GB2312" w:cs="仿宋_GB2312" w:eastAsia="仿宋_GB2312"/>
              </w:rPr>
              <w:t>供应商应授权合法的人员参加磋商全过程，其中法定代表人（负责人）直接参加的，须提供法定代表人（负责人）身份证明，并与营业执照上信息一致。法定代表人（负责人）授权代表参加的，须提供法定代表人（负责人）授权书及授权代表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供应商提供有效的《商用密码检测机构资质证书》；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供应商未列入“信用中国”网站（www.creditchina.gov.cn）失信被执行人、重大税收违法失信主体、政府采购严重违法失信行为记录名单和中国政府采购网（www.ccgp.gov.cn）政府采购严重违法失信行为记录名单；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供应商不得存在下列情形之一</w:t>
            </w:r>
          </w:p>
        </w:tc>
        <w:tc>
          <w:tcPr>
            <w:tcW w:type="dxa" w:w="3322"/>
          </w:tcPr>
          <w:p>
            <w:pPr>
              <w:pStyle w:val="null3"/>
            </w:pPr>
            <w:r>
              <w:rPr>
                <w:rFonts w:ascii="仿宋_GB2312" w:hAnsi="仿宋_GB2312" w:cs="仿宋_GB2312" w:eastAsia="仿宋_GB2312"/>
              </w:rPr>
              <w:t>供应商不得存在下列情形之一：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磋商响应文件签署、盖章</w:t>
            </w:r>
          </w:p>
        </w:tc>
        <w:tc>
          <w:tcPr>
            <w:tcW w:type="dxa" w:w="3322"/>
          </w:tcPr>
          <w:p>
            <w:pPr>
              <w:pStyle w:val="null3"/>
            </w:pPr>
            <w:r>
              <w:rPr>
                <w:rFonts w:ascii="仿宋_GB2312" w:hAnsi="仿宋_GB2312" w:cs="仿宋_GB2312" w:eastAsia="仿宋_GB2312"/>
              </w:rPr>
              <w:t>磋商响应文件签署、盖章满足磋商文件的要求。</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标的清单 报价表 商务应答表.docx 服务内容及服务邀请应答表.docx 响应函 服务方案.docx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投标（响应）有效期</w:t>
            </w:r>
          </w:p>
        </w:tc>
        <w:tc>
          <w:tcPr>
            <w:tcW w:type="dxa" w:w="3322"/>
          </w:tcPr>
          <w:p>
            <w:pPr>
              <w:pStyle w:val="null3"/>
            </w:pPr>
            <w:r>
              <w:rPr>
                <w:rFonts w:ascii="仿宋_GB2312" w:hAnsi="仿宋_GB2312" w:cs="仿宋_GB2312" w:eastAsia="仿宋_GB2312"/>
              </w:rPr>
              <w:t>投标（响应）有效期（90日历天）满足磋商文件的要求。</w:t>
            </w:r>
          </w:p>
        </w:tc>
        <w:tc>
          <w:tcPr>
            <w:tcW w:type="dxa" w:w="1661"/>
          </w:tcPr>
          <w:p>
            <w:pPr>
              <w:pStyle w:val="null3"/>
            </w:pPr>
            <w:r>
              <w:rPr>
                <w:rFonts w:ascii="仿宋_GB2312" w:hAnsi="仿宋_GB2312" w:cs="仿宋_GB2312" w:eastAsia="仿宋_GB2312"/>
              </w:rPr>
              <w:t>商务应答表.docx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供应商磋商报价未出现选择性报价，未超出采购最高限价。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合同履行期</w:t>
            </w:r>
          </w:p>
        </w:tc>
        <w:tc>
          <w:tcPr>
            <w:tcW w:type="dxa" w:w="3322"/>
          </w:tcPr>
          <w:p>
            <w:pPr>
              <w:pStyle w:val="null3"/>
            </w:pPr>
            <w:r>
              <w:rPr>
                <w:rFonts w:ascii="仿宋_GB2312" w:hAnsi="仿宋_GB2312" w:cs="仿宋_GB2312" w:eastAsia="仿宋_GB2312"/>
              </w:rPr>
              <w:t>合同履行期满足或优于采购要求。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响应文件中对合同草案条款未附加采购人难以接受的条件。</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质量标准达到国家现行行业验收规范“合格”标准及磋商文件要求。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磋商响应内容</w:t>
            </w:r>
          </w:p>
        </w:tc>
        <w:tc>
          <w:tcPr>
            <w:tcW w:type="dxa" w:w="3322"/>
          </w:tcPr>
          <w:p>
            <w:pPr>
              <w:pStyle w:val="null3"/>
            </w:pPr>
            <w:r>
              <w:rPr>
                <w:rFonts w:ascii="仿宋_GB2312" w:hAnsi="仿宋_GB2312" w:cs="仿宋_GB2312" w:eastAsia="仿宋_GB2312"/>
              </w:rPr>
              <w:t>供应商提供的货物(服务)无实质性遗漏。</w:t>
            </w:r>
          </w:p>
        </w:tc>
        <w:tc>
          <w:tcPr>
            <w:tcW w:type="dxa" w:w="1661"/>
          </w:tcPr>
          <w:p>
            <w:pPr>
              <w:pStyle w:val="null3"/>
            </w:pPr>
            <w:r>
              <w:rPr>
                <w:rFonts w:ascii="仿宋_GB2312" w:hAnsi="仿宋_GB2312" w:cs="仿宋_GB2312" w:eastAsia="仿宋_GB2312"/>
              </w:rPr>
              <w:t>商务应答表.docx 服务内容及服务邀请应答表.docx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项目理解程度</w:t>
            </w:r>
          </w:p>
        </w:tc>
        <w:tc>
          <w:tcPr>
            <w:tcW w:type="dxa" w:w="2492"/>
          </w:tcPr>
          <w:p>
            <w:pPr>
              <w:pStyle w:val="null3"/>
            </w:pPr>
            <w:r>
              <w:rPr>
                <w:rFonts w:ascii="仿宋_GB2312" w:hAnsi="仿宋_GB2312" w:cs="仿宋_GB2312" w:eastAsia="仿宋_GB2312"/>
              </w:rPr>
              <w:t>一、评审内容：对本项目的理解与重难点分析，包括不限于：①对项目的理解和认识；②项目重难点分析；③合理化建议等。 二、评审标准：以上3项，以序号①、②、③为项数，内容无缺项且无缺陷的得6分，其中每有一项内容存在缺项扣2分，每项内容中每有一处存在缺陷的扣0.5分，未提供不得分。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一、评审内容：针对本项目提供的密评方案，包括但不限于：①测评流程；②测评方法；③测评内容；④实施计划；⑤测评结果分析；⑥报告编制；⑦测试过程中需使用测试设备清单；⑧项目文档收集整理等。 二、评审标准：以上8项，以序号①、②、③、④、⑤、⑥、⑦、⑧为项数，内容无缺项且无缺陷的得24分，其中每有一项内容存在缺项扣3分，每项内容中每有一处存在缺陷的扣0.5分，未提供不得分。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一、评审内容：进度保证措施方案至少包含：①工作进度计划安排及保障措施；②关键节点安排。 二、评审标准：以上2项，以序号①、②为项数，内容无缺项且无缺陷的得4分，其中每有一项内容存在缺项扣2分，每项内容中每有一处存在缺陷的扣0.5分，未提供不得分。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安全管理及实施保障方案</w:t>
            </w:r>
          </w:p>
        </w:tc>
        <w:tc>
          <w:tcPr>
            <w:tcW w:type="dxa" w:w="2492"/>
          </w:tcPr>
          <w:p>
            <w:pPr>
              <w:pStyle w:val="null3"/>
            </w:pPr>
            <w:r>
              <w:rPr>
                <w:rFonts w:ascii="仿宋_GB2312" w:hAnsi="仿宋_GB2312" w:cs="仿宋_GB2312" w:eastAsia="仿宋_GB2312"/>
              </w:rPr>
              <w:t>一、针对本项目提供的安全管理及实施保障方案，包括但不限于：①安全管理制度；②风险评估及应对；③密码安全应急处置等。 二、评审标准：以上3项，以序号①、②、③为项数，内容无缺项且无缺陷的得6分，其中每有一项内容存在缺项扣2分，每项内容中每有一处存在缺陷的扣0.5分，未提供不得分。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一、供应商提供针对本项目的保密方案，包括但不限于：①相应的保密措施及保密管理制度；②测试过程的保密承诺；③保密信息范围及保密主体等。 二、评审标准：以上3项，以序号①、②、③为项数，内容无缺项且无缺陷的得6分，其中每有一项内容存在缺项扣2分，每项内容中每有一处存在缺陷的扣0.5分，未提供不得分。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拟派项目经理必须具有商用密码应用安全性评估从业人员考核成绩合格证明；另外项目经理具备信息系统项目管理师（高级）得1分；具备信创集成项目管理师（高级）得1分。该项满分2分。 注：需提供证书复印件加盖单位公章，同时需提供项目经理近1年内任意1个月交纳社会保险的凭据或有效期内的劳动合同复印件加盖单位公章。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项目成员</w:t>
            </w:r>
          </w:p>
        </w:tc>
        <w:tc>
          <w:tcPr>
            <w:tcW w:type="dxa" w:w="2492"/>
          </w:tcPr>
          <w:p>
            <w:pPr>
              <w:pStyle w:val="null3"/>
            </w:pPr>
            <w:r>
              <w:rPr>
                <w:rFonts w:ascii="仿宋_GB2312" w:hAnsi="仿宋_GB2312" w:cs="仿宋_GB2312" w:eastAsia="仿宋_GB2312"/>
              </w:rPr>
              <w:t>团队成员中具备渗透测试工程师（CISP-PTE）证书、密码技术应用员证书任意一项的，每人加1分，最多得3分。 注：同一人员取得多个证书的只加1分，人员须提供证书复印件和近1年内任意1个月交纳社会保险的凭据或有效期内的劳动合同复印件加盖单位公章。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一、评审内容：提供针对本项目提供项目服务团队及管理方案，包括但不限于：①服务团队成员管理组织架构、团队人员配置清单（设有项目经理及技术团队）；②岗位职责安排；③服务人员数量、工作经验及年限；④人员管理制度等。 二、评审标准：以上4项，以序号①、②、③、④为项数，内容无缺项且无缺陷的得8分，其中每有一项内容存在缺项扣2分，每项内容中每有一处存在缺陷的扣0.5分，未提供不得分。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一、评审内容：提供质量保证方案，包括但不限于①质量控制体系；②质量保证措施等。 二、评审标准：以上2项，以序号①、②为项数，内容无缺项且无缺陷的得4分，其中每有一项内容存在缺项扣2分，每项内容中每有一处存在缺陷的扣0.5分，未提供不得分。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一、评审内容：为保障在测评项目结束后的数据和信息安全，供应商需提供售后服务，包括但不限于：①应急响应服务；②电话支持服务；③配合检查服务；④安全咨询服务等内容。 二、评审标准：以上4项，以序号①、②、③、④为项数，内容无缺项且无缺陷的得8分，其中每有一项内容存在缺项扣2分，每项内容中每有一处存在缺陷的扣0.5分，未提供不得分。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5月1日起至今类似项目业绩，每提供一项得3分，最高得9分。（提供合同复印件或中标（成交）通知书复印件加盖公章。如提供中标（成交）通知书，以中标（成交）通知书发放时间为准；如提供合同，以合同签订日期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满足磋商文件要求且最后报价最低的供应商的价格为磋商基准价，其价格分为满分。其他供应商的价格分统一按照下列公式计算：投标报价得分=（磋商基准价/最后磋商报价）×20%×100 注：本项目为专门面向中小企业，符合磋商文件规定的小微企业、监狱企业、残疾人福利性单位优惠条件的投标人价格不再予以扣除。</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