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FA71E">
      <w:pPr>
        <w:jc w:val="both"/>
        <w:rPr>
          <w:rFonts w:hint="eastAsia" w:ascii="宋体" w:hAnsi="宋体" w:eastAsia="宋体" w:cs="宋体"/>
          <w:b/>
          <w:bCs/>
          <w:color w:val="auto"/>
          <w:spacing w:val="12"/>
          <w:sz w:val="24"/>
          <w:szCs w:val="24"/>
          <w:highlight w:val="none"/>
          <w:lang w:val="en-US" w:eastAsia="zh-CN"/>
        </w:rPr>
      </w:pPr>
      <w:bookmarkStart w:id="0" w:name="_Toc523903421"/>
    </w:p>
    <w:p w14:paraId="1C68C969">
      <w:pPr>
        <w:jc w:val="center"/>
        <w:rPr>
          <w:rFonts w:hint="eastAsia" w:ascii="宋体" w:hAnsi="宋体" w:eastAsia="宋体" w:cs="宋体"/>
          <w:b/>
          <w:bCs/>
          <w:color w:val="auto"/>
          <w:spacing w:val="12"/>
          <w:sz w:val="24"/>
          <w:szCs w:val="24"/>
          <w:highlight w:val="none"/>
          <w:lang w:val="en-US" w:eastAsia="zh-CN"/>
        </w:rPr>
      </w:pPr>
    </w:p>
    <w:p w14:paraId="260D3E96">
      <w:pPr>
        <w:pStyle w:val="5"/>
        <w:ind w:firstLine="180"/>
        <w:jc w:val="center"/>
        <w:rPr>
          <w:rFonts w:hint="eastAsia" w:ascii="宋体" w:hAnsi="宋体" w:eastAsia="宋体" w:cs="宋体"/>
          <w:b/>
          <w:bCs/>
          <w:color w:val="000000"/>
          <w:spacing w:val="0"/>
          <w:w w:val="100"/>
          <w:sz w:val="44"/>
          <w:szCs w:val="44"/>
          <w:lang w:val="en-US" w:eastAsia="zh-CN"/>
        </w:rPr>
      </w:pPr>
      <w:r>
        <w:rPr>
          <w:rFonts w:hint="eastAsia" w:ascii="宋体" w:hAnsi="宋体" w:eastAsia="宋体" w:cs="宋体"/>
          <w:b/>
          <w:bCs/>
          <w:color w:val="000000"/>
          <w:spacing w:val="0"/>
          <w:w w:val="100"/>
          <w:sz w:val="44"/>
          <w:szCs w:val="44"/>
          <w:lang w:val="en-US" w:eastAsia="zh-CN"/>
        </w:rPr>
        <w:t>渭南市成品油综合服务智慧监管平台</w:t>
      </w:r>
    </w:p>
    <w:p w14:paraId="68309C2D">
      <w:pPr>
        <w:pStyle w:val="5"/>
        <w:ind w:firstLine="180"/>
        <w:jc w:val="center"/>
        <w:rPr>
          <w:rFonts w:hint="eastAsia" w:ascii="宋体" w:hAnsi="宋体" w:eastAsia="宋体" w:cs="宋体"/>
          <w:w w:val="100"/>
          <w:sz w:val="44"/>
          <w:szCs w:val="44"/>
        </w:rPr>
      </w:pPr>
      <w:r>
        <w:rPr>
          <w:rFonts w:hint="eastAsia" w:ascii="宋体" w:hAnsi="宋体" w:eastAsia="宋体" w:cs="宋体"/>
          <w:b/>
          <w:bCs/>
          <w:color w:val="000000"/>
          <w:spacing w:val="0"/>
          <w:w w:val="100"/>
          <w:sz w:val="44"/>
          <w:szCs w:val="44"/>
          <w:lang w:val="en-US" w:eastAsia="zh-CN"/>
        </w:rPr>
        <w:t>密码应用安全性评估</w:t>
      </w:r>
    </w:p>
    <w:p w14:paraId="3E8A951C">
      <w:pPr>
        <w:jc w:val="center"/>
        <w:rPr>
          <w:rFonts w:hint="eastAsia" w:ascii="宋体" w:hAnsi="宋体" w:eastAsia="宋体" w:cs="宋体"/>
          <w:b/>
          <w:bCs/>
          <w:color w:val="auto"/>
          <w:spacing w:val="12"/>
          <w:sz w:val="40"/>
          <w:szCs w:val="40"/>
          <w:highlight w:val="none"/>
          <w:lang w:val="en-US" w:eastAsia="zh-CN"/>
        </w:rPr>
      </w:pPr>
    </w:p>
    <w:p w14:paraId="7735854D">
      <w:pPr>
        <w:jc w:val="center"/>
        <w:rPr>
          <w:rFonts w:hint="eastAsia" w:ascii="宋体" w:hAnsi="宋体" w:eastAsia="宋体" w:cs="宋体"/>
          <w:sz w:val="40"/>
          <w:szCs w:val="40"/>
        </w:rPr>
      </w:pPr>
    </w:p>
    <w:p w14:paraId="49290ED9">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合</w:t>
      </w:r>
    </w:p>
    <w:p w14:paraId="17C6CC17">
      <w:pPr>
        <w:jc w:val="center"/>
        <w:rPr>
          <w:rFonts w:hint="eastAsia" w:ascii="宋体" w:hAnsi="宋体" w:eastAsia="宋体" w:cs="宋体"/>
          <w:b/>
          <w:color w:val="auto"/>
          <w:sz w:val="52"/>
          <w:szCs w:val="52"/>
          <w:highlight w:val="none"/>
        </w:rPr>
      </w:pPr>
    </w:p>
    <w:p w14:paraId="64891CA2">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同</w:t>
      </w:r>
    </w:p>
    <w:p w14:paraId="45313CB4">
      <w:pPr>
        <w:jc w:val="center"/>
        <w:rPr>
          <w:rFonts w:hint="eastAsia" w:ascii="宋体" w:hAnsi="宋体" w:eastAsia="宋体" w:cs="宋体"/>
          <w:b/>
          <w:color w:val="auto"/>
          <w:sz w:val="52"/>
          <w:szCs w:val="52"/>
          <w:highlight w:val="none"/>
        </w:rPr>
      </w:pPr>
    </w:p>
    <w:p w14:paraId="03F2EB4B">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书</w:t>
      </w:r>
    </w:p>
    <w:p w14:paraId="1CF4F76D">
      <w:pPr>
        <w:rPr>
          <w:rFonts w:hint="eastAsia" w:ascii="宋体" w:hAnsi="宋体" w:eastAsia="宋体" w:cs="宋体"/>
          <w:b/>
          <w:color w:val="auto"/>
          <w:sz w:val="48"/>
          <w:szCs w:val="48"/>
          <w:highlight w:val="none"/>
        </w:rPr>
      </w:pPr>
    </w:p>
    <w:p w14:paraId="41A9A480">
      <w:pPr>
        <w:rPr>
          <w:rFonts w:hint="eastAsia" w:ascii="宋体" w:hAnsi="宋体" w:eastAsia="宋体" w:cs="宋体"/>
          <w:b/>
          <w:color w:val="auto"/>
          <w:sz w:val="40"/>
          <w:szCs w:val="40"/>
          <w:highlight w:val="none"/>
        </w:rPr>
      </w:pPr>
    </w:p>
    <w:p w14:paraId="00CE7117">
      <w:pPr>
        <w:rPr>
          <w:rFonts w:hint="eastAsia" w:ascii="宋体" w:hAnsi="宋体" w:eastAsia="宋体" w:cs="宋体"/>
          <w:b/>
          <w:color w:val="auto"/>
          <w:sz w:val="40"/>
          <w:szCs w:val="40"/>
          <w:highlight w:val="none"/>
        </w:rPr>
      </w:pPr>
    </w:p>
    <w:p w14:paraId="502BDD4F">
      <w:pPr>
        <w:rPr>
          <w:rFonts w:hint="eastAsia" w:ascii="宋体" w:hAnsi="宋体" w:eastAsia="宋体" w:cs="宋体"/>
          <w:b/>
          <w:color w:val="auto"/>
          <w:sz w:val="40"/>
          <w:szCs w:val="40"/>
          <w:highlight w:val="none"/>
        </w:rPr>
      </w:pPr>
    </w:p>
    <w:tbl>
      <w:tblPr>
        <w:tblStyle w:val="7"/>
        <w:tblW w:w="4194" w:type="dxa"/>
        <w:jc w:val="center"/>
        <w:tblLayout w:type="fixed"/>
        <w:tblCellMar>
          <w:top w:w="0" w:type="dxa"/>
          <w:left w:w="108" w:type="dxa"/>
          <w:bottom w:w="0" w:type="dxa"/>
          <w:right w:w="108" w:type="dxa"/>
        </w:tblCellMar>
      </w:tblPr>
      <w:tblGrid>
        <w:gridCol w:w="4194"/>
      </w:tblGrid>
      <w:tr w14:paraId="742505E9">
        <w:tblPrEx>
          <w:tblCellMar>
            <w:top w:w="0" w:type="dxa"/>
            <w:left w:w="108" w:type="dxa"/>
            <w:bottom w:w="0" w:type="dxa"/>
            <w:right w:w="108" w:type="dxa"/>
          </w:tblCellMar>
        </w:tblPrEx>
        <w:trPr>
          <w:trHeight w:val="755" w:hRule="atLeast"/>
          <w:jc w:val="center"/>
        </w:trPr>
        <w:tc>
          <w:tcPr>
            <w:tcW w:w="4194" w:type="dxa"/>
            <w:noWrap w:val="0"/>
            <w:vAlign w:val="top"/>
          </w:tcPr>
          <w:p w14:paraId="4908BEEB">
            <w:pPr>
              <w:rPr>
                <w:rFonts w:hint="eastAsia" w:ascii="宋体" w:hAnsi="宋体" w:eastAsia="宋体" w:cs="宋体"/>
                <w:b/>
                <w:bCs/>
                <w:color w:val="auto"/>
                <w:sz w:val="32"/>
                <w:szCs w:val="32"/>
                <w:highlight w:val="none"/>
                <w:lang w:eastAsia="zh-CN"/>
              </w:rPr>
            </w:pPr>
            <w:r>
              <w:rPr>
                <w:rFonts w:hint="eastAsia" w:ascii="宋体" w:hAnsi="宋体" w:eastAsia="宋体" w:cs="宋体"/>
                <w:b/>
                <w:color w:val="auto"/>
                <w:sz w:val="32"/>
                <w:szCs w:val="32"/>
                <w:highlight w:val="none"/>
              </w:rPr>
              <w:t>甲方：</w:t>
            </w:r>
            <w:r>
              <w:rPr>
                <w:rFonts w:hint="eastAsia" w:ascii="宋体" w:hAnsi="宋体" w:cs="宋体"/>
                <w:b/>
                <w:color w:val="auto"/>
                <w:sz w:val="32"/>
                <w:szCs w:val="32"/>
                <w:highlight w:val="none"/>
                <w:lang w:val="en-US" w:eastAsia="zh-CN"/>
              </w:rPr>
              <w:t xml:space="preserve"> </w:t>
            </w:r>
          </w:p>
        </w:tc>
      </w:tr>
      <w:tr w14:paraId="556B0FD8">
        <w:tblPrEx>
          <w:tblCellMar>
            <w:top w:w="0" w:type="dxa"/>
            <w:left w:w="108" w:type="dxa"/>
            <w:bottom w:w="0" w:type="dxa"/>
            <w:right w:w="108" w:type="dxa"/>
          </w:tblCellMar>
        </w:tblPrEx>
        <w:trPr>
          <w:trHeight w:val="755" w:hRule="atLeast"/>
          <w:jc w:val="center"/>
        </w:trPr>
        <w:tc>
          <w:tcPr>
            <w:tcW w:w="4194" w:type="dxa"/>
            <w:noWrap w:val="0"/>
            <w:vAlign w:val="top"/>
          </w:tcPr>
          <w:p w14:paraId="3EE29FC4">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乙方：</w:t>
            </w:r>
          </w:p>
        </w:tc>
      </w:tr>
      <w:tr w14:paraId="736E7BAF">
        <w:tblPrEx>
          <w:tblCellMar>
            <w:top w:w="0" w:type="dxa"/>
            <w:left w:w="108" w:type="dxa"/>
            <w:bottom w:w="0" w:type="dxa"/>
            <w:right w:w="108" w:type="dxa"/>
          </w:tblCellMar>
        </w:tblPrEx>
        <w:trPr>
          <w:trHeight w:val="755" w:hRule="atLeast"/>
          <w:jc w:val="center"/>
        </w:trPr>
        <w:tc>
          <w:tcPr>
            <w:tcW w:w="4194" w:type="dxa"/>
            <w:noWrap w:val="0"/>
            <w:vAlign w:val="top"/>
          </w:tcPr>
          <w:p w14:paraId="38E22180">
            <w:pP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rPr>
              <w:t>日期：</w:t>
            </w:r>
            <w:r>
              <w:rPr>
                <w:rFonts w:hint="eastAsia" w:ascii="宋体" w:hAnsi="宋体" w:eastAsia="宋体" w:cs="宋体"/>
                <w:b/>
                <w:color w:val="auto"/>
                <w:sz w:val="32"/>
                <w:szCs w:val="32"/>
                <w:highlight w:val="none"/>
                <w:lang w:val="en-US" w:eastAsia="zh-CN"/>
              </w:rPr>
              <w:t xml:space="preserve"> </w:t>
            </w:r>
          </w:p>
        </w:tc>
      </w:tr>
    </w:tbl>
    <w:p w14:paraId="7FA98818">
      <w:pPr>
        <w:tabs>
          <w:tab w:val="left" w:pos="735"/>
        </w:tabs>
        <w:autoSpaceDE w:val="0"/>
        <w:autoSpaceDN w:val="0"/>
        <w:adjustRightInd w:val="0"/>
        <w:snapToGrid w:val="0"/>
        <w:spacing w:line="360" w:lineRule="auto"/>
        <w:rPr>
          <w:rFonts w:hint="eastAsia" w:ascii="宋体" w:hAnsi="宋体" w:eastAsia="宋体" w:cs="宋体"/>
          <w:b/>
          <w:bCs/>
          <w:color w:val="auto"/>
          <w:sz w:val="24"/>
          <w:szCs w:val="24"/>
          <w:highlight w:val="none"/>
          <w:lang w:val="zh-CN"/>
        </w:rPr>
      </w:pPr>
    </w:p>
    <w:bookmarkEnd w:id="0"/>
    <w:p w14:paraId="0E888DB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2C6501A3">
      <w:pPr>
        <w:keepNext w:val="0"/>
        <w:keepLines w:val="0"/>
        <w:pageBreakBefore w:val="0"/>
        <w:widowControl w:val="0"/>
        <w:kinsoku/>
        <w:wordWrap/>
        <w:overflowPunct/>
        <w:topLinePunct w:val="0"/>
        <w:autoSpaceDE/>
        <w:autoSpaceDN/>
        <w:bidi w:val="0"/>
        <w:adjustRightInd/>
        <w:snapToGrid/>
        <w:spacing w:line="360" w:lineRule="auto"/>
        <w:ind w:firstLine="436" w:firstLineChars="200"/>
        <w:textAlignment w:val="auto"/>
        <w:rPr>
          <w:rFonts w:hint="eastAsia" w:ascii="宋体" w:hAnsi="宋体" w:eastAsia="宋体" w:cs="宋体"/>
          <w:color w:val="auto"/>
          <w:spacing w:val="-11"/>
          <w:sz w:val="24"/>
          <w:szCs w:val="24"/>
          <w:highlight w:val="none"/>
        </w:rPr>
      </w:pPr>
    </w:p>
    <w:p w14:paraId="70DC5AAE">
      <w:pPr>
        <w:keepNext w:val="0"/>
        <w:keepLines w:val="0"/>
        <w:pageBreakBefore w:val="0"/>
        <w:widowControl w:val="0"/>
        <w:kinsoku/>
        <w:wordWrap/>
        <w:overflowPunct/>
        <w:topLinePunct w:val="0"/>
        <w:autoSpaceDE/>
        <w:autoSpaceDN/>
        <w:bidi w:val="0"/>
        <w:adjustRightInd/>
        <w:snapToGrid/>
        <w:spacing w:line="360" w:lineRule="auto"/>
        <w:ind w:firstLine="436" w:firstLineChars="200"/>
        <w:textAlignment w:val="auto"/>
        <w:rPr>
          <w:rFonts w:hint="eastAsia" w:ascii="宋体" w:hAnsi="宋体" w:eastAsia="宋体" w:cs="宋体"/>
          <w:color w:val="auto"/>
          <w:spacing w:val="-11"/>
          <w:sz w:val="24"/>
          <w:szCs w:val="24"/>
          <w:highlight w:val="none"/>
        </w:rPr>
      </w:pPr>
      <w:r>
        <w:rPr>
          <w:rFonts w:hint="eastAsia" w:ascii="宋体" w:hAnsi="宋体" w:eastAsia="宋体" w:cs="宋体"/>
          <w:color w:val="auto"/>
          <w:spacing w:val="-11"/>
          <w:sz w:val="24"/>
          <w:szCs w:val="24"/>
          <w:highlight w:val="none"/>
        </w:rPr>
        <w:t>根据《中华人民共和国民法典》</w:t>
      </w:r>
      <w:r>
        <w:rPr>
          <w:rFonts w:hint="eastAsia" w:ascii="宋体" w:hAnsi="宋体" w:eastAsia="宋体" w:cs="宋体"/>
          <w:color w:val="auto"/>
          <w:spacing w:val="-11"/>
          <w:sz w:val="24"/>
          <w:szCs w:val="24"/>
          <w:highlight w:val="none"/>
          <w:lang w:eastAsia="zh-CN"/>
        </w:rPr>
        <w:t>《</w:t>
      </w:r>
      <w:r>
        <w:rPr>
          <w:rFonts w:hint="eastAsia" w:ascii="宋体" w:hAnsi="宋体" w:eastAsia="宋体" w:cs="宋体"/>
          <w:color w:val="auto"/>
          <w:spacing w:val="-11"/>
          <w:sz w:val="24"/>
          <w:szCs w:val="24"/>
          <w:highlight w:val="none"/>
          <w:lang w:val="en-US" w:eastAsia="zh-CN"/>
        </w:rPr>
        <w:t>中华人民共和国政府采购法</w:t>
      </w:r>
      <w:r>
        <w:rPr>
          <w:rFonts w:hint="eastAsia" w:ascii="宋体" w:hAnsi="宋体" w:eastAsia="宋体" w:cs="宋体"/>
          <w:color w:val="auto"/>
          <w:spacing w:val="-11"/>
          <w:sz w:val="24"/>
          <w:szCs w:val="24"/>
          <w:highlight w:val="none"/>
          <w:lang w:eastAsia="zh-CN"/>
        </w:rPr>
        <w:t>》</w:t>
      </w:r>
      <w:r>
        <w:rPr>
          <w:rFonts w:hint="eastAsia" w:ascii="宋体" w:hAnsi="宋体" w:eastAsia="宋体" w:cs="宋体"/>
          <w:color w:val="auto"/>
          <w:spacing w:val="-11"/>
          <w:sz w:val="24"/>
          <w:szCs w:val="24"/>
          <w:highlight w:val="none"/>
        </w:rPr>
        <w:t>及相关法律法规的规定，甲乙双方在平等、自愿、公平、协商一致的基础上，就甲方委托乙方提供</w:t>
      </w:r>
      <w:r>
        <w:rPr>
          <w:rFonts w:hint="eastAsia" w:ascii="宋体" w:hAnsi="宋体" w:cs="宋体"/>
          <w:color w:val="auto"/>
          <w:spacing w:val="-11"/>
          <w:sz w:val="24"/>
          <w:szCs w:val="24"/>
          <w:highlight w:val="none"/>
          <w:u w:val="single"/>
          <w:lang w:val="en-US" w:eastAsia="zh-CN"/>
        </w:rPr>
        <w:t xml:space="preserve">  （项目名称）</w:t>
      </w:r>
      <w:r>
        <w:rPr>
          <w:rFonts w:hint="eastAsia" w:ascii="宋体" w:hAnsi="宋体" w:eastAsia="宋体" w:cs="宋体"/>
          <w:color w:val="auto"/>
          <w:spacing w:val="-11"/>
          <w:sz w:val="24"/>
          <w:szCs w:val="24"/>
          <w:highlight w:val="none"/>
        </w:rPr>
        <w:t>的有关事宜达成如下协议：</w:t>
      </w:r>
    </w:p>
    <w:p w14:paraId="35BC87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第一条 服务内容</w:t>
      </w:r>
    </w:p>
    <w:p w14:paraId="2930DE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1.甲方委托乙方提供</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pacing w:val="-11"/>
          <w:sz w:val="24"/>
          <w:szCs w:val="24"/>
          <w:highlight w:val="none"/>
          <w:u w:val="single"/>
          <w:lang w:val="en-US" w:eastAsia="zh-CN"/>
        </w:rPr>
        <w:t xml:space="preserve">（项目名称）  </w:t>
      </w:r>
      <w:r>
        <w:rPr>
          <w:rFonts w:hint="eastAsia" w:ascii="宋体" w:hAnsi="宋体" w:eastAsia="宋体" w:cs="宋体"/>
          <w:color w:val="auto"/>
          <w:sz w:val="24"/>
          <w:szCs w:val="24"/>
          <w:highlight w:val="none"/>
        </w:rPr>
        <w:t>(以下称“本项目”)</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。本项目的</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应当符合</w:t>
      </w:r>
      <w:r>
        <w:rPr>
          <w:rFonts w:hint="eastAsia" w:ascii="宋体" w:hAnsi="宋体" w:eastAsia="宋体" w:cs="宋体"/>
          <w:color w:val="auto"/>
          <w:sz w:val="24"/>
          <w:szCs w:val="24"/>
          <w:highlight w:val="none"/>
          <w:u w:val="none"/>
          <w:lang w:val="en-US" w:eastAsia="zh-CN"/>
        </w:rPr>
        <w:t>磋商文件</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磋商响应文件以及</w:t>
      </w:r>
      <w:r>
        <w:rPr>
          <w:rFonts w:hint="eastAsia" w:ascii="宋体" w:hAnsi="宋体" w:eastAsia="宋体" w:cs="宋体"/>
          <w:color w:val="auto"/>
          <w:sz w:val="24"/>
          <w:szCs w:val="24"/>
          <w:highlight w:val="none"/>
          <w:lang w:val="en-US" w:eastAsia="zh-CN"/>
        </w:rPr>
        <w:t>相关法律法规</w:t>
      </w:r>
      <w:r>
        <w:rPr>
          <w:rFonts w:hint="eastAsia" w:ascii="宋体" w:hAnsi="宋体" w:eastAsia="宋体" w:cs="宋体"/>
          <w:color w:val="auto"/>
          <w:sz w:val="24"/>
          <w:szCs w:val="24"/>
          <w:highlight w:val="none"/>
        </w:rPr>
        <w:t>中规定的各项技术指标和技术参数要求。</w:t>
      </w:r>
    </w:p>
    <w:p w14:paraId="28B319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2.</w:t>
      </w:r>
      <w:r>
        <w:rPr>
          <w:rFonts w:hint="eastAsia" w:ascii="宋体" w:hAnsi="宋体" w:eastAsia="宋体" w:cs="宋体"/>
          <w:color w:val="auto"/>
          <w:sz w:val="24"/>
          <w:szCs w:val="24"/>
          <w:highlight w:val="none"/>
          <w:lang w:val="en-US" w:eastAsia="zh-CN"/>
        </w:rPr>
        <w:t>服务指标的具体要求</w:t>
      </w:r>
    </w:p>
    <w:p w14:paraId="110985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乙方提供的服务内容包括</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7443D72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成果交付</w:t>
      </w:r>
    </w:p>
    <w:p w14:paraId="4B35D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成果交付</w:t>
      </w:r>
      <w:r>
        <w:rPr>
          <w:rFonts w:hint="eastAsia" w:ascii="宋体" w:hAnsi="宋体" w:cs="宋体"/>
          <w:color w:val="auto"/>
          <w:sz w:val="24"/>
          <w:szCs w:val="24"/>
          <w:highlight w:val="none"/>
          <w:lang w:val="en-US" w:eastAsia="zh-CN"/>
        </w:rPr>
        <w:t>内容及形式</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3EA6FE4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期限</w:t>
      </w:r>
    </w:p>
    <w:p w14:paraId="0FC9AE6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期限</w:t>
      </w:r>
      <w:r>
        <w:rPr>
          <w:rFonts w:hint="eastAsia" w:ascii="宋体" w:hAnsi="宋体" w:eastAsia="宋体" w:cs="宋体"/>
          <w:color w:val="auto"/>
          <w:sz w:val="24"/>
          <w:szCs w:val="24"/>
          <w:highlight w:val="none"/>
          <w:lang w:eastAsia="zh-CN"/>
        </w:rPr>
        <w:t>：</w:t>
      </w:r>
      <w:r>
        <w:rPr>
          <w:rFonts w:hint="eastAsia" w:ascii="宋体" w:hAnsi="宋体" w:eastAsia="宋体" w:cs="宋体"/>
          <w:i w:val="0"/>
          <w:iCs w:val="0"/>
          <w:caps w:val="0"/>
          <w:color w:val="auto"/>
          <w:spacing w:val="0"/>
          <w:sz w:val="24"/>
          <w:szCs w:val="24"/>
          <w:u w:val="single"/>
          <w:shd w:val="clear" w:color="auto" w:fill="FFFFFF"/>
          <w:lang w:val="en-US" w:eastAsia="zh-CN"/>
        </w:rPr>
        <w:t xml:space="preserve">                         </w:t>
      </w:r>
      <w:r>
        <w:rPr>
          <w:rFonts w:hint="eastAsia" w:ascii="宋体" w:hAnsi="宋体" w:eastAsia="宋体" w:cs="宋体"/>
          <w:color w:val="auto"/>
          <w:sz w:val="24"/>
          <w:szCs w:val="24"/>
          <w:highlight w:val="none"/>
          <w:lang w:val="en-US" w:eastAsia="zh-CN"/>
        </w:rPr>
        <w:t>（自</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日起至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日止）</w:t>
      </w:r>
    </w:p>
    <w:p w14:paraId="2857A3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第二条 合同价款及付款方式</w:t>
      </w:r>
    </w:p>
    <w:p w14:paraId="19E46942">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1.合同价款总额为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6BB9B0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本合同价</w:t>
      </w:r>
      <w:r>
        <w:rPr>
          <w:rFonts w:hint="eastAsia" w:ascii="宋体" w:hAnsi="宋体" w:eastAsia="宋体" w:cs="宋体"/>
          <w:color w:val="auto"/>
          <w:sz w:val="24"/>
          <w:szCs w:val="24"/>
          <w:highlight w:val="none"/>
          <w:lang w:val="en-US" w:eastAsia="zh-CN"/>
        </w:rPr>
        <w:t>为固定包干价，包含人工费、服务费、管理费、税金等完成该项目所需的所有费用，履约期间甲方不再另行支付其他任何费用。）</w:t>
      </w:r>
    </w:p>
    <w:p w14:paraId="0A0CA993">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2.付款方式和期限：</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p>
    <w:p w14:paraId="46BDAE33">
      <w:pPr>
        <w:keepNext w:val="0"/>
        <w:keepLines w:val="0"/>
        <w:pageBreakBefore w:val="0"/>
        <w:bidi w:val="0"/>
        <w:spacing w:line="500" w:lineRule="exact"/>
        <w:ind w:firstLine="482" w:firstLineChars="200"/>
        <w:rPr>
          <w:rFonts w:hint="eastAsia" w:ascii="宋体" w:hAnsi="宋体" w:eastAsia="宋体" w:cs="宋体"/>
          <w:b/>
          <w:snapToGrid w:val="0"/>
          <w:color w:val="auto"/>
          <w:spacing w:val="0"/>
          <w:kern w:val="44"/>
          <w:sz w:val="24"/>
          <w:szCs w:val="24"/>
          <w:highlight w:val="none"/>
          <w:lang w:val="zh-CN" w:bidi="zh-CN"/>
        </w:rPr>
      </w:pPr>
      <w:r>
        <w:rPr>
          <w:rFonts w:hint="eastAsia" w:ascii="宋体" w:hAnsi="宋体" w:eastAsia="宋体" w:cs="宋体"/>
          <w:b/>
          <w:bCs/>
          <w:color w:val="auto"/>
          <w:spacing w:val="0"/>
          <w:sz w:val="24"/>
          <w:szCs w:val="24"/>
          <w:highlight w:val="none"/>
          <w:lang w:val="en-US" w:eastAsia="zh-CN"/>
        </w:rPr>
        <w:t xml:space="preserve">第三条 </w:t>
      </w:r>
      <w:r>
        <w:rPr>
          <w:rFonts w:hint="eastAsia" w:ascii="宋体" w:hAnsi="宋体" w:eastAsia="宋体" w:cs="宋体"/>
          <w:b/>
          <w:snapToGrid w:val="0"/>
          <w:color w:val="auto"/>
          <w:spacing w:val="0"/>
          <w:kern w:val="44"/>
          <w:sz w:val="24"/>
          <w:szCs w:val="24"/>
          <w:highlight w:val="none"/>
          <w:lang w:val="zh-CN" w:bidi="zh-CN"/>
        </w:rPr>
        <w:t>甲乙双方的权利和义务</w:t>
      </w:r>
    </w:p>
    <w:p w14:paraId="23ABDB2B">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1、</w:t>
      </w:r>
      <w:r>
        <w:rPr>
          <w:rFonts w:hint="eastAsia" w:ascii="宋体" w:hAnsi="宋体" w:eastAsia="宋体" w:cs="宋体"/>
          <w:snapToGrid w:val="0"/>
          <w:color w:val="auto"/>
          <w:kern w:val="0"/>
          <w:sz w:val="24"/>
          <w:szCs w:val="24"/>
          <w:highlight w:val="none"/>
        </w:rPr>
        <w:t>甲方的权利和义务</w:t>
      </w:r>
    </w:p>
    <w:p w14:paraId="550A7928">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lang w:eastAsia="zh-CN"/>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lang w:eastAsia="zh-CN"/>
        </w:rPr>
        <w:t>）甲方有权对合同规定范围内乙方的服务行为进行监督和检查，拥有监管权。对甲方认为不合理的部分有权下达整改通知书，并要求乙方限期整改。</w:t>
      </w:r>
    </w:p>
    <w:p w14:paraId="553FB82B">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甲方应按合同约定向乙方支付服务费用。如乙方服务未达到合同要求，甲方有权拒付未达到要求部分的款项；</w:t>
      </w:r>
    </w:p>
    <w:p w14:paraId="118374D2">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甲方有权要求乙方提供与相关服务内容有关的相关信息</w:t>
      </w:r>
      <w:r>
        <w:rPr>
          <w:rFonts w:hint="eastAsia" w:ascii="宋体" w:hAnsi="宋体" w:cs="宋体"/>
          <w:snapToGrid w:val="0"/>
          <w:color w:val="auto"/>
          <w:kern w:val="0"/>
          <w:sz w:val="24"/>
          <w:szCs w:val="24"/>
          <w:highlight w:val="none"/>
          <w:lang w:eastAsia="zh-CN"/>
        </w:rPr>
        <w:t>，</w:t>
      </w:r>
      <w:r>
        <w:rPr>
          <w:rFonts w:hint="eastAsia" w:ascii="宋体" w:hAnsi="宋体" w:cs="宋体"/>
          <w:snapToGrid w:val="0"/>
          <w:color w:val="auto"/>
          <w:kern w:val="0"/>
          <w:sz w:val="24"/>
          <w:szCs w:val="24"/>
          <w:highlight w:val="none"/>
          <w:lang w:val="en-US" w:eastAsia="zh-CN"/>
        </w:rPr>
        <w:t>包括项目负责人、测评人员资质证书等</w:t>
      </w:r>
      <w:r>
        <w:rPr>
          <w:rFonts w:hint="eastAsia" w:ascii="宋体" w:hAnsi="宋体" w:eastAsia="宋体" w:cs="宋体"/>
          <w:snapToGrid w:val="0"/>
          <w:color w:val="auto"/>
          <w:kern w:val="0"/>
          <w:sz w:val="24"/>
          <w:szCs w:val="24"/>
          <w:highlight w:val="none"/>
        </w:rPr>
        <w:t>；</w:t>
      </w:r>
    </w:p>
    <w:p w14:paraId="06CFEE5D">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甲方有权得到符合合同要求的所有服务；</w:t>
      </w:r>
    </w:p>
    <w:p w14:paraId="06378206">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5</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乙方完成所有协议约定内容后，甲方根据项目实施情况出具的客观公正的书面用户验收意见。</w:t>
      </w:r>
    </w:p>
    <w:p w14:paraId="2EB81673">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2、</w:t>
      </w:r>
      <w:r>
        <w:rPr>
          <w:rFonts w:hint="eastAsia" w:ascii="宋体" w:hAnsi="宋体" w:eastAsia="宋体" w:cs="宋体"/>
          <w:snapToGrid w:val="0"/>
          <w:color w:val="auto"/>
          <w:kern w:val="0"/>
          <w:sz w:val="24"/>
          <w:szCs w:val="24"/>
          <w:highlight w:val="none"/>
        </w:rPr>
        <w:t>乙方的权利和义务</w:t>
      </w:r>
    </w:p>
    <w:p w14:paraId="36D97989">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合作过程中乙方应指派专门的业务负责人负责合作事项的全程沟通及协调工作；</w:t>
      </w:r>
    </w:p>
    <w:p w14:paraId="02D44EEE">
      <w:pPr>
        <w:autoSpaceDE w:val="0"/>
        <w:autoSpaceDN w:val="0"/>
        <w:adjustRightInd w:val="0"/>
        <w:spacing w:afterLines="0" w:line="460" w:lineRule="exact"/>
        <w:ind w:firstLine="480" w:firstLineChars="200"/>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w:t>
      </w:r>
      <w:r>
        <w:rPr>
          <w:rFonts w:hint="default" w:ascii="宋体" w:hAnsi="宋体" w:eastAsia="宋体" w:cs="宋体"/>
          <w:color w:val="000000"/>
          <w:kern w:val="0"/>
          <w:sz w:val="24"/>
          <w:szCs w:val="24"/>
          <w:lang w:val="en-US" w:eastAsia="zh-CN" w:bidi="ar"/>
        </w:rPr>
        <w:t>乙方须严格按照本项目磋商文件要求及磋商响应文件承诺内容提供密评服务，委派项目负责人及专业测评团队全程负责本项目组织、实施、测评、报告编制、整改等全部工作，未经甲方书面同意，不得擅自更换项目负责人及测评人员。</w:t>
      </w:r>
    </w:p>
    <w:p w14:paraId="2C0107DD">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乙方应遵守甲方有关合作事项的各项管理规定，及时报告工作进度，在规定时间内完成相应工作；</w:t>
      </w:r>
    </w:p>
    <w:p w14:paraId="33598F1F">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rPr>
        <w:t>甲方在工作质量、工作进度、工作内容等方面提出意见及建议，乙方应及时响应并有效改进；</w:t>
      </w:r>
    </w:p>
    <w:p w14:paraId="2EEEDCBA">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lang w:eastAsia="zh-CN"/>
        </w:rPr>
        <w:t>）</w:t>
      </w:r>
      <w:r>
        <w:rPr>
          <w:rFonts w:hint="eastAsia" w:ascii="宋体" w:hAnsi="宋体" w:eastAsia="宋体" w:cs="宋体"/>
          <w:snapToGrid w:val="0"/>
          <w:color w:val="auto"/>
          <w:kern w:val="0"/>
          <w:sz w:val="24"/>
          <w:szCs w:val="24"/>
          <w:highlight w:val="none"/>
          <w:lang w:val="en-US" w:eastAsia="zh-CN"/>
        </w:rPr>
        <w:t>本项目严禁转包、违法分包，一经发现甲方有权单方解除合同、追究违约责任。</w:t>
      </w:r>
    </w:p>
    <w:p w14:paraId="4962C88D">
      <w:pPr>
        <w:autoSpaceDE w:val="0"/>
        <w:autoSpaceDN w:val="0"/>
        <w:adjustRightInd w:val="0"/>
        <w:spacing w:afterLines="0" w:line="460" w:lineRule="exact"/>
        <w:ind w:firstLine="480" w:firstLineChars="200"/>
        <w:rPr>
          <w:rFonts w:hint="eastAsia" w:ascii="宋体" w:hAnsi="宋体" w:eastAsia="宋体" w:cs="宋体"/>
          <w:snapToGrid w:val="0"/>
          <w:color w:val="auto"/>
          <w:kern w:val="0"/>
          <w:sz w:val="24"/>
          <w:szCs w:val="24"/>
          <w:highlight w:val="none"/>
          <w:lang w:eastAsia="zh-CN"/>
        </w:rPr>
      </w:pPr>
      <w:r>
        <w:rPr>
          <w:rFonts w:hint="eastAsia" w:ascii="宋体" w:hAnsi="宋体" w:eastAsia="宋体" w:cs="宋体"/>
          <w:snapToGrid w:val="0"/>
          <w:color w:val="auto"/>
          <w:kern w:val="0"/>
          <w:sz w:val="24"/>
          <w:szCs w:val="24"/>
          <w:highlight w:val="none"/>
          <w:lang w:val="en-US" w:eastAsia="zh-CN"/>
        </w:rPr>
        <w:t>（5）按要求提交合格</w:t>
      </w:r>
      <w:r>
        <w:rPr>
          <w:rFonts w:hint="eastAsia" w:ascii="宋体" w:hAnsi="宋体" w:cs="宋体"/>
          <w:snapToGrid w:val="0"/>
          <w:color w:val="auto"/>
          <w:kern w:val="0"/>
          <w:sz w:val="24"/>
          <w:szCs w:val="24"/>
          <w:highlight w:val="none"/>
          <w:lang w:val="en-US" w:eastAsia="zh-CN"/>
        </w:rPr>
        <w:t>的成果</w:t>
      </w:r>
      <w:r>
        <w:rPr>
          <w:rFonts w:hint="eastAsia" w:ascii="宋体" w:hAnsi="宋体" w:eastAsia="宋体" w:cs="宋体"/>
          <w:snapToGrid w:val="0"/>
          <w:color w:val="auto"/>
          <w:kern w:val="0"/>
          <w:sz w:val="24"/>
          <w:szCs w:val="24"/>
          <w:highlight w:val="none"/>
          <w:lang w:val="en-US" w:eastAsia="zh-CN"/>
        </w:rPr>
        <w:t>报告，全程配合甲方完成主管部门核查、备案及验收工作。</w:t>
      </w:r>
    </w:p>
    <w:p w14:paraId="74EAB1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 xml:space="preserve">条 </w:t>
      </w:r>
      <w:r>
        <w:rPr>
          <w:rFonts w:hint="eastAsia" w:ascii="宋体" w:hAnsi="宋体" w:eastAsia="宋体" w:cs="宋体"/>
          <w:b/>
          <w:bCs/>
          <w:color w:val="auto"/>
          <w:sz w:val="24"/>
          <w:szCs w:val="24"/>
          <w:highlight w:val="none"/>
          <w:lang w:val="en-US" w:eastAsia="zh-CN"/>
        </w:rPr>
        <w:t>项目</w:t>
      </w:r>
      <w:r>
        <w:rPr>
          <w:rFonts w:hint="eastAsia" w:ascii="宋体" w:hAnsi="宋体" w:eastAsia="宋体" w:cs="宋体"/>
          <w:b/>
          <w:bCs/>
          <w:color w:val="auto"/>
          <w:sz w:val="24"/>
          <w:szCs w:val="24"/>
          <w:highlight w:val="none"/>
        </w:rPr>
        <w:t>交付和验收</w:t>
      </w:r>
    </w:p>
    <w:p w14:paraId="64F980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1.交付</w:t>
      </w:r>
    </w:p>
    <w:p w14:paraId="3AD9FE7F">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(1)乙方应当按照本合同及附件约定的内容进行交付。</w:t>
      </w:r>
    </w:p>
    <w:p w14:paraId="1C69FE2A">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(2)乙方应当在每项交付[</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]个工作日前以书面方式通知甲方，甲方应当在接到通知后及时安排交付事宜。</w:t>
      </w:r>
    </w:p>
    <w:p w14:paraId="7E2537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(3)因甲方原因导致交付不能按时进行的，乙方可相应顺延交付日期，造成乙方损失的，甲方应当承担赔偿责任。</w:t>
      </w:r>
    </w:p>
    <w:p w14:paraId="4D5B24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验收</w:t>
      </w:r>
    </w:p>
    <w:p w14:paraId="303BD8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符合国家标准、行业标准、合同要求，以及采购文件技术要求、乙方响应文件等；乙方须提供合法、合规、有效的密码应用安全性评估报告。经甲方或相关专家验收，一致认为已达到相关要求视为验收合格。</w:t>
      </w:r>
    </w:p>
    <w:p w14:paraId="0C30134E">
      <w:pPr>
        <w:pStyle w:val="3"/>
        <w:ind w:firstLine="482" w:firstLineChars="200"/>
        <w:jc w:val="left"/>
        <w:rPr>
          <w:rFonts w:hint="eastAsia" w:ascii="宋体" w:hAnsi="宋体" w:eastAsia="宋体" w:cs="宋体"/>
          <w:b/>
          <w:bCs/>
          <w:color w:val="auto"/>
          <w:spacing w:val="0"/>
          <w:w w:val="100"/>
          <w:kern w:val="2"/>
          <w:sz w:val="24"/>
          <w:szCs w:val="24"/>
          <w:highlight w:val="none"/>
          <w:lang w:val="en-US" w:eastAsia="zh-CN" w:bidi="ar-SA"/>
        </w:rPr>
      </w:pPr>
      <w:r>
        <w:rPr>
          <w:rFonts w:hint="eastAsia" w:ascii="宋体" w:hAnsi="宋体" w:eastAsia="宋体" w:cs="宋体"/>
          <w:b/>
          <w:bCs/>
          <w:color w:val="auto"/>
          <w:spacing w:val="0"/>
          <w:w w:val="100"/>
          <w:kern w:val="2"/>
          <w:sz w:val="24"/>
          <w:szCs w:val="24"/>
          <w:highlight w:val="none"/>
          <w:lang w:val="en-US" w:eastAsia="zh-CN" w:bidi="ar-SA"/>
        </w:rPr>
        <w:t>第五条  保密责任</w:t>
      </w:r>
    </w:p>
    <w:p w14:paraId="70E5DB9E">
      <w:pPr>
        <w:keepNext w:val="0"/>
        <w:keepLines w:val="0"/>
        <w:pageBreakBefore w:val="0"/>
        <w:widowControl w:val="0"/>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6"/>
          <w:sz w:val="24"/>
          <w:szCs w:val="24"/>
          <w:highlight w:val="none"/>
          <w:lang w:val="en-US" w:eastAsia="zh-CN"/>
        </w:rPr>
        <w:t>1.乙方须签订保密协议，对其因身份、职务、职业或技术关系而知悉的甲方商业秘密和党政机关保密信息应严格保守，保证不被披露或使用，包括意外或过失。</w:t>
      </w:r>
      <w:r>
        <w:rPr>
          <w:rFonts w:hint="eastAsia" w:ascii="宋体" w:hAnsi="宋体" w:eastAsia="宋体" w:cs="宋体"/>
          <w:color w:val="auto"/>
          <w:sz w:val="24"/>
          <w:szCs w:val="24"/>
          <w:highlight w:val="none"/>
          <w:lang w:val="en-US" w:eastAsia="zh-CN"/>
        </w:rPr>
        <w:t xml:space="preserve"> </w:t>
      </w:r>
    </w:p>
    <w:p w14:paraId="56124A57">
      <w:pPr>
        <w:keepNext w:val="0"/>
        <w:keepLines w:val="0"/>
        <w:pageBreakBefore w:val="0"/>
        <w:widowControl w:val="0"/>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6"/>
          <w:sz w:val="24"/>
          <w:szCs w:val="24"/>
          <w:highlight w:val="none"/>
          <w:lang w:val="en-US" w:eastAsia="zh-CN"/>
        </w:rPr>
        <w:t>2.乙方不得以竞争为目的、或出于私利、或为第三人谋利而擅自保存、披露、使用甲方商业秘密和党政机关保密信息；不得直接或间接地向无关人员泄露甲方的商业秘密和党政机关保密信息；不得向不承担保密义务的任何第三人披露甲方的商业秘密和党政机关保密信息。乙方在从事政府项目时，不得擅自记录、复制、拍摄、摘抄、收藏在工作中涉及的保密信息，严禁将涉及政府项目的任何资料、数据透露或以其他方式提供给项目以外的其他方或乙方内部与该项目无关的任何人员。</w:t>
      </w:r>
      <w:r>
        <w:rPr>
          <w:rFonts w:hint="eastAsia" w:ascii="宋体" w:hAnsi="宋体" w:eastAsia="宋体" w:cs="宋体"/>
          <w:color w:val="auto"/>
          <w:sz w:val="24"/>
          <w:szCs w:val="24"/>
          <w:highlight w:val="none"/>
          <w:lang w:val="en-US" w:eastAsia="zh-CN"/>
        </w:rPr>
        <w:t xml:space="preserve"> </w:t>
      </w:r>
    </w:p>
    <w:p w14:paraId="2D01B0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14:paraId="47989A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4.严禁泄露在工作中接触到的政府机关科技研究、发明、装备器材及其技术资料和政府工作信息。</w:t>
      </w:r>
    </w:p>
    <w:p w14:paraId="61778F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rPr>
        <w:t>条 知识产权</w:t>
      </w:r>
    </w:p>
    <w:p w14:paraId="3615B856">
      <w:pPr>
        <w:keepNext w:val="0"/>
        <w:keepLines w:val="0"/>
        <w:pageBreakBefore w:val="0"/>
        <w:bidi w:val="0"/>
        <w:spacing w:line="500" w:lineRule="exact"/>
        <w:ind w:firstLine="480" w:firstLineChars="200"/>
        <w:rPr>
          <w:rFonts w:hint="eastAsia" w:ascii="宋体" w:hAnsi="宋体" w:eastAsia="宋体" w:cs="宋体"/>
          <w:b w:val="0"/>
          <w:bCs w:val="0"/>
          <w:color w:val="auto"/>
          <w:spacing w:val="0"/>
          <w:sz w:val="24"/>
          <w:szCs w:val="24"/>
          <w:highlight w:val="none"/>
          <w:lang w:val="en-US" w:eastAsia="zh-CN"/>
        </w:rPr>
      </w:pPr>
      <w:r>
        <w:rPr>
          <w:rFonts w:hint="eastAsia" w:ascii="宋体" w:hAnsi="宋体" w:eastAsia="宋体" w:cs="宋体"/>
          <w:b w:val="0"/>
          <w:bCs w:val="0"/>
          <w:color w:val="auto"/>
          <w:spacing w:val="0"/>
          <w:sz w:val="24"/>
          <w:szCs w:val="24"/>
          <w:highlight w:val="none"/>
        </w:rPr>
        <w:t>乙方应保证所提供的服务或其任何一部分均不会侵犯任何第三方的专利权、商标权或著作权</w:t>
      </w:r>
      <w:r>
        <w:rPr>
          <w:rFonts w:hint="eastAsia" w:ascii="宋体" w:hAnsi="宋体" w:eastAsia="宋体" w:cs="宋体"/>
          <w:b w:val="0"/>
          <w:bCs w:val="0"/>
          <w:color w:val="auto"/>
          <w:spacing w:val="0"/>
          <w:sz w:val="24"/>
          <w:szCs w:val="24"/>
          <w:highlight w:val="none"/>
          <w:lang w:val="en-US" w:eastAsia="zh-CN"/>
        </w:rPr>
        <w:t>。</w:t>
      </w:r>
    </w:p>
    <w:p w14:paraId="149B7B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条 违约责任</w:t>
      </w:r>
    </w:p>
    <w:p w14:paraId="0C5933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本合同生效后，甲乙双方均应当全面履行合同义务。任何一方违约，均应当按照约定承担违约责任，并赔偿对方由此受到的损失。</w:t>
      </w:r>
    </w:p>
    <w:p w14:paraId="127CB3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违反知识产权义务责任</w:t>
      </w:r>
    </w:p>
    <w:p w14:paraId="25EE1D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任何一方违反本合同所约定的知识产权义务，违约方除应当立即停止违约行为外，还应当赔偿由此给对方所造成的损失。</w:t>
      </w:r>
    </w:p>
    <w:p w14:paraId="6BE2C5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.违反保密义务责任</w:t>
      </w:r>
    </w:p>
    <w:p w14:paraId="47DFF1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任何一方违反本合同所约定的保密义务，受损失一方有权要求对方赔偿。</w:t>
      </w:r>
    </w:p>
    <w:p w14:paraId="3F152A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.转包或违约分包责任</w:t>
      </w:r>
    </w:p>
    <w:p w14:paraId="5D050F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乙方违反本合同约定，将本项目进行转包或违约分包的，应当向甲方支付违约金;甲方也可同时解除合同。</w:t>
      </w:r>
    </w:p>
    <w:p w14:paraId="73B886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乙方成果不符合标准、无法备案验收，且拒不无偿整改完善的，甲方有权拒付余款、解除合同，乙方承担由此造成的全部损失。</w:t>
      </w:r>
    </w:p>
    <w:p w14:paraId="1A61D6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bookmarkStart w:id="1" w:name="_GoBack"/>
      <w:bookmarkEnd w:id="1"/>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rPr>
        <w:t>条 合同的解除和终止</w:t>
      </w:r>
    </w:p>
    <w:p w14:paraId="7CB764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1.本合同生效后，除法律法规和本合同另有规定外，任何一方不得随意单方变更或解除合同，否则应当承担违约责任。</w:t>
      </w:r>
    </w:p>
    <w:p w14:paraId="2F1B0C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2.甲乙双方各自履行完毕本合同的全部义务后，本合同终止。</w:t>
      </w:r>
    </w:p>
    <w:p w14:paraId="14A541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第</w:t>
      </w:r>
      <w:r>
        <w:rPr>
          <w:rFonts w:hint="eastAsia" w:ascii="宋体" w:hAnsi="宋体" w:eastAsia="宋体" w:cs="宋体"/>
          <w:b/>
          <w:bCs/>
          <w:color w:val="auto"/>
          <w:sz w:val="24"/>
          <w:szCs w:val="24"/>
          <w:highlight w:val="none"/>
          <w:lang w:val="en-US" w:eastAsia="zh-CN"/>
        </w:rPr>
        <w:t>九</w:t>
      </w:r>
      <w:r>
        <w:rPr>
          <w:rFonts w:hint="eastAsia" w:ascii="宋体" w:hAnsi="宋体" w:eastAsia="宋体" w:cs="宋体"/>
          <w:b/>
          <w:bCs/>
          <w:color w:val="auto"/>
          <w:sz w:val="24"/>
          <w:szCs w:val="24"/>
          <w:highlight w:val="none"/>
        </w:rPr>
        <w:t>条 不可抗力</w:t>
      </w:r>
    </w:p>
    <w:p w14:paraId="5F62ED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一方当事人因不可抗力不能按照约定履行本合同的，根据不可抗力的影响，可部分或全部免除责任，但应当及时告知对方，并自不可抗力结束之日起十五日内向对方当事人提供证明。</w:t>
      </w:r>
    </w:p>
    <w:p w14:paraId="36BF6A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　第十条 争议解决方式</w:t>
      </w:r>
    </w:p>
    <w:p w14:paraId="2576EF3B">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本合同在履行过程中发生的争议，由双方当事人协商解决；协商不成的，依法向项目所在地人民法院提起诉讼。</w:t>
      </w:r>
    </w:p>
    <w:p w14:paraId="1F22D0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b/>
          <w:bCs/>
          <w:color w:val="auto"/>
          <w:sz w:val="24"/>
          <w:szCs w:val="24"/>
          <w:highlight w:val="none"/>
        </w:rPr>
        <w:t>第十</w:t>
      </w: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条 其他条款</w:t>
      </w:r>
    </w:p>
    <w:p w14:paraId="0A3A87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1.本合同自双方签字盖章之日起生效。本合同及附件，一式</w:t>
      </w:r>
      <w:r>
        <w:rPr>
          <w:rFonts w:hint="eastAsia" w:ascii="宋体" w:hAnsi="宋体" w:eastAsia="宋体" w:cs="宋体"/>
          <w:color w:val="auto"/>
          <w:sz w:val="24"/>
          <w:szCs w:val="24"/>
          <w:highlight w:val="none"/>
          <w:u w:val="single"/>
          <w:lang w:val="en-US" w:eastAsia="zh-CN"/>
        </w:rPr>
        <w:t>陆</w:t>
      </w:r>
      <w:r>
        <w:rPr>
          <w:rFonts w:hint="eastAsia" w:ascii="宋体" w:hAnsi="宋体" w:eastAsia="宋体" w:cs="宋体"/>
          <w:color w:val="auto"/>
          <w:sz w:val="24"/>
          <w:szCs w:val="24"/>
          <w:highlight w:val="none"/>
        </w:rPr>
        <w:t>份，具有同等法律效力，其中甲方</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份，乙方</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w:t>
      </w:r>
      <w:r>
        <w:rPr>
          <w:rFonts w:hint="eastAsia" w:ascii="宋体" w:hAnsi="宋体" w:eastAsia="宋体" w:cs="宋体"/>
          <w:color w:val="auto"/>
          <w:sz w:val="24"/>
          <w:szCs w:val="24"/>
          <w:highlight w:val="none"/>
          <w:lang w:val="en-US" w:eastAsia="zh-CN"/>
        </w:rPr>
        <w:t>代理机构和监管备案各壹</w:t>
      </w:r>
      <w:r>
        <w:rPr>
          <w:rFonts w:hint="eastAsia" w:ascii="宋体" w:hAnsi="宋体" w:eastAsia="宋体" w:cs="宋体"/>
          <w:color w:val="auto"/>
          <w:sz w:val="24"/>
          <w:szCs w:val="24"/>
          <w:highlight w:val="none"/>
        </w:rPr>
        <w:t>份。</w:t>
      </w:r>
    </w:p>
    <w:p w14:paraId="062C60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color w:val="auto"/>
          <w:spacing w:val="-6"/>
          <w:sz w:val="24"/>
          <w:szCs w:val="24"/>
          <w:highlight w:val="none"/>
        </w:rPr>
        <w:t>2.本项目</w:t>
      </w:r>
      <w:r>
        <w:rPr>
          <w:rFonts w:hint="eastAsia" w:ascii="宋体" w:hAnsi="宋体" w:eastAsia="宋体" w:cs="宋体"/>
          <w:color w:val="auto"/>
          <w:spacing w:val="-6"/>
          <w:sz w:val="24"/>
          <w:szCs w:val="24"/>
          <w:highlight w:val="none"/>
          <w:lang w:val="en-US" w:eastAsia="zh-CN"/>
        </w:rPr>
        <w:t>磋商文件</w:t>
      </w:r>
      <w:r>
        <w:rPr>
          <w:rFonts w:hint="eastAsia" w:ascii="宋体" w:hAnsi="宋体" w:eastAsia="宋体" w:cs="宋体"/>
          <w:color w:val="auto"/>
          <w:spacing w:val="-6"/>
          <w:sz w:val="24"/>
          <w:szCs w:val="24"/>
          <w:highlight w:val="none"/>
          <w:u w:val="none"/>
        </w:rPr>
        <w:t>(包括</w:t>
      </w:r>
      <w:r>
        <w:rPr>
          <w:rFonts w:hint="eastAsia" w:ascii="宋体" w:hAnsi="宋体" w:eastAsia="宋体" w:cs="宋体"/>
          <w:color w:val="auto"/>
          <w:spacing w:val="-6"/>
          <w:sz w:val="24"/>
          <w:szCs w:val="24"/>
          <w:highlight w:val="none"/>
          <w:u w:val="none"/>
          <w:lang w:val="en-US" w:eastAsia="zh-CN"/>
        </w:rPr>
        <w:t>磋商响应文件</w:t>
      </w:r>
      <w:r>
        <w:rPr>
          <w:rFonts w:hint="eastAsia" w:ascii="宋体" w:hAnsi="宋体" w:eastAsia="宋体" w:cs="宋体"/>
          <w:color w:val="auto"/>
          <w:spacing w:val="-6"/>
          <w:sz w:val="24"/>
          <w:szCs w:val="24"/>
          <w:highlight w:val="none"/>
          <w:u w:val="none"/>
        </w:rPr>
        <w:t>、</w:t>
      </w:r>
      <w:r>
        <w:rPr>
          <w:rFonts w:hint="eastAsia" w:ascii="宋体" w:hAnsi="宋体" w:eastAsia="宋体" w:cs="宋体"/>
          <w:color w:val="auto"/>
          <w:spacing w:val="-6"/>
          <w:sz w:val="24"/>
          <w:szCs w:val="24"/>
          <w:highlight w:val="none"/>
          <w:u w:val="none"/>
          <w:lang w:val="en-US" w:eastAsia="zh-CN"/>
        </w:rPr>
        <w:t>成交通知书</w:t>
      </w:r>
      <w:r>
        <w:rPr>
          <w:rFonts w:hint="eastAsia" w:ascii="宋体" w:hAnsi="宋体" w:eastAsia="宋体" w:cs="宋体"/>
          <w:color w:val="auto"/>
          <w:spacing w:val="-6"/>
          <w:sz w:val="24"/>
          <w:szCs w:val="24"/>
          <w:highlight w:val="none"/>
          <w:u w:val="none"/>
        </w:rPr>
        <w:t>)、本合同附件以及合同</w:t>
      </w:r>
      <w:r>
        <w:rPr>
          <w:rFonts w:hint="eastAsia" w:ascii="宋体" w:hAnsi="宋体" w:eastAsia="宋体" w:cs="宋体"/>
          <w:color w:val="auto"/>
          <w:spacing w:val="-6"/>
          <w:sz w:val="24"/>
          <w:szCs w:val="24"/>
          <w:highlight w:val="none"/>
        </w:rPr>
        <w:t>履行过程中形成的各种书面文件，经双方签署确认后为本合同的组成部分，与本合同具有同等法律效力，解释的顺序除有特别说明外，以文件生成时间在后的为准。</w:t>
      </w:r>
    </w:p>
    <w:p w14:paraId="0FA213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17"/>
          <w:sz w:val="24"/>
          <w:szCs w:val="24"/>
          <w:highlight w:val="none"/>
          <w:shd w:val="clear" w:color="auto" w:fill="auto"/>
        </w:rPr>
      </w:pPr>
      <w:r>
        <w:rPr>
          <w:rFonts w:hint="eastAsia" w:ascii="宋体" w:hAnsi="宋体" w:eastAsia="宋体" w:cs="宋体"/>
          <w:color w:val="auto"/>
          <w:sz w:val="24"/>
          <w:szCs w:val="24"/>
          <w:highlight w:val="none"/>
        </w:rPr>
        <w:t>　</w:t>
      </w:r>
      <w:r>
        <w:rPr>
          <w:rFonts w:hint="eastAsia" w:ascii="宋体" w:hAnsi="宋体" w:eastAsia="宋体" w:cs="宋体"/>
          <w:color w:val="auto"/>
          <w:spacing w:val="-6"/>
          <w:sz w:val="24"/>
          <w:szCs w:val="24"/>
          <w:highlight w:val="none"/>
          <w:shd w:val="clear" w:color="auto" w:fill="auto"/>
        </w:rPr>
        <w:t>　3.本合同未尽事宜，双方可协商签订补充协议，补充协议与本合同具有同等法律效力。</w:t>
      </w:r>
    </w:p>
    <w:tbl>
      <w:tblPr>
        <w:tblStyle w:val="8"/>
        <w:tblpPr w:leftFromText="180" w:rightFromText="180" w:vertAnchor="text" w:horzAnchor="page" w:tblpX="1519" w:tblpY="550"/>
        <w:tblOverlap w:val="never"/>
        <w:tblW w:w="87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79"/>
        <w:gridCol w:w="4380"/>
      </w:tblGrid>
      <w:tr w14:paraId="3F917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1" w:hRule="atLeast"/>
        </w:trPr>
        <w:tc>
          <w:tcPr>
            <w:tcW w:w="4379" w:type="dxa"/>
            <w:noWrap w:val="0"/>
            <w:vAlign w:val="top"/>
          </w:tcPr>
          <w:p w14:paraId="4883C976">
            <w:pPr>
              <w:keepNext w:val="0"/>
              <w:keepLines w:val="0"/>
              <w:pageBreakBefore w:val="0"/>
              <w:widowControl/>
              <w:kinsoku/>
              <w:wordWrap/>
              <w:overflowPunct/>
              <w:topLinePunct w:val="0"/>
              <w:autoSpaceDE/>
              <w:autoSpaceDN/>
              <w:bidi w:val="0"/>
              <w:adjustRightInd w:val="0"/>
              <w:snapToGrid w:val="0"/>
              <w:spacing w:line="480" w:lineRule="auto"/>
              <w:ind w:firstLine="0" w:firstLineChars="0"/>
              <w:jc w:val="left"/>
              <w:textAlignment w:val="auto"/>
              <w:rPr>
                <w:rFonts w:hint="eastAsia" w:ascii="宋体" w:hAnsi="宋体" w:eastAsia="宋体" w:cs="宋体"/>
                <w:color w:val="auto"/>
                <w:sz w:val="24"/>
                <w:szCs w:val="24"/>
                <w:highlight w:val="none"/>
              </w:rPr>
            </w:pPr>
          </w:p>
          <w:p w14:paraId="2420EF12">
            <w:pPr>
              <w:keepNext w:val="0"/>
              <w:keepLines w:val="0"/>
              <w:pageBreakBefore w:val="0"/>
              <w:widowControl/>
              <w:kinsoku/>
              <w:wordWrap/>
              <w:overflowPunct/>
              <w:topLinePunct w:val="0"/>
              <w:autoSpaceDE/>
              <w:autoSpaceDN/>
              <w:bidi w:val="0"/>
              <w:adjustRightInd w:val="0"/>
              <w:snapToGrid w:val="0"/>
              <w:spacing w:line="480" w:lineRule="auto"/>
              <w:ind w:firstLine="0" w:firstLineChars="0"/>
              <w:jc w:val="left"/>
              <w:textAlignment w:val="auto"/>
              <w:rPr>
                <w:rFonts w:hint="eastAsia" w:ascii="宋体" w:hAnsi="宋体" w:eastAsia="宋体" w:cs="宋体"/>
                <w:color w:val="auto"/>
                <w:sz w:val="24"/>
                <w:szCs w:val="24"/>
                <w:highlight w:val="none"/>
                <w:u w:val="single"/>
                <w:lang w:val="en-US"/>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u w:val="single"/>
                <w:lang w:val="en-US" w:eastAsia="zh-CN"/>
              </w:rPr>
              <w:t xml:space="preserve">                          </w:t>
            </w:r>
          </w:p>
          <w:p w14:paraId="314DEDEF">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rPr>
            </w:pPr>
          </w:p>
          <w:p w14:paraId="7FD479FE">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（或委托代理人）</w:t>
            </w:r>
          </w:p>
          <w:p w14:paraId="47E1F7F0">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0183E51F">
            <w:pPr>
              <w:keepNext w:val="0"/>
              <w:keepLines w:val="0"/>
              <w:pageBreakBefore w:val="0"/>
              <w:widowControl/>
              <w:kinsoku/>
              <w:wordWrap/>
              <w:overflowPunct/>
              <w:topLinePunct w:val="0"/>
              <w:autoSpaceDE/>
              <w:autoSpaceDN/>
              <w:bidi w:val="0"/>
              <w:adjustRightInd w:val="0"/>
              <w:snapToGrid w:val="0"/>
              <w:spacing w:line="480" w:lineRule="auto"/>
              <w:ind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8A746A5">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2947E0FF">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688B5165">
            <w:pPr>
              <w:keepNext w:val="0"/>
              <w:keepLines w:val="0"/>
              <w:pageBreakBefore w:val="0"/>
              <w:widowControl/>
              <w:kinsoku/>
              <w:wordWrap/>
              <w:overflowPunct/>
              <w:topLinePunct w:val="0"/>
              <w:autoSpaceDE/>
              <w:autoSpaceDN/>
              <w:bidi w:val="0"/>
              <w:adjustRightInd w:val="0"/>
              <w:snapToGrid w:val="0"/>
              <w:spacing w:line="480" w:lineRule="auto"/>
              <w:jc w:val="left"/>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签字日期：    年  月 </w:t>
            </w:r>
            <w:r>
              <w:rPr>
                <w:rFonts w:hint="eastAsia" w:ascii="宋体" w:hAnsi="宋体" w:eastAsia="宋体" w:cs="宋体"/>
                <w:color w:val="auto"/>
                <w:sz w:val="24"/>
                <w:szCs w:val="24"/>
                <w:highlight w:val="none"/>
                <w:lang w:val="en-US" w:eastAsia="zh-CN"/>
              </w:rPr>
              <w:t xml:space="preserve"> 日</w:t>
            </w:r>
          </w:p>
        </w:tc>
        <w:tc>
          <w:tcPr>
            <w:tcW w:w="4380" w:type="dxa"/>
            <w:noWrap w:val="0"/>
            <w:vAlign w:val="top"/>
          </w:tcPr>
          <w:p w14:paraId="661D1F86">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p>
          <w:p w14:paraId="002428E5">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乙</w:t>
            </w:r>
            <w:r>
              <w:rPr>
                <w:rFonts w:hint="eastAsia" w:ascii="宋体" w:hAnsi="宋体" w:eastAsia="宋体" w:cs="宋体"/>
                <w:color w:val="auto"/>
                <w:sz w:val="24"/>
                <w:szCs w:val="24"/>
                <w:highlight w:val="none"/>
              </w:rPr>
              <w:t>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5750183F">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rPr>
            </w:pPr>
          </w:p>
          <w:p w14:paraId="35F69C82">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lang w:eastAsia="zh-CN"/>
              </w:rPr>
              <w:t>（或委托代理人）</w:t>
            </w:r>
          </w:p>
          <w:p w14:paraId="6B716FAD">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签字或盖章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6736BDAF">
            <w:pPr>
              <w:keepNext w:val="0"/>
              <w:keepLines w:val="0"/>
              <w:pageBreakBefore w:val="0"/>
              <w:widowControl/>
              <w:kinsoku/>
              <w:wordWrap/>
              <w:overflowPunct/>
              <w:topLinePunct w:val="0"/>
              <w:autoSpaceDE/>
              <w:autoSpaceDN/>
              <w:bidi w:val="0"/>
              <w:adjustRightInd w:val="0"/>
              <w:snapToGrid w:val="0"/>
              <w:spacing w:line="480" w:lineRule="auto"/>
              <w:ind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044924A">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6BF2355C">
            <w:pPr>
              <w:keepNext w:val="0"/>
              <w:keepLines w:val="0"/>
              <w:pageBreakBefore w:val="0"/>
              <w:widowControl/>
              <w:kinsoku/>
              <w:wordWrap/>
              <w:overflowPunct/>
              <w:topLinePunct w:val="0"/>
              <w:autoSpaceDE/>
              <w:autoSpaceDN/>
              <w:bidi w:val="0"/>
              <w:adjustRightInd w:val="0"/>
              <w:snapToGrid w:val="0"/>
              <w:spacing w:line="480" w:lineRule="auto"/>
              <w:ind w:left="0" w:leftChars="0" w:firstLine="0" w:firstLineChars="0"/>
              <w:jc w:val="left"/>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1CEAE9FC">
            <w:pPr>
              <w:keepNext w:val="0"/>
              <w:keepLines w:val="0"/>
              <w:pageBreakBefore w:val="0"/>
              <w:widowControl/>
              <w:kinsoku/>
              <w:wordWrap/>
              <w:overflowPunct/>
              <w:topLinePunct w:val="0"/>
              <w:autoSpaceDE/>
              <w:autoSpaceDN/>
              <w:bidi w:val="0"/>
              <w:adjustRightInd w:val="0"/>
              <w:snapToGrid w:val="0"/>
              <w:spacing w:line="480" w:lineRule="auto"/>
              <w:jc w:val="left"/>
              <w:textAlignment w:val="auto"/>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签字日期：    年  月 </w:t>
            </w:r>
            <w:r>
              <w:rPr>
                <w:rFonts w:hint="eastAsia" w:ascii="宋体" w:hAnsi="宋体" w:eastAsia="宋体" w:cs="宋体"/>
                <w:color w:val="auto"/>
                <w:sz w:val="24"/>
                <w:szCs w:val="24"/>
                <w:highlight w:val="none"/>
                <w:lang w:val="en-US" w:eastAsia="zh-CN"/>
              </w:rPr>
              <w:t xml:space="preserve"> 日</w:t>
            </w:r>
          </w:p>
        </w:tc>
      </w:tr>
    </w:tbl>
    <w:p w14:paraId="6805B7F2">
      <w:pPr>
        <w:bidi w:val="0"/>
        <w:jc w:val="left"/>
        <w:rPr>
          <w:rFonts w:hint="eastAsia" w:ascii="宋体" w:hAnsi="宋体" w:eastAsia="宋体" w:cs="宋体"/>
          <w:sz w:val="24"/>
          <w:szCs w:val="24"/>
        </w:rPr>
      </w:pPr>
    </w:p>
    <w:p w14:paraId="47E5C81C">
      <w:pPr>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26B6E4"/>
    <w:multiLevelType w:val="singleLevel"/>
    <w:tmpl w:val="5E26B6E4"/>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E2A23"/>
    <w:rsid w:val="07FD5B06"/>
    <w:rsid w:val="08E66565"/>
    <w:rsid w:val="0D404F42"/>
    <w:rsid w:val="0FD542F5"/>
    <w:rsid w:val="11917669"/>
    <w:rsid w:val="121A67F7"/>
    <w:rsid w:val="13721461"/>
    <w:rsid w:val="15576A90"/>
    <w:rsid w:val="164C2B5E"/>
    <w:rsid w:val="202A4591"/>
    <w:rsid w:val="20CE2B02"/>
    <w:rsid w:val="21D37EE6"/>
    <w:rsid w:val="284E2288"/>
    <w:rsid w:val="2B94766B"/>
    <w:rsid w:val="33576D25"/>
    <w:rsid w:val="37590ED8"/>
    <w:rsid w:val="39A11AD8"/>
    <w:rsid w:val="39D011BE"/>
    <w:rsid w:val="3F873B03"/>
    <w:rsid w:val="48733E61"/>
    <w:rsid w:val="4E5F0DDF"/>
    <w:rsid w:val="546F6672"/>
    <w:rsid w:val="559E11CA"/>
    <w:rsid w:val="5BF867BA"/>
    <w:rsid w:val="5DE11544"/>
    <w:rsid w:val="5E2048C6"/>
    <w:rsid w:val="5F9C5E7F"/>
    <w:rsid w:val="6B51730F"/>
    <w:rsid w:val="75FE45EA"/>
    <w:rsid w:val="79AC7993"/>
    <w:rsid w:val="7D4C1A2A"/>
    <w:rsid w:val="7E8576B8"/>
    <w:rsid w:val="7FE06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Body Text 3"/>
    <w:basedOn w:val="1"/>
    <w:qFormat/>
    <w:uiPriority w:val="0"/>
    <w:pPr>
      <w:jc w:val="center"/>
    </w:pPr>
    <w:rPr>
      <w:b/>
      <w:spacing w:val="-20"/>
      <w:w w:val="110"/>
      <w:sz w:val="52"/>
    </w:rPr>
  </w:style>
  <w:style w:type="paragraph" w:styleId="4">
    <w:name w:val="Body Text"/>
    <w:basedOn w:val="1"/>
    <w:next w:val="5"/>
    <w:qFormat/>
    <w:uiPriority w:val="99"/>
    <w:rPr>
      <w:color w:val="993300"/>
      <w:sz w:val="24"/>
    </w:rPr>
  </w:style>
  <w:style w:type="paragraph" w:styleId="5">
    <w:name w:val="Body Text First Indent"/>
    <w:basedOn w:val="4"/>
    <w:qFormat/>
    <w:uiPriority w:val="0"/>
    <w:pPr>
      <w:tabs>
        <w:tab w:val="left" w:pos="567"/>
      </w:tabs>
      <w:ind w:firstLine="420" w:firstLineChars="100"/>
    </w:pPr>
    <w:rPr>
      <w:rFonts w:ascii="Times New Roman" w:hAnsi="Times New Roman"/>
      <w:sz w:val="18"/>
      <w:szCs w:val="18"/>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2228</Words>
  <Characters>2256</Characters>
  <Lines>0</Lines>
  <Paragraphs>0</Paragraphs>
  <TotalTime>1</TotalTime>
  <ScaleCrop>false</ScaleCrop>
  <LinksUpToDate>false</LinksUpToDate>
  <CharactersWithSpaces>2882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2024-07-11T01:37:00Z</dcterms:created>
  <dc:creator>鼎力中创2</dc:creator>
  <cp:lastModifiedBy>WPS_1694750927</cp:lastModifiedBy>
  <dcterms:modified xsi:type="dcterms:W3CDTF">2026-05-29T03:04:24Z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4CF7BBC80A764D42B579097E3F5460D6_13</vt:lpwstr>
  </property>
  <property fmtid="{D5CDD505-2E9C-101B-9397-08002B2CF9AE}" pid="4" name="KSOTemplateDocerSaveRecord">
    <vt:lpwstr>eyJoZGlkIjoiYzM4YmI2MjE4NWU2YzEyOTFiM2M5MDYzYTgzZGJkZDYiLCJ1c2VySWQiOiIxNTMyNTc4MzYyIn0=</vt:lpwstr>
  </property>
</Properties>
</file>