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5BA9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center"/>
        <w:textAlignment w:val="auto"/>
        <w:rPr>
          <w:rFonts w:hint="eastAsia" w:ascii="仿宋" w:hAnsi="仿宋" w:eastAsia="仿宋" w:cs="仿宋"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color w:val="000000"/>
          <w:sz w:val="36"/>
          <w:szCs w:val="36"/>
          <w:bdr w:val="none" w:color="auto" w:sz="0" w:space="0"/>
        </w:rPr>
        <w:t>集约送达服务政府采购合同</w:t>
      </w:r>
    </w:p>
    <w:p w14:paraId="014FD0F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合同编号：【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】 </w:t>
      </w:r>
    </w:p>
    <w:p w14:paraId="7A3B8AD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甲方（采购人）：【】 </w:t>
      </w:r>
    </w:p>
    <w:p w14:paraId="0F7C3D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统一社会信用代码：【】 </w:t>
      </w:r>
    </w:p>
    <w:p w14:paraId="468C94E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地址：【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】 联系电话：【__________】</w:t>
      </w:r>
    </w:p>
    <w:p w14:paraId="3D50527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乙方（供应商 / 服务提供方）：【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】 </w:t>
      </w:r>
    </w:p>
    <w:p w14:paraId="5EC3B03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统一社会信用代码：【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】 </w:t>
      </w:r>
    </w:p>
    <w:p w14:paraId="4779FB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地址：【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】 </w:t>
      </w:r>
      <w:bookmarkStart w:id="0" w:name="_GoBack"/>
      <w:bookmarkEnd w:id="0"/>
    </w:p>
    <w:p w14:paraId="60F9ED0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联系电话：【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】</w:t>
      </w:r>
    </w:p>
    <w:p w14:paraId="73EDE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根据《中华人民共和国民法典》、《中华人民共和国政府采购法》《中华人民共和国民事诉讼法》及相关司法解释、陕西省高级人民法院关于电子送达与集中送达相关规定等法律法规，甲乙双方本着平等自愿、公平诚信、权责统一的原则，就甲方集约送达服务采购事宜协商一致，订立本合同，双方共同遵照执行。</w:t>
      </w:r>
    </w:p>
    <w:p w14:paraId="5038C4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第一条 服务概况</w:t>
      </w:r>
    </w:p>
    <w:p w14:paraId="3AFB1B7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1.1 服务期限</w:t>
      </w:r>
    </w:p>
    <w:p w14:paraId="5D41903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本合同服务期限自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合同签订之日起壹年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。合同期满前，如双方无异议且甲方仍有服务需求，可另行协商续约事宜。</w:t>
      </w:r>
    </w:p>
    <w:p w14:paraId="07B85E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1.2 服务地点</w:t>
      </w:r>
    </w:p>
    <w:p w14:paraId="7D0BF57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甲方指定办公及业务服务地点。</w:t>
      </w:r>
    </w:p>
    <w:p w14:paraId="2446BD0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1.3 服务内容</w:t>
      </w:r>
    </w:p>
    <w:p w14:paraId="78C8CD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乙方按照本合同约定及甲方工作指令，承接甲方民事、行政、国家赔偿、执行案件各类法律文书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线上电子送达、线下送达、司法专递邮寄送达、退件处理、送达数据统计分析、外出送达辅助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等全流程集约送达服务，依托集约送达平台完成法院与诉讼当事人之间信息、数据安全交互工作。</w:t>
      </w:r>
    </w:p>
    <w:p w14:paraId="253899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第二条 计价、付款及结算方式</w:t>
      </w:r>
    </w:p>
    <w:p w14:paraId="2200E1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2.1 计价标准</w:t>
      </w:r>
    </w:p>
    <w:p w14:paraId="6FFE531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本项目采用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全费用固定单价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模式，单价为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bdr w:val="none" w:color="auto" w:sz="0" w:space="0"/>
          <w:lang w:val="en-US" w:eastAsia="zh-CN" w:bidi="ar"/>
        </w:rPr>
        <w:t xml:space="preserve">    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元 / 案件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。该单价为包干价，包含人员薪酬、设备购置运维、车辆、燃油、耗材、通讯、运输、分拣、装卸、保险、管理、税金、应急保障、售后服务及完成本合同约定全部服务内容的所有隐含费用，合同履行期内单价不作任何调整。</w:t>
      </w:r>
    </w:p>
    <w:p w14:paraId="013BED7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2.2 付款方式</w:t>
      </w:r>
    </w:p>
    <w:p w14:paraId="67FF4180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合同签订生效后，甲方向乙方预付合同预估总金额的</w:t>
      </w:r>
      <w:r>
        <w:rPr>
          <w:rStyle w:val="7"/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50%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；</w:t>
      </w:r>
    </w:p>
    <w:p w14:paraId="3111D5F5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服务过程中，实际发生费用超出预付款金额后，甲方按照当月 / 当期合格送达工作量据实结算剩余款项；</w:t>
      </w:r>
    </w:p>
    <w:p w14:paraId="3B9F2470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20" w:leftChars="57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本项目无固定采购总量，最终年度结算总金额以甲方实际验收合格的送达案件数量为准，且最终结算金额不得超出本项目财政预算总额。</w:t>
      </w:r>
    </w:p>
    <w:p w14:paraId="5A6504E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2.3 结算依据</w:t>
      </w:r>
    </w:p>
    <w:p w14:paraId="65AE731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双方以集约送达平台记录、甲方工单、送达回执、验收记录作为结算唯一依据，按月核对工作量，年度统一汇总结算。</w:t>
      </w:r>
    </w:p>
    <w:p w14:paraId="2FB8ED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第三条 服务标准与工作要求</w:t>
      </w:r>
    </w:p>
    <w:p w14:paraId="5595661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3.1 送达基础管理</w:t>
      </w:r>
    </w:p>
    <w:p w14:paraId="2AB2CD6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须无条件全部接收甲方发起的集约送达任务，优先采用电子送达方式开展送达（甲方书面特殊要求除外），不得限制邮寄送达等其他合法送达方式。乙方接收任务后第一时间完成送达审核，区分线上、线下送达类型，任务不符合要求的，应及时退回甲方并书面说明理由。</w:t>
      </w:r>
    </w:p>
    <w:p w14:paraId="1584DE4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3.2 电子送达</w:t>
      </w:r>
    </w:p>
    <w:p w14:paraId="33ED98A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乙方严格按照现行法律、司法解释及甲方规定开展电子送达，保障送达平台稳定运行，配备足额服务人员，确保电子送达工作按时、按质完成。</w:t>
      </w:r>
    </w:p>
    <w:p w14:paraId="342A83F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考核标准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：符合线上送达条件的任务，电子送达成功率（按受送达人人次统计）每月不得低于 70%；每低于标准 1 个百分点，甲方相应扣减当月服务费用。电子送达成功认定标准按照甲方依据现行法律法规制定的规则执行。</w:t>
      </w:r>
    </w:p>
    <w:p w14:paraId="014CB32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3.3 来院领取送达</w:t>
      </w:r>
    </w:p>
    <w:p w14:paraId="0E0FF4A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经乙方电话沟通，受送达人同意至甲方现场领取文书的，乙方负责打印相关文书，并及时通知当事人前来领取。</w:t>
      </w:r>
    </w:p>
    <w:p w14:paraId="5A28E8A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3.4 邮寄送达</w:t>
      </w:r>
    </w:p>
    <w:p w14:paraId="565EF85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电子送达失败、当事人 / 办案人员不同意电子送达或甲方明确要求邮寄送达的，乙方采用</w:t>
      </w:r>
      <w:r>
        <w:rPr>
          <w:rStyle w:val="7"/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邮政法院专递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开展送达，优先选择异地打印、同城送达的邮政集约送达模式。</w:t>
      </w:r>
    </w:p>
    <w:p w14:paraId="4A4AC09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所有邮寄送达严格执行</w:t>
      </w:r>
      <w:r>
        <w:rPr>
          <w:rStyle w:val="7"/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五日三投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规则：五日内完成三次投递，且三次投递中至少有一次在当日 18 时之后，或周六、周日开展投递。</w:t>
      </w:r>
    </w:p>
    <w:p w14:paraId="64C49B20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在甲方提供收件人姓名、电话、地址信息准确的前提下，邮件妥投率须达到 100%。西安市范围内上门投递，必须拍摄留存</w:t>
      </w:r>
      <w:r>
        <w:rPr>
          <w:rStyle w:val="7"/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远景、中景、近景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至少 3 张现场照片（远景：小区 / 写字楼门口；中景：楼栋、单元门口；近景：对应门牌号门口）。</w:t>
      </w:r>
    </w:p>
    <w:p w14:paraId="74660DD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3.5 外出送达辅助</w:t>
      </w:r>
    </w:p>
    <w:p w14:paraId="3E98499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保障送达平台外出送达助手功能正常使用，支持外出工单线上领取、送达结果录入、送达报告书生成。外出工作人员可通过小程序上传现场照片等材料，材料自动同步至送达报告书，保障甲方办案人员正常查阅、下载。乙方审核人员可一键打印外出送达文书，配合上门送达工作开展。</w:t>
      </w:r>
    </w:p>
    <w:p w14:paraId="0413823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3.6 数据管理</w:t>
      </w:r>
    </w:p>
    <w:p w14:paraId="2B13A90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乙方定期完成送达数据汇总、统计、分析，按甲方要求定期报送集约送达平台运行、送达任务完成等相关情况。</w:t>
      </w:r>
    </w:p>
    <w:p w14:paraId="2CC1F6C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3.7 其他工作</w:t>
      </w:r>
    </w:p>
    <w:p w14:paraId="6EF3776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乙方全体服务人员须服从甲方日常管理，主动承办甲方交办的与集约送达相关的其他临时性工作。</w:t>
      </w:r>
    </w:p>
    <w:p w14:paraId="4C5E6C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第四条 软硬件及技术保障要求</w:t>
      </w:r>
    </w:p>
    <w:p w14:paraId="4CC003A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4.1 设备配置</w:t>
      </w:r>
    </w:p>
    <w:p w14:paraId="1207A40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根据实际业务量足额配置计算机终端、票据打印机、高拍仪、扫描仪、条码枪、程控电话录音平台、集约送达平台软件等全部软硬件设备，设备性能须满足最高人民法院、当地中级人民法院对集约送达工作的标准要求。</w:t>
      </w:r>
    </w:p>
    <w:p w14:paraId="0577EFF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4.2 系统对接</w:t>
      </w:r>
    </w:p>
    <w:p w14:paraId="7CEC58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乙方实现自有送达平台与甲方审判、执行等业务系统数据对接，完成案件、当事人信息共享互通；电话通知记录、通话录音自动留存并归入案件卷宗，数据在内网安全存储。接入法院内网的计算机实行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专机专用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，严禁跨网混用；设备送修前必须拆除硬盘。</w:t>
      </w:r>
    </w:p>
    <w:p w14:paraId="2B23234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4.3 信息查询与地址库建设</w:t>
      </w:r>
    </w:p>
    <w:p w14:paraId="64769D6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针对当事人联系方式、通讯地址缺失的送达任务，乙方通过合法渠道（自有地址库、正规运营商数据等）查询相关信息，并持续维护、更新送达成功地址库。</w:t>
      </w:r>
    </w:p>
    <w:p w14:paraId="2DDD344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4.4 费用承担</w:t>
      </w:r>
    </w:p>
    <w:p w14:paraId="7372A2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开展本项目服务产生的计算机、打印设备、专用机具、打印纸张、各类耗材、通讯电话等全部费用，均由乙方自行承担。</w:t>
      </w:r>
    </w:p>
    <w:p w14:paraId="711C687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4.5 网络与信息安全</w:t>
      </w:r>
    </w:p>
    <w:p w14:paraId="24704C0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服务场地接入法院内网区域，严格落实网络安全防护措施，严禁使用 U 盘、光盘等存储介质跨网拷贝数据，严禁使用摄像设备拍摄办公电脑屏幕内容。</w:t>
      </w:r>
    </w:p>
    <w:p w14:paraId="20203BE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乙方建立设备、系统、网络定期巡检制度，及时排查故障、消除安全隐患。</w:t>
      </w:r>
    </w:p>
    <w:p w14:paraId="750442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第五条 保密义务</w:t>
      </w:r>
    </w:p>
    <w:p w14:paraId="21E7D01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乙方及全体送达工作人员必须严格遵守人民法院保密管理规定，对工作中接触、知悉的案件信息、送达材料、当事人信息、办案人员个人信息等全部内容严格保密。</w:t>
      </w:r>
    </w:p>
    <w:p w14:paraId="123F86D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未经甲方书面许可，乙方人员不得私自获取、查阅工作范围以外的数据信息，不得擅自拍摄、复制、摘抄、传播法院各类资料；不得议论、评价当事人及来电信息。</w:t>
      </w:r>
    </w:p>
    <w:p w14:paraId="79B3BC1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因乙方人员行为引发泄密问题的，全部法律责任、经济损失由乙方承担。乙方对其工作人员履职期间产生的保密违规行为承担全部管理责任。</w:t>
      </w:r>
    </w:p>
    <w:p w14:paraId="4D12DE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第六条 违约责任</w:t>
      </w:r>
    </w:p>
    <w:p w14:paraId="0225D15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6.1 送达瑕疵责任</w:t>
      </w:r>
    </w:p>
    <w:p w14:paraId="3A4D8D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因乙方服务不当造成送达瑕疵的，乙方须第一时间采取补救措施。若因此引发当事人投诉、负面舆情，损害甲方司法形象与司法权威的，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每发生 1 起，按对应案件扣减当月 / 当年服务费 5 元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。</w:t>
      </w:r>
    </w:p>
    <w:p w14:paraId="19B1971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6.2 严重违约处理</w:t>
      </w:r>
    </w:p>
    <w:p w14:paraId="03E54E7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乙方服务出现重大失误，造成严重司法瑕疵、重大泄密、网络安全事故，或连续多月未达到约定服务指标、拒不配合甲方管理的，甲方有权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单方解除本合同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，同时乙方须赔偿甲方因此遭受的全部损失。</w:t>
      </w:r>
    </w:p>
    <w:p w14:paraId="1B85214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6.3 其他违约</w:t>
      </w:r>
    </w:p>
    <w:p w14:paraId="1D16E27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乙方未按约定配备设备、人员，未落实网络安全、保密要求，或无故拒收送达任务、拖延服务的，甲方有权视情节扣减服务费用；情节严重的，甲方可解除合同。</w:t>
      </w:r>
    </w:p>
    <w:p w14:paraId="0AB198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第七条 双方权利与义务</w:t>
      </w:r>
    </w:p>
    <w:p w14:paraId="1B8914D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7.1 甲方权利义务</w:t>
      </w:r>
    </w:p>
    <w:p w14:paraId="1D7A2D9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向乙方下达合法合规的送达任务，提供案件及当事人基础信息；</w:t>
      </w:r>
    </w:p>
    <w:p w14:paraId="32A72577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对乙方服务质量、工作纪律、保密情况进行日常监督、检查与考核；</w:t>
      </w:r>
    </w:p>
    <w:p w14:paraId="05B5927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按照本合同约定及时办理费用结算、支付款项；</w:t>
      </w:r>
    </w:p>
    <w:p w14:paraId="3EC0862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为乙方工作人员开展工作提供必要的场地及工作便利。</w:t>
      </w:r>
    </w:p>
    <w:p w14:paraId="4829620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7.2 乙方权利义务</w:t>
      </w:r>
    </w:p>
    <w:p w14:paraId="750196B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严格按照合同、法律法规及甲方要求完成全部服务工作，保证服务质量；</w:t>
      </w:r>
    </w:p>
    <w:p w14:paraId="2136176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自主承担人员管理、薪酬发放、设备运维、安全管理等全部工作；</w:t>
      </w:r>
    </w:p>
    <w:p w14:paraId="13AE884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接受甲方监督、考核与管理，积极配合甲方检查、整改要求；</w:t>
      </w:r>
    </w:p>
    <w:p w14:paraId="311ECBA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独立承担工作人员劳动用工、人身安全、第三方损害赔偿等全部法律及经济责任。</w:t>
      </w:r>
    </w:p>
    <w:p w14:paraId="72E326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第八条 合同变更、解除与终止</w:t>
      </w:r>
    </w:p>
    <w:p w14:paraId="6B456D63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本合同未尽事宜，双方可协商签订补充协议，补充协议与本合同具有同等法律效力。</w:t>
      </w:r>
    </w:p>
    <w:p w14:paraId="73A8CF5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合同履行期间，一方确需变更、解除合同的，应提前 30 日书面通知对方，双方协商一致后方可执行；本合同另有约定的除外。</w:t>
      </w:r>
    </w:p>
    <w:p w14:paraId="16DF5EB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合同到期自动终止，双方结清全部费用，乙方配合完成工作交接、资料归档、设备清理等事宜。</w:t>
      </w:r>
    </w:p>
    <w:p w14:paraId="545E0C2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第九条 争议解决</w:t>
      </w:r>
    </w:p>
    <w:p w14:paraId="149F61A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本合同履行过程中发生的争议，双方首先友好协商解决；协商不成的，任何一方均有权向</w:t>
      </w:r>
      <w:r>
        <w:rPr>
          <w:rStyle w:val="7"/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甲方所在地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人民法院提起诉讼。</w:t>
      </w:r>
    </w:p>
    <w:p w14:paraId="464E31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第十条 其他约定</w:t>
      </w:r>
    </w:p>
    <w:p w14:paraId="4B14306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本合同所有附件、甲方采购需求文件、乙方投标 / 响应文件均为本合同不可分割部分，与本合同具有同等法律效力。</w:t>
      </w:r>
    </w:p>
    <w:p w14:paraId="4A1400A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本合同一式</w:t>
      </w:r>
      <w:r>
        <w:rPr>
          <w:rStyle w:val="7"/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肆份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，甲方执贰份，乙方执贰份，自双方签字盖章之日起生效，具有同等法律效力。</w:t>
      </w:r>
    </w:p>
    <w:p w14:paraId="33593E8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t>本合同一式肆份，报送政府采购监管部门备案【____份】（按需填写）。</w:t>
      </w:r>
    </w:p>
    <w:p w14:paraId="60162786">
      <w:pP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bdr w:val="none" w:color="auto" w:sz="0" w:space="0"/>
        </w:rPr>
        <w:br w:type="page"/>
      </w:r>
    </w:p>
    <w:p w14:paraId="4711F52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（以下无正文）</w:t>
      </w:r>
    </w:p>
    <w:p w14:paraId="2C815D3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 xml:space="preserve">甲方（盖章）：____________________ </w:t>
      </w:r>
    </w:p>
    <w:p w14:paraId="5DDB2B1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法定代表人 / 授权代表人（签字）：______</w:t>
      </w:r>
    </w:p>
    <w:p w14:paraId="0CB86A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日期：______年____月____日</w:t>
      </w:r>
    </w:p>
    <w:p w14:paraId="2F5A08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22435A0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</w:p>
    <w:p w14:paraId="5E6F669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乙方（盖章）：____________________</w:t>
      </w:r>
    </w:p>
    <w:p w14:paraId="105F0B4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法定代表人 / 授权代表人（签字）：______</w:t>
      </w:r>
    </w:p>
    <w:p w14:paraId="4161ECC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bdr w:val="none" w:color="auto" w:sz="0" w:space="0"/>
          <w:lang w:val="en-US" w:eastAsia="zh-CN" w:bidi="ar"/>
        </w:rPr>
        <w:t>日期：______年____月____日</w:t>
      </w:r>
    </w:p>
    <w:p w14:paraId="769F6D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仓耳渔阳体 W05">
    <w:panose1 w:val="02020400000000000000"/>
    <w:charset w:val="80"/>
    <w:family w:val="auto"/>
    <w:pitch w:val="default"/>
    <w:sig w:usb0="80000023" w:usb1="08C10458" w:usb2="00000012" w:usb3="00000000" w:csb0="00020001" w:csb1="00000000"/>
  </w:font>
  <w:font w:name="方正彩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行楷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10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2026-06-17T03:13:11Z</dcterms:created>
  <dc:creator>Administrator</dc:creator>
  <cp:lastModifiedBy>Li_JF</cp:lastModifiedBy>
  <dcterms:modified xsi:type="dcterms:W3CDTF">2026-06-17T03:19:53Z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55AFB909B8924519847AF4E2611A92C7_12</vt:lpwstr>
  </property>
</Properties>
</file>