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版本号：0617-26B4FZ156820260622001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集约送达服务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0617-26B4FZ1568</w:t>
      </w:r>
      <w:r>
        <w:br/>
      </w:r>
      <w:r>
        <w:br/>
      </w:r>
      <w:r>
        <w:br/>
      </w:r>
    </w:p>
    <w:p>
      <w:pPr>
        <w:pStyle w:val="null3"/>
        <w:jc w:val="center"/>
        <w:outlineLvl w:val="5"/>
      </w:pPr>
      <w:r>
        <w:rPr>
          <w:rFonts w:ascii="仿宋_GB2312" w:hAnsi="仿宋_GB2312" w:cs="仿宋_GB2312" w:eastAsia="仿宋_GB2312"/>
          <w:sz w:val="15"/>
          <w:b/>
        </w:rPr>
        <w:t>西安市未央区人民法院[158]</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西安市未央区人民法院[158]</w:t>
      </w:r>
      <w:r>
        <w:rPr>
          <w:rFonts w:ascii="仿宋_GB2312" w:hAnsi="仿宋_GB2312" w:cs="仿宋_GB2312" w:eastAsia="仿宋_GB2312"/>
        </w:rPr>
        <w:t>委托，拟对</w:t>
      </w:r>
      <w:r>
        <w:rPr>
          <w:rFonts w:ascii="仿宋_GB2312" w:hAnsi="仿宋_GB2312" w:cs="仿宋_GB2312" w:eastAsia="仿宋_GB2312"/>
        </w:rPr>
        <w:t>集约送达服务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0617-26B4FZ1568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集约送达服务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1、授权委托书/法定代表人身份：提供法定代表人授权书 (附法定代表人、被授权人身份证复印件) 或提供法定代表人身份证明及身份证复印件（法定代表人直接参加单一来源协商)。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协商截止时间列入失信被执行人（页面跳转至“中国执行信息公开网”http://zxgk.court.gov.cn/shixin/）、重大税收违法失信主体、政府采购严重违法失信行为记录名单，其响应为无效。</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西安市未央区人民法院[158]</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陕西省西安市未央区浐灞大道2331号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029-88010261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 李建飞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西安市未央区人民法院[158]</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西安市未央区人民法院[158]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没有国家标准的，可以参考行业标准。（一案一核一验收。供应商完成单案送达任务后，须在规定时限内将送达回证、现场影像、邮政退件单、电子送达回执等全套材料上传至采购方使用的办案平台中，有纸质材料的同步移交。 验收核查要点：（1）送达方式合法性：严格区分电子送达、法院专递邮寄、直接送达、留置送达、委托送达、公告送达，各类送达均满足民事诉讼法法定适用条件；判决书、裁定书、调解书电子送达必须留存当事人书面 / 线上同意凭证； （2）材料完整性： ①电子送达：平台自动生成送达回执、当事人核验记录、文书推送记录完整可追溯； ②法院专递：面单信息与法院移送材料一致，妥投签收规范，退件附有邮政官方退件说明；执行西安法院 “五日三投” 投递标准，并附有不少于3张带时间戳的投递影像资料； （3）时限合规性：同城送达 3 个工作日内办结反馈、省内 5 个工作日、省外 7 个工作日；电子送达当日完成推送反馈。 处置规则：单案材料缺失、程序瑕疵、送达无效的，可以补正的由采购人告知供应商限期补正；超期未补正或补正后仍不符合法定送达要求的，该案件不计取任何送达服务费，由此造成案件程序延误、当事人信访投诉的，供应商承担全部违约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联系人：监督处张云娜</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地址：陕西省西安市雁塔区南二环西段58号成长大厦10～14层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集约送达服务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标的名称：集约送达服务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1、项目内容：</w:t>
            </w:r>
          </w:p>
          <w:p>
            <w:pPr>
              <w:pStyle w:val="null3"/>
              <w:ind w:firstLine="480"/>
            </w:pPr>
            <w:r>
              <w:rPr>
                <w:rFonts w:ascii="仿宋_GB2312" w:hAnsi="仿宋_GB2312" w:cs="仿宋_GB2312" w:eastAsia="仿宋_GB2312"/>
                <w:color w:val="000000"/>
              </w:rPr>
              <w:t>集约送达业务范围涵盖民事、行政、国家赔偿和执行案件各类文书的线上线下送达、司法专递、退件等，通过集约送达平台在人民法院与诉讼当事人之间实现安全的信息和数据交互，以不同形式进行案件材料的文书送达工作。集约送达涵盖案件全流程的法律文书送达，按件计费(每个案件全包费用)，费用为65元/案。。</w:t>
            </w:r>
          </w:p>
          <w:p>
            <w:pPr>
              <w:pStyle w:val="null3"/>
            </w:pPr>
            <w:r>
              <w:rPr>
                <w:rFonts w:ascii="仿宋_GB2312" w:hAnsi="仿宋_GB2312" w:cs="仿宋_GB2312" w:eastAsia="仿宋_GB2312"/>
                <w:b/>
                <w:color w:val="000000"/>
              </w:rPr>
              <w:t>2、项目要求：</w:t>
            </w:r>
          </w:p>
          <w:p>
            <w:pPr>
              <w:pStyle w:val="null3"/>
              <w:ind w:firstLine="480"/>
            </w:pPr>
            <w:r>
              <w:rPr>
                <w:rFonts w:ascii="仿宋_GB2312" w:hAnsi="仿宋_GB2312" w:cs="仿宋_GB2312" w:eastAsia="仿宋_GB2312"/>
                <w:color w:val="000000"/>
              </w:rPr>
              <w:t>1.送达审核。集约送达中心在接收到送达任务后要认真审核，重点关注送达环节及备注情况，合理分配线上、线下送达，不符合要求及时退回并说明理由。</w:t>
            </w:r>
          </w:p>
          <w:p>
            <w:pPr>
              <w:pStyle w:val="null3"/>
              <w:ind w:firstLine="480"/>
            </w:pPr>
            <w:r>
              <w:rPr>
                <w:rFonts w:ascii="仿宋_GB2312" w:hAnsi="仿宋_GB2312" w:cs="仿宋_GB2312" w:eastAsia="仿宋_GB2312"/>
                <w:color w:val="000000"/>
              </w:rPr>
              <w:t>2.电子送达。按照法律规定进行电子送达。使用送达平台送达文书和诉讼活动应当符合采购人提出的要求，提供服务的人数应当符合采购人实际需求，保证服务按时按质完成。</w:t>
            </w:r>
          </w:p>
          <w:p>
            <w:pPr>
              <w:pStyle w:val="null3"/>
              <w:ind w:firstLine="480"/>
            </w:pPr>
            <w:r>
              <w:rPr>
                <w:rFonts w:ascii="仿宋_GB2312" w:hAnsi="仿宋_GB2312" w:cs="仿宋_GB2312" w:eastAsia="仿宋_GB2312"/>
                <w:color w:val="000000"/>
              </w:rPr>
              <w:t>3.来院领取。根据电话联系情况，如受送达人同意来院领取，集约送达中心打印后通知当事人到院领取。</w:t>
            </w:r>
          </w:p>
          <w:p>
            <w:pPr>
              <w:pStyle w:val="null3"/>
              <w:ind w:firstLine="480"/>
            </w:pPr>
            <w:r>
              <w:rPr>
                <w:rFonts w:ascii="仿宋_GB2312" w:hAnsi="仿宋_GB2312" w:cs="仿宋_GB2312" w:eastAsia="仿宋_GB2312"/>
                <w:color w:val="000000"/>
              </w:rPr>
              <w:t>4.邮寄送达和邮政集约送达。集约送达中心在受送达人或者法官、书记员不同意采用电子送达、电子送达失败、法官要求采取邮寄的情况下，采用邮寄送达，邮寄送达需采用邮政法院专递，并采用“五日三投”（五日内投放三次，至少有一次为晚上18时之后或周六、日）方式送达。邮寄送达首选邮政集约送达，即异地打印、同城送达。</w:t>
            </w:r>
          </w:p>
          <w:p>
            <w:pPr>
              <w:pStyle w:val="null3"/>
              <w:ind w:firstLine="480"/>
            </w:pPr>
            <w:r>
              <w:rPr>
                <w:rFonts w:ascii="仿宋_GB2312" w:hAnsi="仿宋_GB2312" w:cs="仿宋_GB2312" w:eastAsia="仿宋_GB2312"/>
                <w:color w:val="000000"/>
              </w:rPr>
              <w:t>5.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p>
          <w:p>
            <w:pPr>
              <w:pStyle w:val="null3"/>
              <w:ind w:firstLine="480"/>
            </w:pPr>
            <w:r>
              <w:rPr>
                <w:rFonts w:ascii="仿宋_GB2312" w:hAnsi="仿宋_GB2312" w:cs="仿宋_GB2312" w:eastAsia="仿宋_GB2312"/>
                <w:color w:val="000000"/>
              </w:rPr>
              <w:t>6.数据整理。做好集约送达中心各项数据汇总、统计、分析，定期通报集约送达平台运行情况。</w:t>
            </w:r>
          </w:p>
          <w:p>
            <w:pPr>
              <w:pStyle w:val="null3"/>
              <w:ind w:firstLine="480"/>
            </w:pPr>
            <w:r>
              <w:rPr>
                <w:rFonts w:ascii="仿宋_GB2312" w:hAnsi="仿宋_GB2312" w:cs="仿宋_GB2312" w:eastAsia="仿宋_GB2312"/>
                <w:color w:val="000000"/>
              </w:rPr>
              <w:t>7.其他事项。服从采购方管理，积极主动承办采购方交办的其他工作。</w:t>
            </w:r>
          </w:p>
          <w:p>
            <w:pPr>
              <w:pStyle w:val="null3"/>
            </w:pPr>
            <w:r>
              <w:rPr>
                <w:rFonts w:ascii="仿宋_GB2312" w:hAnsi="仿宋_GB2312" w:cs="仿宋_GB2312" w:eastAsia="仿宋_GB2312"/>
                <w:b/>
                <w:color w:val="000000"/>
              </w:rPr>
              <w:t>3、项目指标：</w:t>
            </w:r>
          </w:p>
          <w:p>
            <w:pPr>
              <w:pStyle w:val="null3"/>
              <w:ind w:firstLine="480"/>
            </w:pPr>
            <w:r>
              <w:rPr>
                <w:rFonts w:ascii="仿宋_GB2312" w:hAnsi="仿宋_GB2312" w:cs="仿宋_GB2312" w:eastAsia="仿宋_GB2312"/>
                <w:color w:val="000000"/>
              </w:rPr>
              <w:t>1.供应商对采购人发起的集约送达任务全部接收，并按照采购人要求开展送达。</w:t>
            </w:r>
          </w:p>
          <w:p>
            <w:pPr>
              <w:pStyle w:val="null3"/>
              <w:ind w:firstLine="480"/>
            </w:pPr>
            <w:r>
              <w:rPr>
                <w:rFonts w:ascii="仿宋_GB2312" w:hAnsi="仿宋_GB2312" w:cs="仿宋_GB2312" w:eastAsia="仿宋_GB2312"/>
                <w:color w:val="000000"/>
              </w:rPr>
              <w:t>2.供应商优先采取电子送达方式进行送达（采购人特殊要求的除外），对需要进行邮寄的送达任务，供应商不得限制。</w:t>
            </w:r>
          </w:p>
          <w:p>
            <w:pPr>
              <w:pStyle w:val="null3"/>
              <w:ind w:firstLine="480"/>
            </w:pPr>
            <w:r>
              <w:rPr>
                <w:rFonts w:ascii="仿宋_GB2312" w:hAnsi="仿宋_GB2312" w:cs="仿宋_GB2312" w:eastAsia="仿宋_GB2312"/>
                <w:color w:val="000000"/>
              </w:rPr>
              <w:t>3.电子送达成功率。电子送达成功率（符合线上送达任务）每月不低于70%（按受送达人人次计算），每低于1个点相应扣减</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年服务费用。电子送达成功（办结）的标准由采购人根据现行有效的法律规定确定。</w:t>
            </w:r>
          </w:p>
          <w:p>
            <w:pPr>
              <w:pStyle w:val="null3"/>
              <w:ind w:firstLine="480"/>
            </w:pPr>
            <w:r>
              <w:rPr>
                <w:rFonts w:ascii="仿宋_GB2312" w:hAnsi="仿宋_GB2312" w:cs="仿宋_GB2312" w:eastAsia="仿宋_GB2312"/>
                <w:color w:val="000000"/>
              </w:rPr>
              <w:t>4.邮寄妥投率。在提供的收件人姓名、电话、地址准确的情况下，邮件妥投率达100%。西安市内上门投递需留存至少3张现场照片：远景（小区门口、写字楼前等）、中景（具体楼、单元门口）、近景（具体门牌号对应门口）。</w:t>
            </w:r>
          </w:p>
          <w:p>
            <w:pPr>
              <w:pStyle w:val="null3"/>
              <w:ind w:firstLine="480"/>
            </w:pPr>
            <w:r>
              <w:rPr>
                <w:rFonts w:ascii="仿宋_GB2312" w:hAnsi="仿宋_GB2312" w:cs="仿宋_GB2312" w:eastAsia="仿宋_GB2312"/>
                <w:color w:val="000000"/>
              </w:rPr>
              <w:t>5.开展集约送达后，供应商应确保采购人各类案件文书通过集约送达平台（特殊情况须经采购方允许方可）流转，对于无需进行电子送达直接进行邮寄的送达任务，采购方仍可通过线下邮寄，供应商不另行收取费用，供应商不得拒绝提供线下邮寄服务。</w:t>
            </w:r>
          </w:p>
          <w:p>
            <w:pPr>
              <w:pStyle w:val="null3"/>
              <w:ind w:firstLine="480"/>
            </w:pPr>
            <w:r>
              <w:rPr>
                <w:rFonts w:ascii="仿宋_GB2312" w:hAnsi="仿宋_GB2312" w:cs="仿宋_GB2312" w:eastAsia="仿宋_GB2312"/>
                <w:color w:val="000000"/>
              </w:rPr>
              <w:t>6.因服务供应商的原因致使送达出现瑕疵，应当及时补救，如因此出现投诉等有损采购人司法形象、权威的，每出现一次扣减</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年服务费用；导致严重司法瑕疵，采购人可单方终止和解除合同，并由供应商承担全部违约责任。</w:t>
            </w:r>
          </w:p>
          <w:p>
            <w:pPr>
              <w:pStyle w:val="null3"/>
            </w:pPr>
            <w:r>
              <w:rPr>
                <w:rFonts w:ascii="仿宋_GB2312" w:hAnsi="仿宋_GB2312" w:cs="仿宋_GB2312" w:eastAsia="仿宋_GB2312"/>
                <w:b/>
                <w:color w:val="000000"/>
              </w:rPr>
              <w:t>4</w:t>
            </w:r>
            <w:r>
              <w:rPr>
                <w:rFonts w:ascii="仿宋_GB2312" w:hAnsi="仿宋_GB2312" w:cs="仿宋_GB2312" w:eastAsia="仿宋_GB2312"/>
                <w:b/>
                <w:color w:val="000000"/>
              </w:rPr>
              <w:t>、保密要求：</w:t>
            </w:r>
          </w:p>
          <w:p>
            <w:pPr>
              <w:pStyle w:val="null3"/>
              <w:ind w:firstLine="480"/>
            </w:pPr>
            <w:r>
              <w:rPr>
                <w:rFonts w:ascii="仿宋_GB2312" w:hAnsi="仿宋_GB2312" w:cs="仿宋_GB2312" w:eastAsia="仿宋_GB2312"/>
                <w:color w:val="000000"/>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80"/>
            </w:pPr>
            <w:r>
              <w:rPr>
                <w:rFonts w:ascii="仿宋_GB2312" w:hAnsi="仿宋_GB2312" w:cs="仿宋_GB2312" w:eastAsia="仿宋_GB2312"/>
                <w:color w:val="000000"/>
              </w:rPr>
              <w:t>供应商对集约送达工作人员工作中因供应商一方涉及的安全保密问题承担责任。</w:t>
            </w:r>
          </w:p>
          <w:p>
            <w:pPr>
              <w:pStyle w:val="null3"/>
            </w:pPr>
            <w:r>
              <w:rPr>
                <w:rFonts w:ascii="仿宋_GB2312" w:hAnsi="仿宋_GB2312" w:cs="仿宋_GB2312" w:eastAsia="仿宋_GB2312"/>
                <w:b/>
                <w:color w:val="000000"/>
              </w:rPr>
              <w:t>5</w:t>
            </w:r>
            <w:r>
              <w:rPr>
                <w:rFonts w:ascii="仿宋_GB2312" w:hAnsi="仿宋_GB2312" w:cs="仿宋_GB2312" w:eastAsia="仿宋_GB2312"/>
                <w:b/>
                <w:color w:val="000000"/>
              </w:rPr>
              <w:t>、技术要求：</w:t>
            </w:r>
          </w:p>
          <w:p>
            <w:pPr>
              <w:pStyle w:val="null3"/>
              <w:ind w:firstLine="480"/>
            </w:pPr>
            <w:r>
              <w:rPr>
                <w:rFonts w:ascii="仿宋_GB2312" w:hAnsi="仿宋_GB2312" w:cs="仿宋_GB2312" w:eastAsia="仿宋_GB2312"/>
                <w:b/>
                <w:color w:val="000000"/>
              </w:rPr>
              <w:t>1.计算机、送达平台等软硬件保障。</w:t>
            </w:r>
            <w:r>
              <w:rPr>
                <w:rFonts w:ascii="仿宋_GB2312" w:hAnsi="仿宋_GB2312" w:cs="仿宋_GB2312" w:eastAsia="仿宋_GB2312"/>
                <w:color w:val="000000"/>
              </w:rPr>
              <w:t>服务提供商需按照送达业务量配置包括但不限于计算机终端、票据打印机、高拍仪、扫描仪、条码枪、程控电话录音平台、送达平台软件等软硬件设备，完全满足最高法院和中级法院对集约送达的要求；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ind w:firstLine="480"/>
            </w:pPr>
            <w:r>
              <w:rPr>
                <w:rFonts w:ascii="仿宋_GB2312" w:hAnsi="仿宋_GB2312" w:cs="仿宋_GB2312" w:eastAsia="仿宋_GB2312"/>
                <w:b/>
                <w:color w:val="000000"/>
              </w:rPr>
              <w:t>2.受送达人地址电话查询。</w:t>
            </w:r>
            <w:r>
              <w:rPr>
                <w:rFonts w:ascii="仿宋_GB2312" w:hAnsi="仿宋_GB2312" w:cs="仿宋_GB2312" w:eastAsia="仿宋_GB2312"/>
                <w:color w:val="000000"/>
              </w:rPr>
              <w:t>对于未提供受送达当事人联系方式和通讯地址的，服务提供商应综合运用各种合法途径查询有关信息，包括但不限于服务提供商自身掌握的地址库数据、与三大运营商对接获取的数据等，并建立送达成功地址库。</w:t>
            </w:r>
          </w:p>
          <w:p>
            <w:pPr>
              <w:pStyle w:val="null3"/>
              <w:ind w:firstLine="480"/>
            </w:pPr>
            <w:r>
              <w:rPr>
                <w:rFonts w:ascii="仿宋_GB2312" w:hAnsi="仿宋_GB2312" w:cs="仿宋_GB2312" w:eastAsia="仿宋_GB2312"/>
                <w:b/>
                <w:color w:val="000000"/>
              </w:rPr>
              <w:t>3.集中送达配套保障。</w:t>
            </w:r>
            <w:r>
              <w:rPr>
                <w:rFonts w:ascii="仿宋_GB2312" w:hAnsi="仿宋_GB2312" w:cs="仿宋_GB2312" w:eastAsia="仿宋_GB2312"/>
                <w:color w:val="000000"/>
              </w:rPr>
              <w:t>因开展送达业务产生的计算机、打印一体机、专用设备、打印纸张和耗材、电话（含来电显示）等费用由服务提供商承担。</w:t>
            </w:r>
          </w:p>
          <w:p>
            <w:pPr>
              <w:pStyle w:val="null3"/>
            </w:pPr>
            <w:r>
              <w:rPr>
                <w:rFonts w:ascii="仿宋_GB2312" w:hAnsi="仿宋_GB2312" w:cs="仿宋_GB2312" w:eastAsia="仿宋_GB2312"/>
                <w:b/>
                <w:color w:val="000000"/>
              </w:rPr>
              <w:t>4.信息安全保障。</w:t>
            </w:r>
            <w:r>
              <w:rPr>
                <w:rFonts w:ascii="仿宋_GB2312" w:hAnsi="仿宋_GB2312" w:cs="仿宋_GB2312" w:eastAsia="仿宋_GB2312"/>
                <w:color w:val="000000"/>
              </w:rPr>
              <w:t>集中送达中心工作场地接入法院内网，需落实严格的网络信息安全防护措施，禁止使用U盘、光盘等存储媒介在不同网系之间拷贝数据，禁止使用照相器材拍摄办公计算机屏幕信息，服务提供商落实定期巡检制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进度款，服务期满后，达到付款条件起10个工作日内，支付合同总金额的50.0%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计价模式及结算方式：本项目采购采用固定单价计价模式（以使用集约送达的案件为单位），供应商根据本项目集约送达服务范围、作业标准、配送区域、服务频次及全部工作要求，自主填报服务固定单价。本次报价为全费用固定单价，包含送达运输、分拣整理、装卸搬运、人员投入、车辆损耗、燃油耗材、保险、管理成本、税金、售后服务、应急保障及完成集约送达全部工作内容的一切隐含费用，合同履行期内综合单价固定不作任何调整。本项目无固定采购总量，最终结算费用按照中标固定单价65元采购人实际发生且验收合格的实际送达工作量据实核算，采购人根据实际业务需求按需下达送达任务，以实际发生业务量为准进行年度周期结算，充分适配集约送达业务零散化、常态化、需求动态变化的工作特点；（二）付款方式：合同签订后预付合同总金额的50%，按件据实结算,超出预付金额后，据实结算剩余合同金额，最终结算金额不超出项目预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响应文件递交截止时间前12个月内任一月份（响应文件递交截止时间当月不计入）的增值税（或所得税）缴费凭据或税务机关出具的完税证明/在法规范围内不需提供的应出具书面说明和证明文件； /或具有依法缴纳税收的诚信声明； 以上二种形式的资料提供任何一种即可； 3.提供缴费所属日期为响应文件递交截止时间前12个月内任一月份（响应文件递交截止时间当月不计入）的缴费凭据或社保机关出具的缴费证明/在法规范围内不需提供的应出具书面说明和证明文件；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供应商须提供的资格证明文件 响应函 其他声明文件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且具有注册会计师行业统一监管平台出具赋码的财务报告（包括四表一注，即资产负债表、利润表、现金流量表、所有者权益变动表及其附注），且无反对意见；事业法人提供部门决算报告； /或在协商截止日期前六个月内其基本开户银行出具的资信证明（附基本存款账户信息等证明材料）； /或专业担保机构出具的投标担保函；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响应文件封面 供应商须提供的资格证明文件 其他声明文件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供应商须提供的资格证明文件 其他声明文件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或提供法定代表人身份证明及身份证复印件（法定代表人直接参加单一来源协商)。</w:t>
            </w:r>
          </w:p>
        </w:tc>
        <w:tc>
          <w:tcPr>
            <w:tcW w:type="dxa" w:w="1661"/>
          </w:tcPr>
          <w:p>
            <w:pPr>
              <w:pStyle w:val="null3"/>
            </w:pPr>
            <w:r>
              <w:rPr>
                <w:rFonts w:ascii="仿宋_GB2312" w:hAnsi="仿宋_GB2312" w:cs="仿宋_GB2312" w:eastAsia="仿宋_GB2312"/>
              </w:rPr>
              <w:t>供应商须提供的资格证明文件 其他声明文件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协商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供应商须提供的资格证明文件 其他声明文件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供应商须提供的资格证明文件 商务响应承诺 中小企业声明函 商务应答表 服务内容及服务要求应答表 报价表 响应文件封面 残疾人福利性单位声明函 服务方案 标的清单 响应函 其他声明文件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供应商须提供的资格证明文件 商务响应承诺 中小企业声明函 商务应答表 服务内容及服务要求应答表 报价表 响应文件封面 残疾人福利性单位声明函 服务方案 标的清单 响应函 其他声明文件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不属于单一来源采购文件规定的无效情形</w:t>
            </w:r>
          </w:p>
        </w:tc>
        <w:tc>
          <w:tcPr>
            <w:tcW w:type="dxa" w:w="1661"/>
          </w:tcPr>
          <w:p>
            <w:pPr>
              <w:pStyle w:val="null3"/>
            </w:pPr>
            <w:r>
              <w:rPr>
                <w:rFonts w:ascii="仿宋_GB2312" w:hAnsi="仿宋_GB2312" w:cs="仿宋_GB2312" w:eastAsia="仿宋_GB2312"/>
              </w:rPr>
              <w:t>供应商须提供的资格证明文件 商务响应承诺 中小企业声明函 商务应答表 服务内容及服务要求应答表 报价表 响应文件封面 残疾人福利性单位声明函 服务方案 标的清单 响应函 其他声明文件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1.响应文件包括响应函、报价表、标的清单、服务方案；</w:t>
            </w:r>
          </w:p>
        </w:tc>
        <w:tc>
          <w:tcPr>
            <w:tcW w:type="dxa" w:w="1661"/>
          </w:tcPr>
          <w:p>
            <w:pPr>
              <w:pStyle w:val="null3"/>
            </w:pPr>
            <w:r>
              <w:rPr>
                <w:rFonts w:ascii="仿宋_GB2312" w:hAnsi="仿宋_GB2312" w:cs="仿宋_GB2312" w:eastAsia="仿宋_GB2312"/>
              </w:rPr>
              <w:t>供应商须提供的资格证明文件 商务响应承诺 中小企业声明函 商务应答表 服务内容及服务要求应答表 报价表 响应文件封面 残疾人福利性单位声明函 服务方案 标的清单 响应函 其他声明文件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1.响应函、报价表、标的清单按照采购文件要求签署、加盖公章。</w:t>
            </w:r>
          </w:p>
        </w:tc>
        <w:tc>
          <w:tcPr>
            <w:tcW w:type="dxa" w:w="1661"/>
          </w:tcPr>
          <w:p>
            <w:pPr>
              <w:pStyle w:val="null3"/>
            </w:pPr>
            <w:r>
              <w:rPr>
                <w:rFonts w:ascii="仿宋_GB2312" w:hAnsi="仿宋_GB2312" w:cs="仿宋_GB2312" w:eastAsia="仿宋_GB2312"/>
              </w:rPr>
              <w:t>供应商须提供的资格证明文件 商务响应承诺 中小企业声明函 商务应答表 服务内容及服务要求应答表 报价表 响应文件封面 残疾人福利性单位声明函 服务方案 标的清单 响应函 其他声明文件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1.未超过采购预算； 2.有效期符合单一来源采购文件的要求； 3.付款方式、服务期是否满足单一来源采购文件要求。</w:t>
            </w:r>
          </w:p>
        </w:tc>
        <w:tc>
          <w:tcPr>
            <w:tcW w:type="dxa" w:w="1661"/>
          </w:tcPr>
          <w:p>
            <w:pPr>
              <w:pStyle w:val="null3"/>
            </w:pPr>
            <w:r>
              <w:rPr>
                <w:rFonts w:ascii="仿宋_GB2312" w:hAnsi="仿宋_GB2312" w:cs="仿宋_GB2312" w:eastAsia="仿宋_GB2312"/>
              </w:rPr>
              <w:t>供应商须提供的资格证明文件 商务响应承诺 中小企业声明函 商务应答表 服务内容及服务要求应答表 报价表 响应文件封面 残疾人福利性单位声明函 服务方案 标的清单 响应函 其他声明文件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详见附件：供应商须提供的资格证明文件</w:t>
      </w:r>
    </w:p>
    <w:p>
      <w:pPr>
        <w:pStyle w:val="null3"/>
        <w:ind w:firstLine="960"/>
      </w:pPr>
      <w:r>
        <w:rPr>
          <w:rFonts w:ascii="仿宋_GB2312" w:hAnsi="仿宋_GB2312" w:cs="仿宋_GB2312" w:eastAsia="仿宋_GB2312"/>
        </w:rPr>
        <w:t>详见附件：其他声明文件</w:t>
      </w:r>
    </w:p>
    <w:p>
      <w:pPr>
        <w:pStyle w:val="null3"/>
        <w:ind w:firstLine="960"/>
      </w:pPr>
      <w:r>
        <w:rPr>
          <w:rFonts w:ascii="仿宋_GB2312" w:hAnsi="仿宋_GB2312" w:cs="仿宋_GB2312" w:eastAsia="仿宋_GB2312"/>
        </w:rPr>
        <w:t>详见附件：商务响应承诺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