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版本号：DQZ2026-FW-01820260514001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蒲城县低保、特困人员家计调查服务项目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DQZ2026-FW-018</w:t>
      </w:r>
      <w:r>
        <w:br/>
      </w:r>
      <w:r>
        <w:br/>
      </w:r>
      <w:r>
        <w:br/>
      </w:r>
    </w:p>
    <w:p>
      <w:pPr>
        <w:pStyle w:val="null3"/>
        <w:jc w:val="center"/>
        <w:outlineLvl w:val="2"/>
      </w:pPr>
      <w:r>
        <w:rPr>
          <w:rFonts w:ascii="仿宋_GB2312" w:hAnsi="仿宋_GB2312" w:cs="仿宋_GB2312" w:eastAsia="仿宋_GB2312"/>
          <w:sz w:val="28"/>
          <w:b/>
        </w:rPr>
        <w:t>蒲城县民政局</w:t>
      </w:r>
    </w:p>
    <w:p>
      <w:pPr>
        <w:pStyle w:val="null3"/>
        <w:jc w:val="center"/>
        <w:outlineLvl w:val="2"/>
      </w:pPr>
      <w:r>
        <w:rPr>
          <w:rFonts w:ascii="仿宋_GB2312" w:hAnsi="仿宋_GB2312" w:cs="仿宋_GB2312" w:eastAsia="仿宋_GB2312"/>
          <w:sz w:val="28"/>
          <w:b/>
        </w:rPr>
        <w:t>陕西鼎启正建设项目管理有限公司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陕西鼎启正建设项目管理有限公司</w:t>
      </w:r>
      <w:r>
        <w:rPr>
          <w:rFonts w:ascii="仿宋_GB2312" w:hAnsi="仿宋_GB2312" w:cs="仿宋_GB2312" w:eastAsia="仿宋_GB2312"/>
        </w:rPr>
        <w:t>（以下简称“代理机构”）受</w:t>
      </w:r>
      <w:r>
        <w:rPr>
          <w:rFonts w:ascii="仿宋_GB2312" w:hAnsi="仿宋_GB2312" w:cs="仿宋_GB2312" w:eastAsia="仿宋_GB2312"/>
        </w:rPr>
        <w:t>蒲城县民政局</w:t>
      </w:r>
      <w:r>
        <w:rPr>
          <w:rFonts w:ascii="仿宋_GB2312" w:hAnsi="仿宋_GB2312" w:cs="仿宋_GB2312" w:eastAsia="仿宋_GB2312"/>
        </w:rPr>
        <w:t>委托，拟对</w:t>
      </w:r>
      <w:r>
        <w:rPr>
          <w:rFonts w:ascii="仿宋_GB2312" w:hAnsi="仿宋_GB2312" w:cs="仿宋_GB2312" w:eastAsia="仿宋_GB2312"/>
        </w:rPr>
        <w:t>蒲城县低保、特困人员家计调查服务项目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DQZ2026-FW-018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蒲城县低保、特困人员家计调查服务项目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采购内容：为全面做好低保、特困人员家计调查工作，现通过政府购买服务的方式，对全县约15000户保障对象开展家庭经济状况核查工作。 主要功能或目标：对符合救助保障条件的对象及时纳入保障范围、不再符合救助保障条件的对象及时退出保障范围，确保做到应保尽保、应退尽退，进一步提升救助保障精准度。 需满足的要求：进一步规范社会救助管理，精准识别困难群众，提升低保、特困人员救助供养工作的公平性、准确性与时效性。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采购包1（蒲城县低保、特困人员家计调查服务项目）：属于专门面向中小企业采购。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1、法定代表人/负责人授权书或身份证明：法定代表人直接参加磋商的，须提供法定代表人身份证明及身份证；法定代表人授权他人参加的，须提供法定代表人授权书（附法定代表人、被授权人身份证复印件）。 供应商需在项目电子化交易系统中按要求上传相应证明文件并进行电子签章。</w:t>
      </w:r>
    </w:p>
    <w:p>
      <w:pPr>
        <w:pStyle w:val="null3"/>
      </w:pPr>
      <w:r>
        <w:rPr>
          <w:rFonts w:ascii="仿宋_GB2312" w:hAnsi="仿宋_GB2312" w:cs="仿宋_GB2312" w:eastAsia="仿宋_GB2312"/>
        </w:rPr>
        <w:t>2、信誉要求：通过“信用中国”网站（www.creditchina.gov.cn）查询供应商信用记录，被列入失信被执行人、重大税收违法失信主体、中国政府采购网（www.ccgp.gov.cn）查询政府采购严重违法失信行为记录名单的单位将被拒绝参与本项目；</w:t>
      </w:r>
    </w:p>
    <w:p>
      <w:pPr>
        <w:pStyle w:val="null3"/>
      </w:pPr>
      <w:r>
        <w:rPr>
          <w:rFonts w:ascii="仿宋_GB2312" w:hAnsi="仿宋_GB2312" w:cs="仿宋_GB2312" w:eastAsia="仿宋_GB2312"/>
        </w:rPr>
        <w:t>3、非联合体磋商：本项目不接受联合体磋商（提供非联合体磋商承诺书）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渭南市蒲城县长乐路与东环路十字北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刘宝毅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13892343881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陕西鼎启正建设项目管理有限公司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陕西省西安市未央区陕西省西安市经济技术开发区凤城四路103号世融嘉轩21号楼世融国际1405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彭统贤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17392217611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开户名称：陕西鼎启正建设项目管理有限公司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银行账号：707011580000215539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代理服务费收费标准：招标代理服务费金额以中标金额为基数由中标单位参照国家计委颁发的《招标代理服务收费管理暂行办法》（计价格〔2002〕1980号）的有关规定，向代理机构一次支付招标代理服务费。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蒲城县民政局</w:t>
      </w:r>
      <w:r>
        <w:rPr>
          <w:rFonts w:ascii="仿宋_GB2312" w:hAnsi="仿宋_GB2312" w:cs="仿宋_GB2312" w:eastAsia="仿宋_GB2312"/>
        </w:rPr>
        <w:t>和</w:t>
      </w:r>
      <w:r>
        <w:rPr>
          <w:rFonts w:ascii="仿宋_GB2312" w:hAnsi="仿宋_GB2312" w:cs="仿宋_GB2312" w:eastAsia="仿宋_GB2312"/>
        </w:rPr>
        <w:t>陕西鼎启正建设项目管理有限公司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陕西鼎启正建设项目管理有限公司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陕西鼎启正建设项目管理有限公司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参照合同文本、磋商文件等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联系人：曾萍</w:t>
      </w:r>
    </w:p>
    <w:p>
      <w:pPr>
        <w:pStyle w:val="null3"/>
      </w:pPr>
      <w:r>
        <w:rPr>
          <w:rFonts w:ascii="仿宋_GB2312" w:hAnsi="仿宋_GB2312" w:cs="仿宋_GB2312" w:eastAsia="仿宋_GB2312"/>
        </w:rPr>
        <w:t>联系电话：15619641719</w:t>
      </w:r>
    </w:p>
    <w:p>
      <w:pPr>
        <w:pStyle w:val="null3"/>
      </w:pPr>
      <w:r>
        <w:rPr>
          <w:rFonts w:ascii="仿宋_GB2312" w:hAnsi="仿宋_GB2312" w:cs="仿宋_GB2312" w:eastAsia="仿宋_GB2312"/>
        </w:rPr>
        <w:t>地址：陕西省西安市经济技术开发区凤城四路103号世融嘉轩21号楼世融国际1405</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采购内容：为全面做好低保、特困人员家计调查工作，现通过政府购买服务的方式，对全县约15000户保障对象开展家庭经济状况核查工作。 采购数量：1项 主要功能或目标：对符合救助保障条件的对象及时纳入保障范围、不再符合救助保障条件的对象及时退出保障范围，确保做到应保尽保、应退尽退，进一步提升救助保障精准度。 需满足的要求：进一步规范社会救助管理，精准识别困难群众，提升低保、特困人员救助供养工作的公平性、准确性与时效性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家计调查服务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标的名称：家计调查服务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90"/>
              <w:jc w:val="both"/>
            </w:pPr>
            <w:r>
              <w:rPr>
                <w:rFonts w:ascii="仿宋_GB2312" w:hAnsi="仿宋_GB2312" w:cs="仿宋_GB2312" w:eastAsia="仿宋_GB2312"/>
                <w:sz w:val="28"/>
                <w:b/>
                <w:color w:val="000000"/>
              </w:rPr>
              <w:t>一、项目概况</w:t>
            </w:r>
          </w:p>
          <w:p>
            <w:pPr>
              <w:pStyle w:val="null3"/>
              <w:ind w:firstLine="420"/>
              <w:jc w:val="both"/>
            </w:pPr>
            <w:r>
              <w:rPr>
                <w:rFonts w:ascii="仿宋_GB2312" w:hAnsi="仿宋_GB2312" w:cs="仿宋_GB2312" w:eastAsia="仿宋_GB2312"/>
                <w:sz w:val="21"/>
                <w:color w:val="000000"/>
              </w:rPr>
              <w:t>为深入贯彻落实社会救助政策，切实提升我县社会救助工作的精准度，为贯彻落实国家及省级相关政策要求，持续推进蒲城县社会救助规划化、专业化水平，全面核查低保、特困等保障对象家庭经济情况，健全救助档案规范化、电子化管理，结合我县实际工作需求，县民政局通过政府购买服务的方式，委托第三方公司或机构，为全县各街道开展低保、特困等保障对象年度家计入户调查，切实筑牢困难群众的基本生活和安全防线。</w:t>
            </w:r>
          </w:p>
          <w:p>
            <w:pPr>
              <w:pStyle w:val="null3"/>
              <w:spacing w:before="90"/>
              <w:jc w:val="both"/>
            </w:pPr>
            <w:r>
              <w:rPr>
                <w:rFonts w:ascii="仿宋_GB2312" w:hAnsi="仿宋_GB2312" w:cs="仿宋_GB2312" w:eastAsia="仿宋_GB2312"/>
                <w:sz w:val="28"/>
                <w:b/>
                <w:color w:val="000000"/>
              </w:rPr>
              <w:t>二、服务内容</w:t>
            </w:r>
          </w:p>
          <w:p>
            <w:pPr>
              <w:pStyle w:val="null3"/>
              <w:ind w:firstLine="422"/>
              <w:jc w:val="left"/>
            </w:pPr>
            <w:r>
              <w:rPr>
                <w:rFonts w:ascii="仿宋_GB2312" w:hAnsi="仿宋_GB2312" w:cs="仿宋_GB2312" w:eastAsia="仿宋_GB2312"/>
                <w:sz w:val="21"/>
                <w:b/>
                <w:color w:val="000000"/>
              </w:rPr>
              <w:t>（一）服务内容</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入户</w:t>
            </w:r>
            <w:r>
              <w:rPr>
                <w:rFonts w:ascii="仿宋_GB2312" w:hAnsi="仿宋_GB2312" w:cs="仿宋_GB2312" w:eastAsia="仿宋_GB2312"/>
                <w:sz w:val="21"/>
                <w:color w:val="000000"/>
              </w:rPr>
              <w:t>调查：对在册低保对象、特困人员进行复核；低保对象、特困人员等民政社会救助政策落实情况；</w:t>
            </w:r>
          </w:p>
          <w:p>
            <w:pPr>
              <w:pStyle w:val="null3"/>
              <w:ind w:firstLine="420"/>
              <w:jc w:val="both"/>
            </w:pPr>
            <w:r>
              <w:rPr>
                <w:rFonts w:ascii="仿宋_GB2312" w:hAnsi="仿宋_GB2312" w:cs="仿宋_GB2312" w:eastAsia="仿宋_GB2312"/>
                <w:sz w:val="21"/>
                <w:color w:val="000000"/>
              </w:rPr>
              <w:t>2.发挥"主动发现"机制作用：主动摸排疑似符合低保、特困人员等社会救助政策的城乡居民家庭，做好情况记录，并及时向街道和县民政局报告。</w:t>
            </w:r>
          </w:p>
          <w:p>
            <w:pPr>
              <w:pStyle w:val="null3"/>
              <w:ind w:firstLine="420"/>
              <w:jc w:val="both"/>
            </w:pPr>
            <w:r>
              <w:rPr>
                <w:rFonts w:ascii="仿宋_GB2312" w:hAnsi="仿宋_GB2312" w:cs="仿宋_GB2312" w:eastAsia="仿宋_GB2312"/>
                <w:sz w:val="21"/>
                <w:color w:val="000000"/>
              </w:rPr>
              <w:t>3.公示检查：对各行政村、社区的社会救助公示栏、公示内容进行监督检查，对发现的问题及时报告街道和县民政局。</w:t>
            </w:r>
          </w:p>
          <w:p>
            <w:pPr>
              <w:pStyle w:val="null3"/>
              <w:ind w:firstLine="420"/>
              <w:jc w:val="both"/>
            </w:pPr>
            <w:r>
              <w:rPr>
                <w:rFonts w:ascii="仿宋_GB2312" w:hAnsi="仿宋_GB2312" w:cs="仿宋_GB2312" w:eastAsia="仿宋_GB2312"/>
                <w:sz w:val="21"/>
                <w:color w:val="000000"/>
              </w:rPr>
              <w:t>4.政策宣传：开展内容丰富、形式多样的社会救助政策的宣传活动，提高群众对社会救助政策的知晓率。</w:t>
            </w:r>
          </w:p>
          <w:p>
            <w:pPr>
              <w:pStyle w:val="null3"/>
              <w:ind w:firstLine="422"/>
              <w:jc w:val="left"/>
            </w:pPr>
            <w:r>
              <w:rPr>
                <w:rFonts w:ascii="仿宋_GB2312" w:hAnsi="仿宋_GB2312" w:cs="仿宋_GB2312" w:eastAsia="仿宋_GB2312"/>
                <w:sz w:val="21"/>
                <w:b/>
                <w:color w:val="000000"/>
              </w:rPr>
              <w:t>（二）服务区域</w:t>
            </w:r>
          </w:p>
          <w:p>
            <w:pPr>
              <w:pStyle w:val="null3"/>
              <w:ind w:firstLine="422"/>
              <w:jc w:val="left"/>
            </w:pPr>
            <w:r>
              <w:rPr>
                <w:rFonts w:ascii="仿宋_GB2312" w:hAnsi="仿宋_GB2312" w:cs="仿宋_GB2312" w:eastAsia="仿宋_GB2312"/>
                <w:sz w:val="21"/>
                <w:b/>
                <w:color w:val="000000"/>
              </w:rPr>
              <w:t>在蒲城县行政辖区内，必要时，延伸至蒲城县行政辖区之外。</w:t>
            </w:r>
          </w:p>
          <w:p>
            <w:pPr>
              <w:pStyle w:val="null3"/>
              <w:ind w:firstLine="422"/>
              <w:jc w:val="left"/>
            </w:pPr>
            <w:r>
              <w:rPr>
                <w:rFonts w:ascii="仿宋_GB2312" w:hAnsi="仿宋_GB2312" w:cs="仿宋_GB2312" w:eastAsia="仿宋_GB2312"/>
                <w:sz w:val="21"/>
                <w:b/>
                <w:color w:val="000000"/>
              </w:rPr>
              <w:t>（（四）入户调查</w:t>
            </w:r>
          </w:p>
          <w:p>
            <w:pPr>
              <w:pStyle w:val="null3"/>
              <w:ind w:firstLine="420"/>
              <w:jc w:val="both"/>
            </w:pPr>
            <w:r>
              <w:rPr>
                <w:rFonts w:ascii="仿宋_GB2312" w:hAnsi="仿宋_GB2312" w:cs="仿宋_GB2312" w:eastAsia="仿宋_GB2312"/>
                <w:sz w:val="21"/>
                <w:color w:val="000000"/>
              </w:rPr>
              <w:t>完成蒲城县低保对象、特困人员等保障对象约</w:t>
            </w:r>
            <w:r>
              <w:rPr>
                <w:rFonts w:ascii="仿宋_GB2312" w:hAnsi="仿宋_GB2312" w:cs="仿宋_GB2312" w:eastAsia="仿宋_GB2312"/>
                <w:sz w:val="21"/>
                <w:color w:val="000000"/>
              </w:rPr>
              <w:t>15000户的家计入户调查，由受托方按照社会救助相关工作文件规定，以询问、查证资料等形式进行入户调查、邻里访问及其他方式调查，并填写相关调查表，同时附带入户调查对象家庭情况照片及入户调查照片。</w:t>
            </w:r>
          </w:p>
          <w:p>
            <w:pPr>
              <w:pStyle w:val="null3"/>
              <w:ind w:firstLine="420"/>
              <w:jc w:val="both"/>
            </w:pPr>
            <w:r>
              <w:rPr>
                <w:rFonts w:ascii="仿宋_GB2312" w:hAnsi="仿宋_GB2312" w:cs="仿宋_GB2312" w:eastAsia="仿宋_GB2312"/>
                <w:sz w:val="21"/>
                <w:color w:val="000000"/>
              </w:rPr>
              <w:t>分散供养的特困人员的供养情况：分散供养的特困人员的生活起居、居住环境情况，监护人监护情况，是否有集中供养的需求。</w:t>
            </w:r>
          </w:p>
          <w:p>
            <w:pPr>
              <w:pStyle w:val="null3"/>
              <w:ind w:firstLine="422"/>
              <w:jc w:val="left"/>
            </w:pPr>
            <w:r>
              <w:rPr>
                <w:rFonts w:ascii="仿宋_GB2312" w:hAnsi="仿宋_GB2312" w:cs="仿宋_GB2312" w:eastAsia="仿宋_GB2312"/>
                <w:sz w:val="21"/>
                <w:b/>
                <w:color w:val="000000"/>
              </w:rPr>
              <w:t>（五）调查方法要求</w:t>
            </w:r>
          </w:p>
          <w:p>
            <w:pPr>
              <w:pStyle w:val="null3"/>
              <w:ind w:firstLine="420"/>
              <w:jc w:val="both"/>
            </w:pPr>
            <w:r>
              <w:rPr>
                <w:rFonts w:ascii="仿宋_GB2312" w:hAnsi="仿宋_GB2312" w:cs="仿宋_GB2312" w:eastAsia="仿宋_GB2312"/>
                <w:sz w:val="21"/>
                <w:color w:val="000000"/>
              </w:rPr>
              <w:t>1.入户调查：调查人员直接进入调查对象家庭进行调查，核定家庭户籍状况、共同生活成员状况、家庭收入、财产状况和吃、穿、住、用等实际生活情况。主要查看申报内容与实际情况是否一致，仔细观察家庭装修、电器及日常消费用品情况，判断其日常生活水平；详细询问家庭成员的务工情况、收入情况、家庭消费水平以及赡养、抚养、扶养状况等。重点调查了解其家庭成员、家庭收入、家庭财产变化情况以及现实生活情况。</w:t>
            </w:r>
          </w:p>
          <w:p>
            <w:pPr>
              <w:pStyle w:val="null3"/>
              <w:ind w:firstLine="420"/>
              <w:jc w:val="both"/>
            </w:pPr>
            <w:r>
              <w:rPr>
                <w:rFonts w:ascii="仿宋_GB2312" w:hAnsi="仿宋_GB2312" w:cs="仿宋_GB2312" w:eastAsia="仿宋_GB2312"/>
                <w:sz w:val="21"/>
                <w:color w:val="000000"/>
              </w:rPr>
              <w:t>2.邻里访问：调查人员到申请人所在村（居）委会及邻居，充分了解调查对象家庭人口、收入、财产和日常消费及实际生活情况。</w:t>
            </w:r>
          </w:p>
          <w:p>
            <w:pPr>
              <w:pStyle w:val="null3"/>
              <w:ind w:firstLine="420"/>
              <w:jc w:val="both"/>
            </w:pPr>
            <w:r>
              <w:rPr>
                <w:rFonts w:ascii="仿宋_GB2312" w:hAnsi="仿宋_GB2312" w:cs="仿宋_GB2312" w:eastAsia="仿宋_GB2312"/>
                <w:sz w:val="21"/>
                <w:color w:val="000000"/>
              </w:rPr>
              <w:t>3.信函索证：调查人员必要时可以通过信函方式向相关单位和部门索取有关证明材料，核实申请对象提交证明材料的真实性。</w:t>
            </w:r>
          </w:p>
          <w:p>
            <w:pPr>
              <w:pStyle w:val="null3"/>
              <w:ind w:firstLine="422"/>
              <w:jc w:val="both"/>
            </w:pPr>
            <w:r>
              <w:rPr>
                <w:rFonts w:ascii="仿宋_GB2312" w:hAnsi="仿宋_GB2312" w:cs="仿宋_GB2312" w:eastAsia="仿宋_GB2312"/>
                <w:sz w:val="21"/>
                <w:b/>
                <w:color w:val="000000"/>
              </w:rPr>
              <w:t>（六）调查工作要求</w:t>
            </w:r>
          </w:p>
          <w:p>
            <w:pPr>
              <w:pStyle w:val="null3"/>
              <w:ind w:firstLine="420"/>
              <w:jc w:val="both"/>
            </w:pPr>
            <w:r>
              <w:rPr>
                <w:rFonts w:ascii="仿宋_GB2312" w:hAnsi="仿宋_GB2312" w:cs="仿宋_GB2312" w:eastAsia="仿宋_GB2312"/>
                <w:sz w:val="21"/>
                <w:color w:val="000000"/>
              </w:rPr>
              <w:t>受托方对所调查对象家庭按照一户一档要求做好规范化档案整理、归档等工作。包括申请人提供的所有资料、调查资料原件、以及入户照片等影像资料，资料整理完成后，交由县民政局保存。</w:t>
            </w:r>
          </w:p>
          <w:p>
            <w:pPr>
              <w:pStyle w:val="null3"/>
              <w:spacing w:before="90"/>
              <w:ind w:left="30"/>
              <w:jc w:val="both"/>
            </w:pPr>
            <w:r>
              <w:rPr>
                <w:rFonts w:ascii="仿宋_GB2312" w:hAnsi="仿宋_GB2312" w:cs="仿宋_GB2312" w:eastAsia="仿宋_GB2312"/>
              </w:rPr>
              <w:t xml:space="preserve"> </w:t>
            </w:r>
          </w:p>
          <w:p>
            <w:pPr>
              <w:pStyle w:val="null3"/>
              <w:ind w:firstLine="422"/>
              <w:jc w:val="both"/>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蒲城县总体人口、社会救助服务对象规模估算，服务商应当配备的工作人员不少于8人，其中配合局机关做好与街办沟通对接、资料整理反馈的项目负责人不少于1人，入户调查人员不少于7人（在年度复核等工作量较大时期，服务商需加派人员集中力量做好复核工作）。服务商应当负责完成本合同约定的服务事项，做好调查人员相关政策培训工作，其中持有国家人力资源和社会保障部颁发的《社会工作者职业资格证书》不少于入户调查人员总数的1/2。</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服务商应配备不少于2台5座（7座）机动车辆专职保障入户调查工作，车辆车龄应在6年以下，司机驾龄应在3年以上且对蒲城县地形较为熟悉。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服务期限为自合同签订之日起至2026年12月30日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在蒲城县行政辖区内，必要时，延伸至蒲城县行政辖区之外。</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1.验收方式：供应商在采购人确认收到所有工作成果后，向采购人提出验收申请，采购人接到供应商验收申请后组织验收。 2.最终验收：受托方对所调查对象家庭做好档案整理、归档等工作。包括申请人提供的所有资料、调查资料、以及入户照片等影像资料，资料整理完成后，交由县民政局指定部门保存。 3.验收依据：合同文本、磋商文件等。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合同签订之日起</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待最终成果交付验收合格后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2、未按合同要求履行服务内容要求，采购人有权终止合同， 并对服务方违约行为进行追究，同时按《中华人民共和国政府采购法》、《中华人民共和国民法典》等有关规定进行处罚。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2.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3.提供具有履行合同所必需的设备和专业技术能力的承诺 ；4.提供投标截止时间前6个月内任意一个月的纳税证明或完税证明（以税款所属期为准，依法免税的应提供相关证明材料）；5.提供投标截止时间前6个月内任意一个月的社保缴费凭据或社保机构开具的社会保险参保缴费情况证明（依法不需要缴纳社会保障资金的应提供相关证明材料）；6.参加政府采购活动前三年内，在经营活动中没有重大违法记录的声明。供应商应具备《中华人民共和国政府采购法》第二十二条规定的条件； 供应商需在项目电子化交易系统中按要求填写《投标函》完成承诺并进行电子签章。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皆可：①、供应商应提供2024年度或2025年度经审计的财务会计报告（成立时间至提交磋商响应文件截止时间不足一年的可提供成立后任意时段的资产负债表），或提交磋商响应截止时间前3个月内银行出具的资信证明，或信用担保机构出具的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法定代表人/负责人授权书或身份证明</w:t>
            </w:r>
          </w:p>
        </w:tc>
        <w:tc>
          <w:tcPr>
            <w:tcW w:type="dxa" w:w="3322"/>
          </w:tcPr>
          <w:p>
            <w:pPr>
              <w:pStyle w:val="null3"/>
            </w:pPr>
            <w:r>
              <w:rPr>
                <w:rFonts w:ascii="仿宋_GB2312" w:hAnsi="仿宋_GB2312" w:cs="仿宋_GB2312" w:eastAsia="仿宋_GB2312"/>
              </w:rPr>
              <w:t>法定代表人直接参加磋商的，须提供法定代表人身份证明及身份证；法定代表人授权他人参加的，须提供法定代表人授权书（附法定代表人、被授权人身份证复印件）。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通过“信用中国”网站（www.creditchina.gov.cn）查询供应商信用记录，被列入失信被执行人、重大税收违法失信主体、中国政府采购网（www.ccgp.gov.cn）查询政府采购严重违法失信行为记录名单的单位将被拒绝参与本项目；</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本项目不接受联合体磋商（提供非联合体磋商承诺书）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供应商名称与公章、营业执照（或其他主体资格证明文件）一致</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w:t>
            </w:r>
          </w:p>
        </w:tc>
        <w:tc>
          <w:tcPr>
            <w:tcW w:type="dxa" w:w="1661"/>
          </w:tcPr>
          <w:p>
            <w:pPr>
              <w:pStyle w:val="null3"/>
            </w:pPr>
            <w:r>
              <w:rPr>
                <w:rFonts w:ascii="仿宋_GB2312" w:hAnsi="仿宋_GB2312" w:cs="仿宋_GB2312" w:eastAsia="仿宋_GB2312"/>
              </w:rPr>
              <w:t>响应文件封面 中小企业声明函 商务应答表 标的清单 服务内容及服务要求应答表.docx 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磋商响应文件内容完整、格式符合要求、内容清晰可辨</w:t>
            </w:r>
          </w:p>
        </w:tc>
        <w:tc>
          <w:tcPr>
            <w:tcW w:type="dxa" w:w="1661"/>
          </w:tcPr>
          <w:p>
            <w:pPr>
              <w:pStyle w:val="null3"/>
            </w:pPr>
            <w:r>
              <w:rPr>
                <w:rFonts w:ascii="仿宋_GB2312" w:hAnsi="仿宋_GB2312" w:cs="仿宋_GB2312" w:eastAsia="仿宋_GB2312"/>
              </w:rPr>
              <w:t>响应文件封面 中小企业声明函 商务应答表 标的清单 服务内容及服务要求应答表.docx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服务期限是否按磋商文件要求响应</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服务地点是否按磋商文件要求响应</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响应有效期是否响应磋商文件的要求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响应报价是否超过采购预算或最高限价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存在其它不符合法律法规或招标文件规定的投标无效条款</w:t>
            </w:r>
          </w:p>
        </w:tc>
        <w:tc>
          <w:tcPr>
            <w:tcW w:type="dxa" w:w="1661"/>
          </w:tcPr>
          <w:p>
            <w:pPr>
              <w:pStyle w:val="null3"/>
            </w:pPr>
            <w:r>
              <w:rPr>
                <w:rFonts w:ascii="仿宋_GB2312" w:hAnsi="仿宋_GB2312" w:cs="仿宋_GB2312" w:eastAsia="仿宋_GB2312"/>
              </w:rPr>
              <w:t>响应文件封面 中小企业声明函 商务应答表 标的清单 承诺书.docx 供应商资格证明文件.docx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根据项目要求及特点，服务实施方案详细、完整、可操作性强等。 1.方案明确、细节考虑到位，有针对性、有实施能力得15-20分； 2.描述清楚，明确要求得10-15（含）分； 3.描述基本清楚、要点基本清楚得5-10（含）分； 4.描述简单、粗略得 0-5(含)分。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内部管理 制度方案</w:t>
            </w:r>
          </w:p>
        </w:tc>
        <w:tc>
          <w:tcPr>
            <w:tcW w:type="dxa" w:w="2492"/>
          </w:tcPr>
          <w:p>
            <w:pPr>
              <w:pStyle w:val="null3"/>
            </w:pPr>
            <w:r>
              <w:rPr>
                <w:rFonts w:ascii="仿宋_GB2312" w:hAnsi="仿宋_GB2312" w:cs="仿宋_GB2312" w:eastAsia="仿宋_GB2312"/>
              </w:rPr>
              <w:t>供应商根据本项目的内容及要求编制管理制度方案（包括不限于安全保密制度、保密流程及规范、突发事故应急方案 等）； 1.方案各部分内容全面详细、逻辑条理清晰、操作细节明确且符合本项目采购需求，能有效保障本项目实施的得6-10分； 2.方案各部分内容比较全面。条理性，操作细节比较清楚的3-6（含）分； 3.方案各部分内容不太全面，条理性，操作细节不太清楚得0-3(含）分。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1.有详细的组织进度安排、时间节点控制,能够承诺在规定时间按质按量完成项目，遵守采购方的合同条款及服从采购人管理，等方案承诺详细可行得9-12分； 2.组织进度安排、时间节点控制，实施计划等方案承诺可行性及针对性较强得6-9（含)分； 3.组织进度安排、时间节点控制，实施计划等方案承诺可行满足要求得3-6（含）分； 4.方案缺项简单得0-3（含）分。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1.有利于本项目并切实可行的服务承诺及服务保证措施，承诺事项具、可行、可操作性强得6-10分； 2.服务的承诺事项较符合实际情况得3-6（含)分； 3.服务的承诺事项简单空泛得0-3(含）分；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提供的专职工作人员应符合本项目采购需求。 1.人员架构科学、分工合理、职责明确、经验丰富，提供的证书等证明材料完整，得6-10（含）分； 2.人员架构简单基本满足项目需求得3-6（含)分； 3.职责不明确、提供材料不全，得0-3（含）分。 注：提供的社工证必须为国家人力资源与社会保障部颁发的《社会工作者职业资格证书》，其他证书无效。</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服务商应配备不少于2台5座（7座）机动车辆（提供相关证明材料）专职保障入户调查工作，车辆车龄应在6年以下，司机驾龄应在3年以上且对蒲城县地形较为熟悉，并提供车辆行驶证及驾驶证，根据响应情况 得0-5分；未提供不得分。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针对本项目实际需求，提供实质性的合理化建议。 建议内容科学可行，针对性强，得3-5（含）分； 建议内容基本可行，针对性一般，得0-3（含）分；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1.针对本项目供应商应积极开展内容丰富、形式多样的相关政策的宣传活动，供应商对此做响应说明该项措施详细准确、可行性强、科学合理，针对性强，完全满足本项目需求，得3-5（含）分； 3.措施不够详细，可行性、合理性一般，针对性不够，得0-3（含）分；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服务人员进行培训，培训内容包括但不限于培训目的、培训对象、培训方式、培训队伍等，供应商提供完整的培训计划和方案，根据计划和方案的专业性、可行性和完整性：培训计划和方案完善，专业性和可行性强，得3-5（含）分；培训计划和方案不完善，专业性和可行性差，得0-3（含）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供应商提供2022年1月1日起至今同类项目业绩（以合同签订时间为准）； （磋商响应文件中提供合同复印件并加盖供应商公章）每个计2分，共8分。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2.满足招标文件实质性要求且投标报价最低的供应商的价格为评标基准价，其价格分为满分10分。 3.投标报价得分=（评标基准价/投标报价） ×10 的公式计算得分。 4.投标报价不完整的，不进入评标基准价的计算， 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