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版本号：KY2026-3-10820260529001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动态热机械分析仪</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KY2026-3-108</w:t>
      </w:r>
      <w:r>
        <w:br/>
      </w:r>
      <w:r>
        <w:br/>
      </w:r>
      <w:r>
        <w:br/>
      </w:r>
    </w:p>
    <w:p>
      <w:pPr>
        <w:pStyle w:val="null3"/>
        <w:jc w:val="center"/>
        <w:outlineLvl w:val="2"/>
      </w:pPr>
      <w:r>
        <w:rPr>
          <w:rFonts w:ascii="仿宋_GB2312" w:hAnsi="仿宋_GB2312" w:cs="仿宋_GB2312" w:eastAsia="仿宋_GB2312"/>
          <w:sz w:val="28"/>
          <w:b/>
        </w:rPr>
        <w:t>西安工业大学</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西安工业大学</w:t>
      </w:r>
      <w:r>
        <w:rPr>
          <w:rFonts w:ascii="仿宋_GB2312" w:hAnsi="仿宋_GB2312" w:cs="仿宋_GB2312" w:eastAsia="仿宋_GB2312"/>
        </w:rPr>
        <w:t>委托，拟对</w:t>
      </w:r>
      <w:r>
        <w:rPr>
          <w:rFonts w:ascii="仿宋_GB2312" w:hAnsi="仿宋_GB2312" w:cs="仿宋_GB2312" w:eastAsia="仿宋_GB2312"/>
        </w:rPr>
        <w:t>动态热机械分析仪</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KY2026-3-108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动态热机械分析仪</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动态热机械分析仪，详见采购文件。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会计报告：提供2024年度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上一年度至今任意一个月的依法缴纳税收的相关凭据（时间以税款所属日期为准），凭据应有税务机关或代收机关的公章或业务专用章。依法免税或无须缴纳税收的投标人，应提供相应证明文件。</w:t>
      </w:r>
    </w:p>
    <w:p>
      <w:pPr>
        <w:pStyle w:val="null3"/>
      </w:pPr>
      <w:r>
        <w:rPr>
          <w:rFonts w:ascii="仿宋_GB2312" w:hAnsi="仿宋_GB2312" w:cs="仿宋_GB2312" w:eastAsia="仿宋_GB2312"/>
        </w:rPr>
        <w:t>4、社会保障资金缴纳证明：提供上一年度至今已缴存的至少一个月的社会保障资金缴存单据或社保机构开具的社会保险参保缴费情况证明，依法不需要缴纳社会保障资金的单位应提供相关证明材料。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投标人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7、法定代表人授权书：法定代表人授权书及被授权人身份证复印件。（法定代表人直接投标只须提交其身份证明书）</w:t>
      </w:r>
    </w:p>
    <w:p>
      <w:pPr>
        <w:pStyle w:val="null3"/>
      </w:pPr>
      <w:r>
        <w:rPr>
          <w:rFonts w:ascii="仿宋_GB2312" w:hAnsi="仿宋_GB2312" w:cs="仿宋_GB2312" w:eastAsia="仿宋_GB2312"/>
        </w:rPr>
        <w:t>8、进口产品资质：若所投产品为进口产品的，投标人须提供产品厂家授权书或总代理商授权书或具有授权权限的投标人对所投进口产品的授权书。（如提供总代理商授权的须同时提供具有有效授权权限的相关证明文件，证明文件需能显示产品制造厂家对所响应产品授权链条的完整性）</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西安工业大学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未央区学府中路2号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029-86173168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 1111 号莱安中心 T6-15 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任萍萍、王琦、戈迪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029-81206622/81206633-842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采购包1：1,440,000.00元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采购包1保证金金额：21,600.00元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银行账号：86113010750181502001248</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说明：1.中标（成交）供应商在签订合同前 5 个工作日内，向采购人缴纳合同总价 5%的履约保证金； 2.中标（成交）供应商如期履约完成且不存在其他任何违约责任，采购人无息由原缴费账户退还履约保证金全款。 3.若中标（成交）供应商未能按照合同约定履行，则采购人有权全额扣除履约保证金，并保留追究中标（成交）供应商违约相关的法律责任。</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150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代理服务费收费标准：1、项目中标价小于 50 万元以内的委托代理项目，代理服务费定额 3000 元(人民币) 2、项目中标价大于 50 万元(含)小于 1000 万元的项目，服务费率收取为委托项目人民币成交价的 0.69%。</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允许。本项目允许采购进口产品，进口产品的清单详见第3章。</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西安工业大学</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西安工业大学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西安工业大学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联系人：任萍萍、王琦、戈迪</w:t>
      </w:r>
    </w:p>
    <w:p>
      <w:pPr>
        <w:pStyle w:val="null3"/>
      </w:pPr>
      <w:r>
        <w:rPr>
          <w:rFonts w:ascii="仿宋_GB2312" w:hAnsi="仿宋_GB2312" w:cs="仿宋_GB2312" w:eastAsia="仿宋_GB2312"/>
        </w:rPr>
        <w:t>联系电话：029-81206622-842</w:t>
      </w:r>
    </w:p>
    <w:p>
      <w:pPr>
        <w:pStyle w:val="null3"/>
      </w:pPr>
      <w:r>
        <w:rPr>
          <w:rFonts w:ascii="仿宋_GB2312" w:hAnsi="仿宋_GB2312" w:cs="仿宋_GB2312" w:eastAsia="仿宋_GB2312"/>
        </w:rPr>
        <w:t>地址：西安市雁展路 1111 号莱安中心 T6-15 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动态热机械分析仪，详见采购文件。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1,440,000.00</w:t>
      </w:r>
    </w:p>
    <w:p>
      <w:pPr>
        <w:pStyle w:val="null3"/>
      </w:pPr>
      <w:r>
        <w:rPr>
          <w:rFonts w:ascii="仿宋_GB2312" w:hAnsi="仿宋_GB2312" w:cs="仿宋_GB2312" w:eastAsia="仿宋_GB2312"/>
        </w:rPr>
        <w:t>采购包最高限价（元）: 1,440,000.00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动态热机械分析仪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1,440,000.00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标的名称：动态热机械分析仪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动态热机械分析仪</w:t>
            </w:r>
            <w:r>
              <w:br/>
            </w:r>
            <w:r>
              <w:rPr>
                <w:rFonts w:ascii="仿宋_GB2312" w:hAnsi="仿宋_GB2312" w:cs="仿宋_GB2312" w:eastAsia="仿宋_GB2312"/>
              </w:rPr>
              <w:t xml:space="preserve"> 1▲、动态力范围：≥±40N；</w:t>
            </w:r>
            <w:r>
              <w:br/>
            </w:r>
            <w:r>
              <w:rPr>
                <w:rFonts w:ascii="仿宋_GB2312" w:hAnsi="仿宋_GB2312" w:cs="仿宋_GB2312" w:eastAsia="仿宋_GB2312"/>
              </w:rPr>
              <w:t xml:space="preserve"> 2★、施力频率：至少覆盖 0.001～250Hz（需提供不限于产品彩页、测试报告、官网和功能截图等技术支持性文件资料，不满足或未提供证明材料按未实质性响应招标文件处理）；</w:t>
            </w:r>
            <w:r>
              <w:br/>
            </w:r>
            <w:r>
              <w:rPr>
                <w:rFonts w:ascii="仿宋_GB2312" w:hAnsi="仿宋_GB2312" w:cs="仿宋_GB2312" w:eastAsia="仿宋_GB2312"/>
              </w:rPr>
              <w:t xml:space="preserve"> 3▲、控制模式：力和位移测量和马达分离设计，直接测量样品力和位移；</w:t>
            </w:r>
            <w:r>
              <w:br/>
            </w:r>
            <w:r>
              <w:rPr>
                <w:rFonts w:ascii="仿宋_GB2312" w:hAnsi="仿宋_GB2312" w:cs="仿宋_GB2312" w:eastAsia="仿宋_GB2312"/>
              </w:rPr>
              <w:t xml:space="preserve"> 4▲、测量模式：力和位移独立控制模式，可根据样品模量变化自由转换；</w:t>
            </w:r>
            <w:r>
              <w:br/>
            </w:r>
            <w:r>
              <w:rPr>
                <w:rFonts w:ascii="仿宋_GB2312" w:hAnsi="仿宋_GB2312" w:cs="仿宋_GB2312" w:eastAsia="仿宋_GB2312"/>
              </w:rPr>
              <w:t xml:space="preserve"> 5、动态位移范围：≥1500µm；</w:t>
            </w:r>
            <w:r>
              <w:br/>
            </w:r>
            <w:r>
              <w:rPr>
                <w:rFonts w:ascii="仿宋_GB2312" w:hAnsi="仿宋_GB2312" w:cs="仿宋_GB2312" w:eastAsia="仿宋_GB2312"/>
              </w:rPr>
              <w:t xml:space="preserve"> 6、温度范围:至少覆盖-150～500℃（自动液氮冷却方式）；</w:t>
            </w:r>
            <w:r>
              <w:br/>
            </w:r>
            <w:r>
              <w:rPr>
                <w:rFonts w:ascii="仿宋_GB2312" w:hAnsi="仿宋_GB2312" w:cs="仿宋_GB2312" w:eastAsia="仿宋_GB2312"/>
              </w:rPr>
              <w:t xml:space="preserve"> 7、温度准确度：±0.5℃（标准物熔点法校准）；</w:t>
            </w:r>
            <w:r>
              <w:br/>
            </w:r>
            <w:r>
              <w:rPr>
                <w:rFonts w:ascii="仿宋_GB2312" w:hAnsi="仿宋_GB2312" w:cs="仿宋_GB2312" w:eastAsia="仿宋_GB2312"/>
              </w:rPr>
              <w:t xml:space="preserve"> 8▲、刚度范围：10～10</w:t>
            </w:r>
            <w:r>
              <w:rPr>
                <w:rFonts w:ascii="仿宋_GB2312" w:hAnsi="仿宋_GB2312" w:cs="仿宋_GB2312" w:eastAsia="仿宋_GB2312"/>
                <w:vertAlign w:val="superscript"/>
              </w:rPr>
              <w:t>８</w:t>
            </w:r>
            <w:r>
              <w:rPr>
                <w:rFonts w:ascii="仿宋_GB2312" w:hAnsi="仿宋_GB2312" w:cs="仿宋_GB2312" w:eastAsia="仿宋_GB2312"/>
              </w:rPr>
              <w:t>N/ｍ，刚度精度：≤0.2%；</w:t>
            </w:r>
            <w:r>
              <w:br/>
            </w:r>
            <w:r>
              <w:rPr>
                <w:rFonts w:ascii="仿宋_GB2312" w:hAnsi="仿宋_GB2312" w:cs="仿宋_GB2312" w:eastAsia="仿宋_GB2312"/>
              </w:rPr>
              <w:t xml:space="preserve"> 9▲、Tanδ范围：0.0001～1000；</w:t>
            </w:r>
            <w:r>
              <w:br/>
            </w:r>
            <w:r>
              <w:rPr>
                <w:rFonts w:ascii="仿宋_GB2312" w:hAnsi="仿宋_GB2312" w:cs="仿宋_GB2312" w:eastAsia="仿宋_GB2312"/>
              </w:rPr>
              <w:t xml:space="preserve"> 10、加热速率：至少覆盖 0.1～10℃/min，可调；</w:t>
            </w:r>
            <w:r>
              <w:br/>
            </w:r>
            <w:r>
              <w:rPr>
                <w:rFonts w:ascii="仿宋_GB2312" w:hAnsi="仿宋_GB2312" w:cs="仿宋_GB2312" w:eastAsia="仿宋_GB2312"/>
              </w:rPr>
              <w:t xml:space="preserve"> 11、试样尺寸：最大长度:≥100mm；</w:t>
            </w:r>
            <w:r>
              <w:br/>
            </w:r>
            <w:r>
              <w:rPr>
                <w:rFonts w:ascii="仿宋_GB2312" w:hAnsi="仿宋_GB2312" w:cs="仿宋_GB2312" w:eastAsia="仿宋_GB2312"/>
              </w:rPr>
              <w:t xml:space="preserve"> 12、夹具类型：拉伸、剪切、三点弯曲、单/双悬臂、压缩；</w:t>
            </w:r>
            <w:r>
              <w:br/>
            </w:r>
            <w:r>
              <w:rPr>
                <w:rFonts w:ascii="仿宋_GB2312" w:hAnsi="仿宋_GB2312" w:cs="仿宋_GB2312" w:eastAsia="仿宋_GB2312"/>
              </w:rPr>
              <w:t xml:space="preserve"> 13、样品夹具设计：样品在仪器外装夹好；</w:t>
            </w:r>
            <w:r>
              <w:br/>
            </w:r>
            <w:r>
              <w:rPr>
                <w:rFonts w:ascii="仿宋_GB2312" w:hAnsi="仿宋_GB2312" w:cs="仿宋_GB2312" w:eastAsia="仿宋_GB2312"/>
              </w:rPr>
              <w:t xml:space="preserve"> 14、具有四轴校准功能；</w:t>
            </w:r>
            <w:r>
              <w:br/>
            </w:r>
            <w:r>
              <w:rPr>
                <w:rFonts w:ascii="仿宋_GB2312" w:hAnsi="仿宋_GB2312" w:cs="仿宋_GB2312" w:eastAsia="仿宋_GB2312"/>
              </w:rPr>
              <w:t xml:space="preserve"> 15、液氮控制模式：</w:t>
            </w:r>
            <w:r>
              <w:br/>
            </w:r>
            <w:r>
              <w:rPr>
                <w:rFonts w:ascii="仿宋_GB2312" w:hAnsi="仿宋_GB2312" w:cs="仿宋_GB2312" w:eastAsia="仿宋_GB2312"/>
              </w:rPr>
              <w:t xml:space="preserve"> ⑴正常测试：液氮通入炉体中“液氮热交换器”、冷却效应通过炉中气氛传至样品。</w:t>
            </w:r>
            <w:r>
              <w:br/>
            </w:r>
            <w:r>
              <w:rPr>
                <w:rFonts w:ascii="仿宋_GB2312" w:hAnsi="仿宋_GB2312" w:cs="仿宋_GB2312" w:eastAsia="仿宋_GB2312"/>
              </w:rPr>
              <w:t xml:space="preserve"> ⑵快速冷却：液氮直接吹扫到炉腔；</w:t>
            </w:r>
            <w:r>
              <w:br/>
            </w:r>
            <w:r>
              <w:rPr>
                <w:rFonts w:ascii="仿宋_GB2312" w:hAnsi="仿宋_GB2312" w:cs="仿宋_GB2312" w:eastAsia="仿宋_GB2312"/>
              </w:rPr>
              <w:t xml:space="preserve"> 16、仪器采用线性施力马达，施力稳定，主机配置 7“及以上液晶触摸屏；</w:t>
            </w:r>
            <w:r>
              <w:br/>
            </w:r>
            <w:r>
              <w:rPr>
                <w:rFonts w:ascii="仿宋_GB2312" w:hAnsi="仿宋_GB2312" w:cs="仿宋_GB2312" w:eastAsia="仿宋_GB2312"/>
              </w:rPr>
              <w:t xml:space="preserve"> 17、操作软件：仪器操作系统和分析系统均由计算机控制、配备专业的 DMA 分析软件中/英文，包括温度、力、位移、频率（线性、对数、频率系列、多频扫描）等参数设置的测试方法编辑、实验发送及运行控制，测试原始数据记录与输出，复合模量、储能模量、损耗模量、损耗因子的曲线起始点、最大斜率拐点、峰值等结果分析与标注、时-温等效主曲线测试等。</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设备主要配置包括</w:t>
            </w:r>
            <w:r>
              <w:br/>
            </w:r>
            <w:r>
              <w:rPr>
                <w:rFonts w:ascii="仿宋_GB2312" w:hAnsi="仿宋_GB2312" w:cs="仿宋_GB2312" w:eastAsia="仿宋_GB2312"/>
              </w:rPr>
              <w:t xml:space="preserve"> 1、DMA 主机 1 台</w:t>
            </w:r>
            <w:r>
              <w:br/>
            </w:r>
            <w:r>
              <w:rPr>
                <w:rFonts w:ascii="仿宋_GB2312" w:hAnsi="仿宋_GB2312" w:cs="仿宋_GB2312" w:eastAsia="仿宋_GB2312"/>
              </w:rPr>
              <w:t xml:space="preserve"> 2、操作软件 1 套</w:t>
            </w:r>
            <w:r>
              <w:br/>
            </w:r>
            <w:r>
              <w:rPr>
                <w:rFonts w:ascii="仿宋_GB2312" w:hAnsi="仿宋_GB2312" w:cs="仿宋_GB2312" w:eastAsia="仿宋_GB2312"/>
              </w:rPr>
              <w:t xml:space="preserve"> 3、样品夹具：拉伸、三点弯曲、单/双悬臂、压缩、剪切夹具（固体）、低粘度液体剪切夹具各 1 套。</w:t>
            </w:r>
            <w:r>
              <w:br/>
            </w:r>
            <w:r>
              <w:rPr>
                <w:rFonts w:ascii="仿宋_GB2312" w:hAnsi="仿宋_GB2312" w:cs="仿宋_GB2312" w:eastAsia="仿宋_GB2312"/>
              </w:rPr>
              <w:t xml:space="preserve"> 4、校准标样：包括温度校准用水标样、金属铟标样各 1 盒；位移校准标准块 3 个，力校准模块、标准模量硅条等。</w:t>
            </w:r>
            <w:r>
              <w:br/>
            </w:r>
            <w:r>
              <w:rPr>
                <w:rFonts w:ascii="仿宋_GB2312" w:hAnsi="仿宋_GB2312" w:cs="仿宋_GB2312" w:eastAsia="仿宋_GB2312"/>
              </w:rPr>
              <w:t xml:space="preserve"> 5、随机操作工具 1 套（包括扭力扳手、镊子、切样钢刀、钢尺、样品打磨石）。</w:t>
            </w:r>
            <w:r>
              <w:br/>
            </w:r>
            <w:r>
              <w:rPr>
                <w:rFonts w:ascii="仿宋_GB2312" w:hAnsi="仿宋_GB2312" w:cs="仿宋_GB2312" w:eastAsia="仿宋_GB2312"/>
              </w:rPr>
              <w:t xml:space="preserve"> 6、液氮冷却系统（包含 50L 自增压液氮杜瓦瓶）。</w:t>
            </w:r>
            <w:r>
              <w:br/>
            </w:r>
            <w:r>
              <w:rPr>
                <w:rFonts w:ascii="仿宋_GB2312" w:hAnsi="仿宋_GB2312" w:cs="仿宋_GB2312" w:eastAsia="仿宋_GB2312"/>
              </w:rPr>
              <w:t xml:space="preserve"> 7、数据处理工作站(i7 处理器、16G 内存、1T 硬盘、2G 独立显卡，27”LCD 显示器，Win11 专业版)。</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 120 天内</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西安工业大学指定地点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进口设备：采购人通过委托的外贸公司向中标供应商指定的境外厂商开具100%不可撤销即期跟单信用证。信用证90%的合同货款凭外贸合同约定单据及西安工业大学出具的开箱点货报告原件解付；剩余10%合同尾款凭西安工业大学出具的设备终验验收报告原件解付；国产设备：货到西安工业大学指定地点经验收合格后，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 交付检验：所供货物到货后，甲方和乙方指定人员共同参加开箱检验，乙方负责开箱，甲乙双方及时对货物名称、厂家、数量、品种、型号、规格、参数、功能需求等（乙方协助）进行核对、检验。若货物与合同约定不符，甲方有权拒绝接收，乙方应无条件退换货直至合格，并承担逾期交货的违约责任，赔偿甲方损失。 2、初验：货物通过试运行测试后进入试运行，试运行不少于 30 工作日。由乙方向甲方（用户）提供详细的试运行报告，报告中至少应详细记录各种实测、运行数据。项目试运行且通过乙方自测后提交甲方（用户）进行初验，验收内容按试运行报告，现场查看货物运行情况。初验合格后，乙方填写初验验收报告并经甲方使用单位确认。 3、整体验收即终验：该项目初验合格后，甲方根据初验验收报告，组织甲方相关人员或甲方专家组成验收小组对设备进行最终验收。验收依据为本合同文本、招投标文件和国内相应的标准、规范。验收合格后，甲方填写终验验收单，作为付款依据。验收不合格的，限期整改，整改过程中产生的费用和货物发生的一切损失由乙方承担；整改超过二次的，甲方有权单方解除本合同，乙方应 无条件退还已收取的全部合同价款，并按合同总价 30%向甲方支付违约金，违约金不足弥补甲方损失的，由乙方负责赔偿，货款尾款甲方有权不予支付。</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（1）投标货物生产商必须在境内设有售后服务中心； (2) 投标方必须提供原厂明确的售后承诺和售后服务方案； (3) 质保期：进口仪器设备质保期 1 年，国产设不得少于 5年，质保期自买方验收合格签字之日起计算；质保期内的零部件、配件(不含耗材)和人工等均为免费；质保期内，乙方免费提供人员培训及上门维修服务，负责修理或更换因生产工艺或材质质量原因而出现故障的零部件，一切材料及人工费用全免。如乙方原因不能履行质保义务，甲方有权委托第三方处理，由此产生的费用和风险由乙方承担，造成甲方损失的应予以赔偿； (4) 设备质保期满前 1 个月，卖方免费提供一次全面的检查、维护； (5) 维保服务：质保期结束以后，乙方继续承担仪器的终身维护，对甲方提供支持，如回答甲方提出的问题、排除甲方的软、硬件故障等，责任工程师每年定期回访客户不少于 3 次，及时为设备进行检查和问诊； (6) 以上所有售后服务承诺均需由原厂提供，并由当地的授权维修负责人签字，原厂盖章。</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1、除本合同约定的违约责任之外，双方按《中华人民共和国民法典》中的相关条款执行。 2、提供的货物不符合合同要求，或者不能满足招标文件技术要求，乙方必须无条件退换直到合格，并承担逾期供货违约责任。否则，甲方有权终止合同，乙方及制造厂商共同退还货款，并支付合同金额 30%的违约金，违约金不足以弥补损失的，应继续赔偿损失。 3、除因不可抗力，乙方逾期交货，每天应按合同总价的千分之一向甲方支付违约金。如乙方逾期三十天仍未交齐货物的，甲方有权终止合同，乙方及制造厂商共同退还货款，并按合同总价 30%向甲方支付违约金，违约 金不足以弥补损失的，应继续赔偿损失。 4、乙方所交货物的类型、版本、参数、功能需求等在使用中如发生不符合合同约定、国家标准，或者所供货物达不到约定技术要求的，或者运行存在较大潜在风险的，导致甲方无法正常使用的，乙方应无条件全额向甲方退还已收取的合同款，并向甲方支付合同总价款 30%的违约金，违约金不足以弥补损失的，应继续赔偿损失。 5、乙方所供货物在合理使用期限内，因质量或安装问题造成甲方或第三方人身伤亡、财产损失的，乙方应负责解决并承担赔偿责任，并赔偿甲方所有损失（包含但不限于律师费、诉讼费等一切损失）；乙方应按甲方要求采取退货、换货等方式处理，退换货的一切费用由乙方承担，并应退还甲方支付的合同总货款。 6、若乙方逾期完成安装调试的，每逾期一日应向甲方支付违约金 1 万元，违约金不足以弥补损失的，应继续赔偿甲方损失。</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一、项目说明：1、本项目允许采购进口产品。 如果因信息不对称等原因，仍有满足需求的国内 产品要求参与采购竞争的，采购人及其委托的采购代理机构不对其加以限制，按照公平竞争原则实施采购。 2、“进口产品”是指通过中国海关报关验放进入中国境内且产自关境外的产品。 二、投标有效期：本项目投标有效期为从开标之日起 150 日历天。中标供应商的投标文件有效期自动延长合同履行完毕。 三、报价说明：1、因采购人具有教科文进口环节减免税资格，进口设备可以报免税报价，不在教科文减免范围的设备应按含税开展报价。免税报价包含外贸代理服务费。 2、免税报价免除仅为进口环节的教科文减免税（进口环节增值税） 3、供应商报价未明确免税报价的视为含税报价。 4、供应商报价应满足正常使用的一切费用，并包含设备验收时涉及的工艺验证等费用。5、供应商应当按招标文件规定的供货及服务要求、责任范围和合同条件，以人民币进行报价。 报价包含全套货物抵达用户现场，安装验收直至投入使用期间，所需费用。报价包含但不限于人工费、辅材费、税费、安装调试费、培训费等（上述费用包含在总报价中但不得在分项价格表中单独列 出）全部内容。 四、其他备注说明（因本项目使用电子招投标系统，格式无法调整，招标文件中其他部分与本部分不一致时以本部分要求为准） 1、在合同履行过程中，如发生合同纠纷，合同双方应按照中华人民共和国法律解释，按照《中华人民共和国民法典》规定及合同条款约定进行处理。 2、本项目已通过进口产品论证，投标文件中接受外文资料，但主要部分仍应尽量对应翻译成中文并附在相关外文资料后面。 3、本项目不强制要求文件第 2.4.4 知识产权第二条要求。 五、本项目落实的政府采购政策 ①《政府采购促进中小企业发展管理办法》的通知--财库〔2020〕46 号； ②《财政部 司法部关于政府采购支持监狱企业发展有关问题的通知》（财库〔2014〕68 号）； ③《三部门联合发布关于促进残疾人就业政府采购政策的通知》（财库〔2017〕141 号）； ④《财政部 发展改革委 生态环境部 市场监管总局关于调整优化节能产品、环境标志产品政府采购执行机制的通知》（财库〔2019〕9 号）； ⑤《关于运用政府采购政策支持乡村产业振兴的通知》（财库〔2021〕19 号）； ⑥《政府采购促进中小企业发展管理办法》（财库〔2020〕46 号）； ⑦陕西省财政厅关于印发《陕西省中小企业政府采购信用融资办法》（陕财办采〔2018〕23 号）； ⑧《关于进一步加大政府采购支持中小企业力度的通知》（财库〔2022〕19 号）； ⑨《关于扩大政府采购支持绿色建材促进建筑品质提升政策实施范围的通知》（财库〔2022〕35号）； ⑩《关于推动解决政府采购异常低价问题的通知》财库〔2026〕2 号； ⑪《国务院办公厅关于在政府采购中实施本国产品标准及相关政策的通知》国办发〔2025〕34号； ⑫若享受以上政策优惠的企业，提供相应声明函或品目范围内产品有效认证证书。如有最新颁布的政府采购政策，按最新的文件执行。 六、保证金的退还：自中标通知书发出之日起 5 个工作日内退还未中标人的投标保证金,自采购合同签订之日起 5 个工作日内退还中标人的投标保证金。合同签订后，中标人需将合同扫描件发送至指定联系人邮箱，邮箱地址为 2896452103@qq.com，并以邮件接收时间为退付的基准时间。 七、纸质文件提供要求：中标人需要提交与电子化交易系统中一致的纸质版投标文件正本壹份打印并胶装（可顺丰邮寄），邮寄地址：西安市雁展路 1111 号莱安中心 T6-15 层，联系人：任萍萍，联系电话：029-81206622/81206633-842。 八、商务条件响应说明：招标文件中所有的商务要求均为实质性要求，投标人必须响应并满足。</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投标人资格条件证明文件.docx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投标人资格条件证明文件.docx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财务会计报告</w:t>
            </w:r>
          </w:p>
        </w:tc>
        <w:tc>
          <w:tcPr>
            <w:tcW w:type="dxa" w:w="3322"/>
          </w:tcPr>
          <w:p>
            <w:pPr>
              <w:pStyle w:val="null3"/>
            </w:pPr>
            <w:r>
              <w:rPr>
                <w:rFonts w:ascii="仿宋_GB2312" w:hAnsi="仿宋_GB2312" w:cs="仿宋_GB2312" w:eastAsia="仿宋_GB2312"/>
              </w:rPr>
              <w:t>提供2024年度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提供上一年度至今任意一个月的依法缴纳税收的相关凭据（时间以税款所属日期为准），凭据应有税务机关或代收机关的公章或业务专用章。依法免税或无须缴纳税收的投标人，应提供相应证明文件。</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提供上一年度至今已缴存的至少一个月的社会保障资金缴存单据或社保机构开具的社会保险参保缴费情况证明，依法不需要缴纳社会保障资金的单位应提供相关证明材料。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投标人参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法定代表人授权书及被授权人身份证复印件。（法定代表人直接投标只须提交其身份证明书）</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进口产品资质</w:t>
            </w:r>
          </w:p>
        </w:tc>
        <w:tc>
          <w:tcPr>
            <w:tcW w:type="dxa" w:w="3322"/>
          </w:tcPr>
          <w:p>
            <w:pPr>
              <w:pStyle w:val="null3"/>
            </w:pPr>
            <w:r>
              <w:rPr>
                <w:rFonts w:ascii="仿宋_GB2312" w:hAnsi="仿宋_GB2312" w:cs="仿宋_GB2312" w:eastAsia="仿宋_GB2312"/>
              </w:rPr>
              <w:t>若所投产品为进口产品的，投标人须提供产品厂家授权书或总代理商授权书或具有授权权限的投标人对所投进口产品的授权书。（如提供总代理商授权的须同时提供具有有效授权权限的相关证明文件，证明文件需能显示产品制造厂家对所响应产品授权链条的完整性）</w:t>
            </w:r>
          </w:p>
        </w:tc>
        <w:tc>
          <w:tcPr>
            <w:tcW w:type="dxa" w:w="1661"/>
          </w:tcPr>
          <w:p>
            <w:pPr>
              <w:pStyle w:val="null3"/>
            </w:pPr>
            <w:r>
              <w:rPr>
                <w:rFonts w:ascii="仿宋_GB2312" w:hAnsi="仿宋_GB2312" w:cs="仿宋_GB2312" w:eastAsia="仿宋_GB2312"/>
              </w:rPr>
              <w:t>投标人资格条件证明文件.docx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审过程中，评标委员会认为投标人的报价明显低于其他实质性响应的投标人报价，有可能影响产品质量或者不能诚信履约的，评审委员会应当要求其在评审现场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2.评审中出现下列情形之一的，评审委员会应当启动异常低价投标（响应）审查程序： ①投标（响应）报价低于全部通过符合性审查投标人投标（响应）报价平均值 50%的，即投标（响应）报价&lt;全部通过符合性审查投标人投标（响应）报价平均值×50%； ②投标（响应）报价低于通过符合性审查的次低报价投标人投标（响应）报价 50%的，即投标（响应）报价&lt;通过符合性审查的次低报价投标人投标（响应）报价×50%；③投标（响应）报价低于采购项目最高限价 45%的，即投标（响应）报价&lt; 采购项目最高限价×45%；④评审委员会基于专业判断，认为投标人报价过低，有可能影响产品质量或者不能诚信履约的其他情形。 评标委员会应当要求相关投标人在评审现场合理的时间内对投标（响应）价格作出解释，提供项目具体成本测算等与报价合理性相关的书面说明及必要的证明材料，包括但不限于原材料成本、人工成本、制造费用等。 3.投标人提交的相关证明材料，应当加盖投标人（法定名称）电子印章，在评审委员会要求的时间内通过项目电子化交易系统进行提交，否则提交的相关证明材料无效。投标人不能证明其报价合理性的，评审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供应商名称与营业执照一致</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投标人资格条件证明文件.docx 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投标文件按招标文件要求的数量、计量单位、报价货币及签字盖章</w:t>
            </w:r>
          </w:p>
        </w:tc>
        <w:tc>
          <w:tcPr>
            <w:tcW w:type="dxa" w:w="3322"/>
          </w:tcPr>
          <w:p>
            <w:pPr>
              <w:pStyle w:val="null3"/>
            </w:pPr>
            <w:r>
              <w:rPr>
                <w:rFonts w:ascii="仿宋_GB2312" w:hAnsi="仿宋_GB2312" w:cs="仿宋_GB2312" w:eastAsia="仿宋_GB2312"/>
              </w:rPr>
              <w:t>投标文件按招标文件要求的数量、计量单位、报价货币及签字盖章</w:t>
            </w:r>
          </w:p>
        </w:tc>
        <w:tc>
          <w:tcPr>
            <w:tcW w:type="dxa" w:w="1661"/>
          </w:tcPr>
          <w:p>
            <w:pPr>
              <w:pStyle w:val="null3"/>
            </w:pPr>
            <w:r>
              <w:rPr>
                <w:rFonts w:ascii="仿宋_GB2312" w:hAnsi="仿宋_GB2312" w:cs="仿宋_GB2312" w:eastAsia="仿宋_GB2312"/>
              </w:rPr>
              <w:t>开标一览表 投标人资格条件证明文件.docx 分项报价表.docx 投标函 商务应答表 标的清单 投标文件封面 其他说明.docx 技术指标偏差表.docx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投标文件的有效期达到招标文件要求</w:t>
            </w:r>
          </w:p>
        </w:tc>
        <w:tc>
          <w:tcPr>
            <w:tcW w:type="dxa" w:w="3322"/>
          </w:tcPr>
          <w:p>
            <w:pPr>
              <w:pStyle w:val="null3"/>
            </w:pPr>
            <w:r>
              <w:rPr>
                <w:rFonts w:ascii="仿宋_GB2312" w:hAnsi="仿宋_GB2312" w:cs="仿宋_GB2312" w:eastAsia="仿宋_GB2312"/>
              </w:rPr>
              <w:t>投标文件的有效期达到招标文件要求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符合法律、法规和招标文件中规定的其他实质性要求</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开标一览表 投标人资格条件证明文件.docx 分项报价表.docx 商务应答表 标的清单 其他说明.docx 技术指标偏差表.docx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投标产品的技术指标、参数完全符合、满足招标文件要求，没有负偏离的计38 分；技术参数中标“▲” 号参数为重要参数，负偏离一项扣 4 分；非“▲”号参数，负偏离一项扣 1.5分，扣完为止。注：提供 “▲”号参数的相应的证明材料（不限于产品彩页、测试报告、官网和功能截图等技术支持性文件资料），经评审专家审定得分。</w:t>
            </w:r>
          </w:p>
        </w:tc>
        <w:tc>
          <w:tcPr>
            <w:tcW w:type="dxa" w:w="831"/>
          </w:tcPr>
          <w:p>
            <w:pPr>
              <w:pStyle w:val="null3"/>
              <w:jc w:val="right"/>
            </w:pPr>
            <w:r>
              <w:rPr>
                <w:rFonts w:ascii="仿宋_GB2312" w:hAnsi="仿宋_GB2312" w:cs="仿宋_GB2312" w:eastAsia="仿宋_GB2312"/>
              </w:rPr>
              <w:t>38.0000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详细评审-技术参数.docx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针对本项目有具体的实施方案，包括但不限于：①供货组织安排；②实施计划及进度计划；③安装调试方案；④配合验收方案；⑤人员配备方案。以上方案每有一项缺项扣 2 分，每有一项内容中有缺陷，扣 1 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投标人针对本项目提供详细的质量保证措施，包括但不限于：①所投产品制造厂家具备可靠且完善的管理制度，拥有充足的制造工艺、加工及检验能力；②质量保证措施。以上方案每缺一项扣 2 分；不提供方案不得分。每有 1 处描述缺陷要求扣 1 分，扣完为止。注：缺陷是指：内容粗略不够全面、不够合理、可行性不足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详细评审-质量保证.docx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有具体的售后服务方案,该方案包含：①紧急故障处理预案及解决问题能力；②故障维修响应时间；③定期巡检维护方案等；④提供产品备品备件价目表，并承诺质保期后的维修仍然按照备品备件表内价格收取费用。以上方案每有一项缺项扣1 分，每有 1 处描述缺陷要求扣 0.5 分，扣完为止。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详细评审-售后服务.docx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在采购人对于技术培训要求的基础上，提供优化后的产品培训方案，保障采购人能更快更顺利的投入使用，包括但不限于：①培训计划，含培训计划表、地点、时间及培训对象人数等；②培训内容，含所提供产品的原理和技术性能、操作维护方法、安装调试、排除故障等。以上方案每有一项缺项扣 2 分，每有 1 处描述缺陷要求扣 1 分，扣完为止。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详细评审-培训方案.docx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 2023 年1月1日至今类似项目合同（以合同签订日期为准），每提供1个得1分，最高得9分。备注：响应文件中提供合同复印件（包含关键页，双方盖章页）。</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详细评审-业绩.docx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投标人所投产品中每有一项为节能产品经国家认证的得 0.5 分，每有一项为环境标志产品经国家认证的得 0.5 分，投标人响应产品中每有一项产品同时为节能产品和环境标志产品得 1 分，最多得 1 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详细评审-节能环保.docx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投标报价得分=(评标基准价／投标报价)×价格权值×100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详见附件：详细评审-质量保证.docx</w:t>
      </w:r>
    </w:p>
    <w:p>
      <w:pPr>
        <w:pStyle w:val="null3"/>
        <w:ind w:firstLine="960"/>
      </w:pPr>
      <w:r>
        <w:rPr>
          <w:rFonts w:ascii="仿宋_GB2312" w:hAnsi="仿宋_GB2312" w:cs="仿宋_GB2312" w:eastAsia="仿宋_GB2312"/>
        </w:rPr>
        <w:t>详见附件：详细评审-培训方案.docx</w:t>
      </w:r>
    </w:p>
    <w:p>
      <w:pPr>
        <w:pStyle w:val="null3"/>
        <w:ind w:firstLine="960"/>
      </w:pPr>
      <w:r>
        <w:rPr>
          <w:rFonts w:ascii="仿宋_GB2312" w:hAnsi="仿宋_GB2312" w:cs="仿宋_GB2312" w:eastAsia="仿宋_GB2312"/>
        </w:rPr>
        <w:t>详见附件：详细评审-业绩.docx</w:t>
      </w:r>
    </w:p>
    <w:p>
      <w:pPr>
        <w:pStyle w:val="null3"/>
        <w:ind w:firstLine="960"/>
      </w:pPr>
      <w:r>
        <w:rPr>
          <w:rFonts w:ascii="仿宋_GB2312" w:hAnsi="仿宋_GB2312" w:cs="仿宋_GB2312" w:eastAsia="仿宋_GB2312"/>
        </w:rPr>
        <w:t>详见附件：详细评审-节能环保.docx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详见附件：技术指标偏差表.docx</w:t>
      </w:r>
    </w:p>
    <w:p>
      <w:pPr>
        <w:pStyle w:val="null3"/>
        <w:ind w:firstLine="960"/>
      </w:pPr>
      <w:r>
        <w:rPr>
          <w:rFonts w:ascii="仿宋_GB2312" w:hAnsi="仿宋_GB2312" w:cs="仿宋_GB2312" w:eastAsia="仿宋_GB2312"/>
        </w:rPr>
        <w:t>详见附件：其他说明.docx</w:t>
      </w:r>
    </w:p>
    <w:p>
      <w:pPr>
        <w:pStyle w:val="null3"/>
        <w:ind w:firstLine="960"/>
      </w:pPr>
      <w:r>
        <w:rPr>
          <w:rFonts w:ascii="仿宋_GB2312" w:hAnsi="仿宋_GB2312" w:cs="仿宋_GB2312" w:eastAsia="仿宋_GB2312"/>
        </w:rPr>
        <w:t>详见附件：投标人资格条件证明文件.docx</w:t>
      </w:r>
    </w:p>
    <w:p>
      <w:pPr>
        <w:pStyle w:val="null3"/>
        <w:ind w:firstLine="960"/>
      </w:pPr>
      <w:r>
        <w:rPr>
          <w:rFonts w:ascii="仿宋_GB2312" w:hAnsi="仿宋_GB2312" w:cs="仿宋_GB2312" w:eastAsia="仿宋_GB2312"/>
        </w:rPr>
        <w:t>详见附件：详细评审-技术参数.docx</w:t>
      </w:r>
    </w:p>
    <w:p>
      <w:pPr>
        <w:pStyle w:val="null3"/>
        <w:ind w:firstLine="960"/>
      </w:pPr>
      <w:r>
        <w:rPr>
          <w:rFonts w:ascii="仿宋_GB2312" w:hAnsi="仿宋_GB2312" w:cs="仿宋_GB2312" w:eastAsia="仿宋_GB2312"/>
        </w:rPr>
        <w:t>详见附件：详细评审-售后服务.docx</w:t>
      </w:r>
    </w:p>
    <w:p>
      <w:pPr>
        <w:pStyle w:val="null3"/>
        <w:ind w:firstLine="960"/>
      </w:pPr>
      <w:r>
        <w:rPr>
          <w:rFonts w:ascii="仿宋_GB2312" w:hAnsi="仿宋_GB2312" w:cs="仿宋_GB2312" w:eastAsia="仿宋_GB2312"/>
        </w:rPr>
        <w:t>详见附件：详细评审-实施方案.docx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详见附件：进口设备采购协议.docx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