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版本号：ZX2026-05-0620260602002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生态环境保护综合执法无人机执法辅助项目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ZX2026-05-06</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生态环境保护综合执法无人机执法辅助项目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生态环境保护综合执法无人机执法辅助项目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采购第三方多旋翼无人机带专业挂载巡查服务的形式，按照生态环境保护行政执法工作需要，在辖区范围内对西安市自然生态及饮用水源地保护区、重点区域、重点网格污染源、重点河流及敏感水域、工业园区、重点企业等开展空中飞行辅助巡查服务，服务过程应按份形成报告。具体采购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采购包1（生态环境保护综合执法无人机执法辅助项目）：属于专门面向中小企业采购。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1、法定代表人授权委托书：法定代表人参加磋商的，须提供法定代表人身份证扫描件；法定代表人授权本单位他人参加磋商的，须提供法定代表人授权委托书。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029-81581936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采购第三方多旋翼无人机带专业挂载巡查服务的形式，按照生态环境保护行政执法工作需要，在辖区范围内对西安市自然生态及饮用水源地保护区、重点区域、重点网格污染源、重点河流及敏感水域、工业园区、重点企业等开展空中飞行辅助巡查服务，服务过程应按份形成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1,490,000.00</w:t>
      </w:r>
    </w:p>
    <w:p>
      <w:pPr>
        <w:pStyle w:val="null3"/>
      </w:pPr>
      <w:r>
        <w:rPr>
          <w:rFonts w:ascii="仿宋_GB2312" w:hAnsi="仿宋_GB2312" w:cs="仿宋_GB2312" w:eastAsia="仿宋_GB2312"/>
        </w:rPr>
        <w:t>采购包最高限价（元）: 1,490,000.00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第三方无人机公司提供自有多旋翼无人机、多功能运输车等专业设备，提供自有执行飞行任务相关专业资格证书的飞行团队，提供保障飞行的空域申请，服务期间按照调度安排和飞行流程进行辅助执法巡查，具体服务内容如下：</w:t>
            </w:r>
          </w:p>
          <w:p>
            <w:pPr>
              <w:pStyle w:val="null3"/>
            </w:pPr>
            <w:r>
              <w:rPr>
                <w:rFonts w:ascii="仿宋_GB2312" w:hAnsi="仿宋_GB2312" w:cs="仿宋_GB2312" w:eastAsia="仿宋_GB2312"/>
              </w:rPr>
              <w:t>1、自然生态及饮用水源地保护区航拍服务，通过无人机航拍飞行，巡查破坏生态及水源地污染等问题，发现问题及时上报处理。在不同时期对同一问题点进行多方位拍摄，进行差异比对，反馈问题处理情况。</w:t>
            </w:r>
          </w:p>
          <w:p>
            <w:pPr>
              <w:pStyle w:val="null3"/>
            </w:pPr>
            <w:r>
              <w:rPr>
                <w:rFonts w:ascii="仿宋_GB2312" w:hAnsi="仿宋_GB2312" w:cs="仿宋_GB2312" w:eastAsia="仿宋_GB2312"/>
              </w:rPr>
              <w:t>2、重点区域巡查服务，使用无人机带专业挂载对重点区域进行巡查，提供工业园区污染源排查、重点污染源排查或重点网格航拍飞行巡查服务。</w:t>
            </w:r>
          </w:p>
          <w:p>
            <w:pPr>
              <w:pStyle w:val="null3"/>
            </w:pPr>
            <w:r>
              <w:rPr>
                <w:rFonts w:ascii="仿宋_GB2312" w:hAnsi="仿宋_GB2312" w:cs="仿宋_GB2312" w:eastAsia="仿宋_GB2312"/>
              </w:rPr>
              <w:t>3、重点河流及敏感水域、重点工业园固废航拍巡查服务，使用无人机对重点河流及敏感水域、重点工业园固废问题进行航拍飞行巡查，每次飞行任务结束后，将飞行过程中发现的固废问题点地址、污染类型等信息，输出巡查报告，为执法支队提供辅助执法依据。</w:t>
            </w:r>
          </w:p>
          <w:p>
            <w:pPr>
              <w:pStyle w:val="null3"/>
            </w:pPr>
            <w:r>
              <w:rPr>
                <w:rFonts w:ascii="仿宋_GB2312" w:hAnsi="仿宋_GB2312" w:cs="仿宋_GB2312" w:eastAsia="仿宋_GB2312"/>
              </w:rPr>
              <w:t>4、重点企业巡查服务，使用无人机挂载相关专业设备对涉气、涉水重点企业进行巡查，发现问题线索。</w:t>
            </w:r>
          </w:p>
          <w:p>
            <w:pPr>
              <w:pStyle w:val="null3"/>
            </w:pPr>
            <w:r>
              <w:rPr>
                <w:rFonts w:ascii="仿宋_GB2312" w:hAnsi="仿宋_GB2312" w:cs="仿宋_GB2312" w:eastAsia="仿宋_GB2312"/>
              </w:rPr>
              <w:t>5、根据日常工作需要安排其他相关飞行任务。</w:t>
            </w:r>
          </w:p>
          <w:p>
            <w:pPr>
              <w:pStyle w:val="null3"/>
            </w:pPr>
            <w:r>
              <w:rPr>
                <w:rFonts w:ascii="仿宋_GB2312" w:hAnsi="仿宋_GB2312" w:cs="仿宋_GB2312" w:eastAsia="仿宋_GB2312"/>
              </w:rPr>
              <w:t>合同期内根据实际工作需求调整安排飞行巡查任务，按单次巡查面积不少于1K㎡计算，飞行巡查总次数不少于298架次。</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为保障能够按照调度安排及时响应，高效完成无人机辅助巡查任务，服务期间至少提供4个飞行小组随时待命，每个飞行小组至少配备2名专业飞行人员、1架可更换挂载专业多旋翼无人机、1台多功能运输车辆。要求如下：</w:t>
            </w:r>
          </w:p>
          <w:p>
            <w:pPr>
              <w:pStyle w:val="null3"/>
            </w:pPr>
            <w:r>
              <w:rPr>
                <w:rFonts w:ascii="仿宋_GB2312" w:hAnsi="仿宋_GB2312" w:cs="仿宋_GB2312" w:eastAsia="仿宋_GB2312"/>
              </w:rPr>
              <w:t>1、多旋翼无人机具体要求：尺寸≥800×650×400 mm（长×宽×高），空机重量≥6Kg，最大起飞重量≥9 kg。</w:t>
            </w:r>
          </w:p>
          <w:p>
            <w:pPr>
              <w:pStyle w:val="null3"/>
            </w:pPr>
            <w:r>
              <w:rPr>
                <w:rFonts w:ascii="仿宋_GB2312" w:hAnsi="仿宋_GB2312" w:cs="仿宋_GB2312" w:eastAsia="仿宋_GB2312"/>
              </w:rPr>
              <w:t>2、无人机挂载要求：</w:t>
            </w:r>
          </w:p>
          <w:p>
            <w:pPr>
              <w:pStyle w:val="null3"/>
            </w:pPr>
            <w:r>
              <w:rPr>
                <w:rFonts w:ascii="仿宋_GB2312" w:hAnsi="仿宋_GB2312" w:cs="仿宋_GB2312" w:eastAsia="仿宋_GB2312"/>
              </w:rPr>
              <w:t>无人机照片清晰度≥4500万像素；</w:t>
            </w:r>
          </w:p>
          <w:p>
            <w:pPr>
              <w:pStyle w:val="null3"/>
            </w:pPr>
            <w:r>
              <w:rPr>
                <w:rFonts w:ascii="仿宋_GB2312" w:hAnsi="仿宋_GB2312" w:cs="仿宋_GB2312" w:eastAsia="仿宋_GB2312"/>
              </w:rPr>
              <w:t>视频分辨率≥ 3800x2100@30fps，视频最大支持200倍变焦，红外镜头分辨率≥640X512@30fps；</w:t>
            </w:r>
          </w:p>
          <w:p>
            <w:pPr>
              <w:pStyle w:val="null3"/>
            </w:pPr>
            <w:r>
              <w:rPr>
                <w:rFonts w:ascii="仿宋_GB2312" w:hAnsi="仿宋_GB2312" w:cs="仿宋_GB2312" w:eastAsia="仿宋_GB2312"/>
              </w:rPr>
              <w:t>气体检测仪挂载能检测PM₂.₅、PM₁₀、SO₂、NO₂、NOₓ、CO、O₃、 VOCs等环境污染因子数据；</w:t>
            </w:r>
          </w:p>
          <w:p>
            <w:pPr>
              <w:pStyle w:val="null3"/>
            </w:pPr>
            <w:r>
              <w:rPr>
                <w:rFonts w:ascii="仿宋_GB2312" w:hAnsi="仿宋_GB2312" w:cs="仿宋_GB2312" w:eastAsia="仿宋_GB2312"/>
              </w:rPr>
              <w:t>无人机配套喊话设备功率≥30W，1 米处最大声压级≥120dB (A)，语音有效传播距离≥500 米，满足远距离语音作业；</w:t>
            </w:r>
          </w:p>
          <w:p>
            <w:pPr>
              <w:pStyle w:val="null3"/>
            </w:pPr>
            <w:r>
              <w:rPr>
                <w:rFonts w:ascii="仿宋_GB2312" w:hAnsi="仿宋_GB2312" w:cs="仿宋_GB2312" w:eastAsia="仿宋_GB2312"/>
              </w:rPr>
              <w:t>3、无人机运输车辆具体要求：多功能运输车，3座以上，车身长度≥4900mm，车身宽度≥1900mm，具有足够空间，可同时运输多旋翼无人机及相关挂载，配备车载无人机电池保温箱，配备车载220V供电装置，可为无人机电池、车载无人机电池保温箱供电。</w:t>
            </w:r>
          </w:p>
          <w:p>
            <w:pPr>
              <w:pStyle w:val="null3"/>
            </w:pPr>
            <w:r>
              <w:rPr>
                <w:rFonts w:ascii="仿宋_GB2312" w:hAnsi="仿宋_GB2312" w:cs="仿宋_GB2312" w:eastAsia="仿宋_GB2312"/>
              </w:rPr>
              <w:t>4、无人机飞行任务团队成员资质要求：至少4人须同时持有超视距－多旋翼民用无人驾驶航空器操控员执照和中级及以上通信工程师资格证书。</w:t>
            </w:r>
          </w:p>
          <w:p>
            <w:pPr>
              <w:pStyle w:val="null3"/>
            </w:pPr>
            <w:r>
              <w:rPr>
                <w:rFonts w:ascii="仿宋_GB2312" w:hAnsi="仿宋_GB2312" w:cs="仿宋_GB2312" w:eastAsia="仿宋_GB2312"/>
              </w:rPr>
              <w:t>5、数据接入要求：无人机飞行数据接入陕西省生态环境执法无人机过程系统。</w:t>
            </w:r>
          </w:p>
          <w:p>
            <w:pPr>
              <w:pStyle w:val="null3"/>
            </w:pPr>
            <w:r>
              <w:rPr>
                <w:rFonts w:ascii="仿宋_GB2312" w:hAnsi="仿宋_GB2312" w:cs="仿宋_GB2312" w:eastAsia="仿宋_GB2312"/>
              </w:rPr>
              <w:t>6、空域及飞行流程要求：提供保障飞行的空域申请，服务期间按照调度安排和生态环境执法无人机过程系统飞行流程进行辅助执法巡查。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有完善的项目实施团队，提供团队人员名单。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有完成本项目服务所需的设备，提供设备清单。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西安市生态环境保护综合执法支队指定地点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（1）合同文本（2）国内相应的标准、规范（3）竞争性磋商文件、成交供应商响应文件、承诺等。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合同签订后，成交人须开具与等额增值税发票给采购人，采购人收到发票后（具体支付约定以3.4.2约定为准）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37.00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服务期结束后，成交供应商将飞行成果资料交付验收合格并开具与等额增值税发票给采购人（具体支付约定以3.4.2约定为准）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按照磋商文件、成交供应商响应文件和合同文本执行。合同执行中发生争议的，当事人双方应协商解决，协商达不成一致时，双方同意向西安市仲裁委员会申请仲裁。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供应商需要在线提交所有通过电子化交易平台实施的政府采购项目的响应文件，同时，线下提交纸质响应文件正本壹份、副本贰份并密封，纸质文件双面打印。若电子响应文件与纸质响应文件不一致的，以电子响应文件为准。线下递交文件时间：详见本项目磋商公告响应文件递交截止时间；线下递交文件地点：西安市莲湖区环城西路南段元晟合中心6层。 3.4.2 因电子化格式原因，本项目支付约定按照以下执行： 采购包1： 付款条件说明：合同签订后，成交人须开具与等额增值税发票给采购人，采购人收到发票后，达到付款条件起 15日内，最多支付至55万元。（因2026年度本项目下达预算为55万元） 采购包1： 付款条件说明：服务期结束后，成交供应商将飞行成果资料交付验收合格并开具与等额增值税发票给采购人，采购人收到发票后，达到付款条件起 30 日内，按照服务期绩效考评结果，支付剩余款项。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法定代表人参加磋商的，须提供法定代表人身份证扫描件；法定代表人授权本单位他人参加磋商的，须提供法定代表人授权委托书。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三）供应商提交的相关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满足本磋商文件中3.3商务要求中3.3.1服务期限、3.3.2服务地点、3.4.2支付约定要求的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供应商根据本项目采购需求，提供整体服务方案，内容包括但不限于：①阐述自身服务优势②提供针对不同区域的有针对性的巡查方案③数据采集能力④飞行组织及任务调度能力⑤服务预期效果及效益分析。 上述5项内容，每提供1项内容计3分，每项内容存在1处瑕疵扣0.5分；满分15分。 注：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项目组织管理方案</w:t>
            </w:r>
          </w:p>
        </w:tc>
        <w:tc>
          <w:tcPr>
            <w:tcW w:type="dxa" w:w="2492"/>
          </w:tcPr>
          <w:p>
            <w:pPr>
              <w:pStyle w:val="null3"/>
            </w:pPr>
            <w:r>
              <w:rPr>
                <w:rFonts w:ascii="仿宋_GB2312" w:hAnsi="仿宋_GB2312" w:cs="仿宋_GB2312" w:eastAsia="仿宋_GB2312"/>
              </w:rPr>
              <w:t>供应商针对本项目提供项目组织管理方案，内容包括但不限于：①服务质量保障措施②数据质量保障措施③飞行安全管理方案④应急预案及解决措施⑤保密措施。 上述5项内容，每提供1项内容计3分，每项内容存在1处瑕疵扣0.5分；满分15分。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7项目组织管理方案.docx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供应商针对本项目实际情况进行分析，提供重点难点分析及解决方案，内容包括但不限于：①项目需求理解②项目风险识别③重点难点分析及解决方案。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飞行流程</w:t>
            </w:r>
          </w:p>
        </w:tc>
        <w:tc>
          <w:tcPr>
            <w:tcW w:type="dxa" w:w="2492"/>
          </w:tcPr>
          <w:p>
            <w:pPr>
              <w:pStyle w:val="null3"/>
            </w:pPr>
            <w:r>
              <w:rPr>
                <w:rFonts w:ascii="仿宋_GB2312" w:hAnsi="仿宋_GB2312" w:cs="仿宋_GB2312" w:eastAsia="仿宋_GB2312"/>
              </w:rPr>
              <w:t>供应商能够按照调度安排和生态环境执法无人机过程系统飞行流程进行辅助执法巡查，能根据执法任务提出全面规范的飞行流程。 上述内容，提供计7分，内容存在1处瑕疵扣0.5分；满分7分。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9飞行流程.docx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1、供应商承诺接受采购人对服务的考核及管理，定期调研采购人对服务质量的满意度并加以改进，确保服务工作的达到采购人需求，得2分；未提供不计分。 2、针对本项目服务工作中的常见质量和服务问题进行梳理，供应商可根据自身情况对服务标准、过程管理、采购人需求响应时效、后续服务等方面作出有利于本项目开展的承诺，每提供1个承诺计1.5分，满分6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10服务承诺.docx</w:t>
            </w:r>
          </w:p>
        </w:tc>
      </w:tr>
      <w:tr>
        <w:tc>
          <w:tcPr>
            <w:tcW w:type="dxa" w:w="831"/>
            <w:vMerge/>
          </w:tcPr>
          <w:p/>
        </w:tc>
        <w:tc>
          <w:tcPr>
            <w:tcW w:type="dxa" w:w="1661"/>
          </w:tcPr>
          <w:p>
            <w:pPr>
              <w:pStyle w:val="null3"/>
            </w:pPr>
            <w:r>
              <w:rPr>
                <w:rFonts w:ascii="仿宋_GB2312" w:hAnsi="仿宋_GB2312" w:cs="仿宋_GB2312" w:eastAsia="仿宋_GB2312"/>
              </w:rPr>
              <w:t>空域申请</w:t>
            </w:r>
          </w:p>
        </w:tc>
        <w:tc>
          <w:tcPr>
            <w:tcW w:type="dxa" w:w="2492"/>
          </w:tcPr>
          <w:p>
            <w:pPr>
              <w:pStyle w:val="null3"/>
            </w:pPr>
            <w:r>
              <w:rPr>
                <w:rFonts w:ascii="仿宋_GB2312" w:hAnsi="仿宋_GB2312" w:cs="仿宋_GB2312" w:eastAsia="仿宋_GB2312"/>
              </w:rPr>
              <w:t>提供供应商2024年1月至今的通用航空临时空域回执单或空域批复文件；每提供1个计1.5分,共3分；未提供不计分。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11空域申请.docx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提供投标人的民用无人驾驶航空器运营合格证、国内互联网虚拟专网增值电信业务经营许可证、民用无人机企业服务能力乙级以上资质证书，上述证书每提供一个计2分，共6分。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12认证证书.docx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供应商提供针对本项目的服务团队清单，在此基础上： 1、团队成员中每有一名持有中国民用航空局签发的民用无人驾驶航空器操控员执照的人员计0.5分，满分4分。 2、团队成员中每有一名持有中国民用航空局签发的民用无人驾驶航空器操控员执照（超视距－多旋翼）和中级及以上通信工程师职业证书的人员计1分，满分4分。 3、数据接入分析处理员须具有软件开发或程序设计类职业资格证书，每提供1人计1分，满分2分。 备注：以上人员须为本公司在册正式人员，需提供人员证书以及在职证明（本单位的社保缴纳证明或签订的劳动合同），单个人员未提供或提供不全的不计分。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13项目团队.docx</w:t>
            </w:r>
          </w:p>
        </w:tc>
      </w:tr>
      <w:tr>
        <w:tc>
          <w:tcPr>
            <w:tcW w:type="dxa" w:w="831"/>
            <w:vMerge/>
          </w:tcPr>
          <w:p/>
        </w:tc>
        <w:tc>
          <w:tcPr>
            <w:tcW w:type="dxa" w:w="1661"/>
          </w:tcPr>
          <w:p>
            <w:pPr>
              <w:pStyle w:val="null3"/>
            </w:pPr>
            <w:r>
              <w:rPr>
                <w:rFonts w:ascii="仿宋_GB2312" w:hAnsi="仿宋_GB2312" w:cs="仿宋_GB2312" w:eastAsia="仿宋_GB2312"/>
              </w:rPr>
              <w:t>投入本项目主要设备</w:t>
            </w:r>
          </w:p>
        </w:tc>
        <w:tc>
          <w:tcPr>
            <w:tcW w:type="dxa" w:w="2492"/>
          </w:tcPr>
          <w:p>
            <w:pPr>
              <w:pStyle w:val="null3"/>
            </w:pPr>
            <w:r>
              <w:rPr>
                <w:rFonts w:ascii="仿宋_GB2312" w:hAnsi="仿宋_GB2312" w:cs="仿宋_GB2312" w:eastAsia="仿宋_GB2312"/>
              </w:rPr>
              <w:t>供应商针对本项目拟投入的主要设备进行阐述，确保拟投入本项目的设备能够满足采购需求： ①提供拟投入本项目的主要设备清单（包括多旋翼无人机、无人机运输车辆等）并结合本项目对主要设备的技术要求，提供拟投入设备的技术指标说明：提供清单且投入数量满足磋商文件基本要求，得2分，设备技术指标满足磋商文件基本要求，得2分。满分4分。 ②每提供1个拟投入无人机的购置发票或租赁协议，得1分，最多得4分。 ③每提供1个拟投入无人机运输车辆的购置发票或租赁协议、车辆行驶证以及车辆保险证明材料，得1分，最多得4分。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14投入本项目主要设备.docx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详见附件：7项目组织管理方案.docx</w:t>
      </w:r>
    </w:p>
    <w:p>
      <w:pPr>
        <w:pStyle w:val="null3"/>
        <w:ind w:firstLine="960"/>
      </w:pPr>
      <w:r>
        <w:rPr>
          <w:rFonts w:ascii="仿宋_GB2312" w:hAnsi="仿宋_GB2312" w:cs="仿宋_GB2312" w:eastAsia="仿宋_GB2312"/>
        </w:rPr>
        <w:t>详见附件：8重点难点分析及解决方案.docx</w:t>
      </w:r>
    </w:p>
    <w:p>
      <w:pPr>
        <w:pStyle w:val="null3"/>
        <w:ind w:firstLine="960"/>
      </w:pPr>
      <w:r>
        <w:rPr>
          <w:rFonts w:ascii="仿宋_GB2312" w:hAnsi="仿宋_GB2312" w:cs="仿宋_GB2312" w:eastAsia="仿宋_GB2312"/>
        </w:rPr>
        <w:t>详见附件：9飞行流程.docx</w:t>
      </w:r>
    </w:p>
    <w:p>
      <w:pPr>
        <w:pStyle w:val="null3"/>
        <w:ind w:firstLine="960"/>
      </w:pPr>
      <w:r>
        <w:rPr>
          <w:rFonts w:ascii="仿宋_GB2312" w:hAnsi="仿宋_GB2312" w:cs="仿宋_GB2312" w:eastAsia="仿宋_GB2312"/>
        </w:rPr>
        <w:t>详见附件：10服务承诺.docx</w:t>
      </w:r>
    </w:p>
    <w:p>
      <w:pPr>
        <w:pStyle w:val="null3"/>
        <w:ind w:firstLine="960"/>
      </w:pPr>
      <w:r>
        <w:rPr>
          <w:rFonts w:ascii="仿宋_GB2312" w:hAnsi="仿宋_GB2312" w:cs="仿宋_GB2312" w:eastAsia="仿宋_GB2312"/>
        </w:rPr>
        <w:t>详见附件：11空域申请.docx</w:t>
      </w:r>
    </w:p>
    <w:p>
      <w:pPr>
        <w:pStyle w:val="null3"/>
        <w:ind w:firstLine="960"/>
      </w:pPr>
      <w:r>
        <w:rPr>
          <w:rFonts w:ascii="仿宋_GB2312" w:hAnsi="仿宋_GB2312" w:cs="仿宋_GB2312" w:eastAsia="仿宋_GB2312"/>
        </w:rPr>
        <w:t>详见附件：12认证证书.docx</w:t>
      </w:r>
    </w:p>
    <w:p>
      <w:pPr>
        <w:pStyle w:val="null3"/>
        <w:ind w:firstLine="960"/>
      </w:pPr>
      <w:r>
        <w:rPr>
          <w:rFonts w:ascii="仿宋_GB2312" w:hAnsi="仿宋_GB2312" w:cs="仿宋_GB2312" w:eastAsia="仿宋_GB2312"/>
        </w:rPr>
        <w:t>详见附件：13项目团队.docx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详见附件：14投入本项目主要设备.docx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