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293BE1">
      <w:pPr>
        <w:pStyle w:val="10"/>
        <w:spacing w:line="360" w:lineRule="auto"/>
        <w:ind w:firstLine="1286" w:firstLineChars="400"/>
        <w:jc w:val="both"/>
        <w:rPr>
          <w:rFonts w:hint="eastAsia" w:ascii="宋体" w:hAnsi="宋体" w:cs="宋体"/>
          <w:b/>
          <w:bCs/>
          <w:color w:val="000000"/>
          <w:spacing w:val="-20"/>
          <w:sz w:val="36"/>
          <w:szCs w:val="56"/>
          <w:highlight w:val="none"/>
        </w:rPr>
      </w:pPr>
      <w:r>
        <w:rPr>
          <w:rFonts w:hint="eastAsia" w:ascii="宋体" w:hAnsi="宋体" w:cs="宋体"/>
          <w:b/>
          <w:bCs/>
          <w:color w:val="000000"/>
          <w:spacing w:val="-20"/>
          <w:sz w:val="36"/>
          <w:szCs w:val="56"/>
          <w:highlight w:val="none"/>
        </w:rPr>
        <w:t>生态环境保护综合执法无人机执法辅助项目</w:t>
      </w:r>
    </w:p>
    <w:p w14:paraId="0FEB1C61">
      <w:pPr>
        <w:pStyle w:val="10"/>
        <w:spacing w:line="360" w:lineRule="auto"/>
        <w:ind w:firstLine="643"/>
        <w:jc w:val="center"/>
        <w:rPr>
          <w:rFonts w:hint="eastAsia" w:ascii="宋体" w:hAnsi="宋体" w:cs="宋体"/>
          <w:b/>
          <w:bCs/>
          <w:color w:val="000000"/>
          <w:spacing w:val="-20"/>
          <w:sz w:val="36"/>
          <w:szCs w:val="56"/>
          <w:highlight w:val="none"/>
        </w:rPr>
      </w:pPr>
    </w:p>
    <w:p w14:paraId="49AC6F75">
      <w:pPr>
        <w:ind w:firstLine="4416" w:firstLineChars="500"/>
        <w:rPr>
          <w:rFonts w:hint="eastAsia" w:ascii="宋体" w:hAnsi="宋体" w:cs="宋体"/>
          <w:b/>
          <w:bCs/>
          <w:color w:val="000000"/>
          <w:spacing w:val="20"/>
          <w:kern w:val="0"/>
          <w:sz w:val="84"/>
          <w:szCs w:val="84"/>
          <w:highlight w:val="none"/>
        </w:rPr>
      </w:pPr>
      <w:bookmarkStart w:id="2" w:name="_GoBack"/>
      <w:bookmarkEnd w:id="2"/>
    </w:p>
    <w:p w14:paraId="773CBA83">
      <w:pPr>
        <w:pStyle w:val="11"/>
        <w:ind w:firstLine="420"/>
        <w:rPr>
          <w:highlight w:val="none"/>
        </w:rPr>
      </w:pPr>
    </w:p>
    <w:p w14:paraId="6FCC19B7">
      <w:pPr>
        <w:pStyle w:val="11"/>
        <w:ind w:firstLine="420"/>
        <w:rPr>
          <w:highlight w:val="none"/>
        </w:rPr>
      </w:pPr>
    </w:p>
    <w:p w14:paraId="04037181">
      <w:pPr>
        <w:ind w:firstLine="4354" w:firstLineChars="723"/>
        <w:rPr>
          <w:rFonts w:hint="eastAsia" w:ascii="宋体" w:hAnsi="宋体" w:cs="宋体"/>
          <w:b/>
          <w:bCs/>
          <w:color w:val="000000"/>
          <w:spacing w:val="20"/>
          <w:kern w:val="0"/>
          <w:sz w:val="56"/>
          <w:szCs w:val="84"/>
          <w:highlight w:val="none"/>
        </w:rPr>
      </w:pPr>
      <w:r>
        <w:rPr>
          <w:rFonts w:ascii="宋体" w:hAnsi="宋体" w:cs="宋体"/>
          <w:b/>
          <w:bCs/>
          <w:color w:val="000000"/>
          <w:spacing w:val="20"/>
          <w:kern w:val="0"/>
          <w:sz w:val="56"/>
          <w:szCs w:val="84"/>
          <w:highlight w:val="none"/>
        </w:rPr>
        <w:t>服</w:t>
      </w:r>
    </w:p>
    <w:p w14:paraId="13260442">
      <w:pPr>
        <w:ind w:firstLine="4354" w:firstLineChars="723"/>
        <w:rPr>
          <w:rFonts w:hint="eastAsia" w:ascii="宋体" w:hAnsi="宋体" w:cs="宋体"/>
          <w:b/>
          <w:bCs/>
          <w:color w:val="000000"/>
          <w:spacing w:val="20"/>
          <w:kern w:val="0"/>
          <w:sz w:val="56"/>
          <w:szCs w:val="84"/>
          <w:highlight w:val="none"/>
        </w:rPr>
      </w:pPr>
      <w:r>
        <w:rPr>
          <w:rFonts w:ascii="宋体" w:hAnsi="宋体" w:cs="宋体"/>
          <w:b/>
          <w:bCs/>
          <w:color w:val="000000"/>
          <w:spacing w:val="20"/>
          <w:kern w:val="0"/>
          <w:sz w:val="56"/>
          <w:szCs w:val="84"/>
          <w:highlight w:val="none"/>
        </w:rPr>
        <w:t>务</w:t>
      </w:r>
    </w:p>
    <w:p w14:paraId="347E19C4">
      <w:pPr>
        <w:ind w:firstLine="4354" w:firstLineChars="723"/>
        <w:rPr>
          <w:rFonts w:hint="eastAsia" w:ascii="宋体" w:hAnsi="宋体" w:cs="宋体"/>
          <w:b/>
          <w:bCs/>
          <w:color w:val="000000"/>
          <w:spacing w:val="20"/>
          <w:kern w:val="0"/>
          <w:sz w:val="56"/>
          <w:szCs w:val="84"/>
          <w:highlight w:val="none"/>
        </w:rPr>
      </w:pPr>
      <w:r>
        <w:rPr>
          <w:rFonts w:ascii="宋体" w:hAnsi="宋体" w:cs="宋体"/>
          <w:b/>
          <w:bCs/>
          <w:color w:val="000000"/>
          <w:spacing w:val="20"/>
          <w:kern w:val="0"/>
          <w:sz w:val="56"/>
          <w:szCs w:val="84"/>
          <w:highlight w:val="none"/>
        </w:rPr>
        <w:t>合</w:t>
      </w:r>
    </w:p>
    <w:p w14:paraId="31553012">
      <w:pPr>
        <w:ind w:firstLine="4354" w:firstLineChars="723"/>
        <w:rPr>
          <w:rFonts w:hint="eastAsia" w:ascii="宋体" w:hAnsi="宋体" w:cs="宋体"/>
          <w:b/>
          <w:bCs/>
          <w:color w:val="000000"/>
          <w:spacing w:val="20"/>
          <w:kern w:val="0"/>
          <w:sz w:val="56"/>
          <w:szCs w:val="84"/>
          <w:highlight w:val="none"/>
        </w:rPr>
      </w:pPr>
      <w:r>
        <w:rPr>
          <w:rFonts w:ascii="宋体" w:hAnsi="宋体" w:cs="宋体"/>
          <w:b/>
          <w:bCs/>
          <w:color w:val="000000"/>
          <w:spacing w:val="20"/>
          <w:kern w:val="0"/>
          <w:sz w:val="56"/>
          <w:szCs w:val="84"/>
          <w:highlight w:val="none"/>
        </w:rPr>
        <w:t>同</w:t>
      </w:r>
    </w:p>
    <w:p w14:paraId="2C21EB98">
      <w:pPr>
        <w:ind w:firstLine="4416" w:firstLineChars="500"/>
        <w:rPr>
          <w:rFonts w:hint="eastAsia" w:ascii="宋体" w:hAnsi="宋体" w:cs="宋体"/>
          <w:b/>
          <w:bCs/>
          <w:color w:val="000000"/>
          <w:spacing w:val="20"/>
          <w:kern w:val="0"/>
          <w:sz w:val="84"/>
          <w:szCs w:val="84"/>
          <w:highlight w:val="none"/>
        </w:rPr>
      </w:pPr>
    </w:p>
    <w:p w14:paraId="2C5803E1">
      <w:pPr>
        <w:ind w:firstLine="1767"/>
        <w:jc w:val="center"/>
        <w:rPr>
          <w:rFonts w:hint="eastAsia" w:ascii="宋体" w:hAnsi="宋体" w:cs="宋体"/>
          <w:b/>
          <w:bCs/>
          <w:color w:val="000000"/>
          <w:spacing w:val="20"/>
          <w:kern w:val="0"/>
          <w:sz w:val="84"/>
          <w:szCs w:val="84"/>
          <w:highlight w:val="none"/>
        </w:rPr>
      </w:pPr>
    </w:p>
    <w:p w14:paraId="4799AA86">
      <w:pPr>
        <w:pStyle w:val="11"/>
        <w:ind w:firstLine="420"/>
        <w:rPr>
          <w:highlight w:val="none"/>
        </w:rPr>
      </w:pPr>
    </w:p>
    <w:p w14:paraId="6D2FC413">
      <w:pPr>
        <w:wordWrap w:val="0"/>
        <w:topLinePunct/>
        <w:spacing w:line="360" w:lineRule="atLeast"/>
        <w:ind w:firstLine="1260" w:firstLineChars="450"/>
        <w:contextualSpacing/>
        <w:rPr>
          <w:rFonts w:hint="eastAsia" w:ascii="宋体" w:hAnsi="宋体" w:eastAsia="宋体" w:cs="宋体"/>
          <w:sz w:val="28"/>
          <w:szCs w:val="28"/>
          <w:highlight w:val="none"/>
        </w:rPr>
      </w:pPr>
      <w:r>
        <w:rPr>
          <w:rFonts w:hint="eastAsia" w:ascii="宋体" w:hAnsi="宋体" w:eastAsia="宋体" w:cs="宋体"/>
          <w:sz w:val="28"/>
          <w:szCs w:val="28"/>
          <w:highlight w:val="none"/>
        </w:rPr>
        <w:t>采购人（甲方）：</w:t>
      </w:r>
    </w:p>
    <w:p w14:paraId="5C81EE3C">
      <w:pPr>
        <w:ind w:firstLine="141" w:firstLineChars="50"/>
        <w:rPr>
          <w:rFonts w:hint="eastAsia" w:ascii="宋体" w:hAnsi="宋体" w:eastAsia="宋体" w:cs="宋体"/>
          <w:sz w:val="28"/>
          <w:szCs w:val="28"/>
          <w:highlight w:val="none"/>
        </w:rPr>
      </w:pPr>
      <w:r>
        <w:rPr>
          <w:rFonts w:hint="eastAsia" w:ascii="宋体" w:hAnsi="宋体" w:eastAsia="宋体" w:cs="宋体"/>
          <w:b/>
          <w:sz w:val="28"/>
          <w:szCs w:val="28"/>
          <w:highlight w:val="none"/>
        </w:rPr>
        <w:t xml:space="preserve">        </w:t>
      </w:r>
      <w:r>
        <w:rPr>
          <w:rFonts w:hint="eastAsia" w:ascii="宋体" w:hAnsi="宋体" w:eastAsia="宋体" w:cs="宋体"/>
          <w:sz w:val="28"/>
          <w:szCs w:val="28"/>
          <w:highlight w:val="none"/>
        </w:rPr>
        <w:t>供 应 商(乙方)：</w:t>
      </w:r>
      <w:r>
        <w:rPr>
          <w:rFonts w:hint="eastAsia" w:ascii="宋体" w:hAnsi="宋体" w:eastAsia="宋体" w:cs="宋体"/>
          <w:b/>
          <w:sz w:val="28"/>
          <w:szCs w:val="28"/>
          <w:highlight w:val="none"/>
        </w:rPr>
        <w:t xml:space="preserve">   </w:t>
      </w:r>
    </w:p>
    <w:p w14:paraId="7F9D4BD6">
      <w:pPr>
        <w:pStyle w:val="11"/>
        <w:ind w:firstLine="420"/>
        <w:rPr>
          <w:rFonts w:hint="eastAsia" w:ascii="宋体" w:hAnsi="宋体" w:eastAsia="宋体"/>
          <w:color w:val="000000"/>
          <w:sz w:val="24"/>
          <w:highlight w:val="none"/>
        </w:rPr>
        <w:sectPr>
          <w:footerReference r:id="rId5" w:type="even"/>
          <w:pgSz w:w="11906" w:h="16838"/>
          <w:pgMar w:top="1304" w:right="1417" w:bottom="1304" w:left="1417" w:header="1077" w:footer="794" w:gutter="0"/>
          <w:pgNumType w:start="0"/>
          <w:cols w:space="720" w:num="1"/>
          <w:titlePg/>
          <w:docGrid w:type="lines" w:linePitch="312" w:charSpace="0"/>
        </w:sectPr>
      </w:pPr>
    </w:p>
    <w:p w14:paraId="50733AFD">
      <w:pPr>
        <w:pStyle w:val="2"/>
        <w:spacing w:line="360" w:lineRule="auto"/>
        <w:jc w:val="center"/>
        <w:rPr>
          <w:rStyle w:val="17"/>
          <w:rFonts w:hint="eastAsia" w:ascii="宋体" w:hAnsi="宋体"/>
          <w:b/>
          <w:bCs w:val="0"/>
          <w:color w:val="000000" w:themeColor="text1"/>
          <w:sz w:val="24"/>
          <w:szCs w:val="24"/>
          <w:highlight w:val="none"/>
          <w14:textFill>
            <w14:solidFill>
              <w14:schemeClr w14:val="tx1"/>
            </w14:solidFill>
          </w14:textFill>
        </w:rPr>
      </w:pPr>
      <w:r>
        <w:rPr>
          <w:rStyle w:val="17"/>
          <w:rFonts w:ascii="宋体" w:hAnsi="宋体"/>
          <w:b/>
          <w:color w:val="000000" w:themeColor="text1"/>
          <w:sz w:val="24"/>
          <w:szCs w:val="24"/>
          <w:highlight w:val="none"/>
          <w14:textFill>
            <w14:solidFill>
              <w14:schemeClr w14:val="tx1"/>
            </w14:solidFill>
          </w14:textFill>
        </w:rPr>
        <w:t>合</w:t>
      </w:r>
      <w:r>
        <w:rPr>
          <w:rStyle w:val="17"/>
          <w:rFonts w:hint="eastAsia" w:ascii="宋体" w:hAnsi="宋体"/>
          <w:b/>
          <w:color w:val="000000" w:themeColor="text1"/>
          <w:sz w:val="24"/>
          <w:szCs w:val="24"/>
          <w:highlight w:val="none"/>
          <w14:textFill>
            <w14:solidFill>
              <w14:schemeClr w14:val="tx1"/>
            </w14:solidFill>
          </w14:textFill>
        </w:rPr>
        <w:t xml:space="preserve"> </w:t>
      </w:r>
      <w:r>
        <w:rPr>
          <w:rStyle w:val="17"/>
          <w:rFonts w:ascii="宋体" w:hAnsi="宋体"/>
          <w:b/>
          <w:color w:val="000000" w:themeColor="text1"/>
          <w:sz w:val="24"/>
          <w:szCs w:val="24"/>
          <w:highlight w:val="none"/>
          <w14:textFill>
            <w14:solidFill>
              <w14:schemeClr w14:val="tx1"/>
            </w14:solidFill>
          </w14:textFill>
        </w:rPr>
        <w:t>同</w:t>
      </w:r>
      <w:r>
        <w:rPr>
          <w:rStyle w:val="17"/>
          <w:rFonts w:hint="eastAsia" w:ascii="宋体" w:hAnsi="宋体"/>
          <w:b/>
          <w:color w:val="000000" w:themeColor="text1"/>
          <w:sz w:val="24"/>
          <w:szCs w:val="24"/>
          <w:highlight w:val="none"/>
          <w14:textFill>
            <w14:solidFill>
              <w14:schemeClr w14:val="tx1"/>
            </w14:solidFill>
          </w14:textFill>
        </w:rPr>
        <w:t xml:space="preserve"> </w:t>
      </w:r>
      <w:r>
        <w:rPr>
          <w:rStyle w:val="17"/>
          <w:rFonts w:ascii="宋体" w:hAnsi="宋体"/>
          <w:b/>
          <w:color w:val="000000" w:themeColor="text1"/>
          <w:sz w:val="24"/>
          <w:szCs w:val="24"/>
          <w:highlight w:val="none"/>
          <w14:textFill>
            <w14:solidFill>
              <w14:schemeClr w14:val="tx1"/>
            </w14:solidFill>
          </w14:textFill>
        </w:rPr>
        <w:t>书</w:t>
      </w:r>
    </w:p>
    <w:p w14:paraId="6FAAEB7A">
      <w:pPr>
        <w:spacing w:before="156" w:beforeLines="50"/>
        <w:rPr>
          <w:rFonts w:hint="eastAsia" w:ascii="宋体" w:hAnsi="宋体" w:eastAsia="宋体" w:cs="宋体"/>
          <w:b/>
          <w:sz w:val="24"/>
          <w:highlight w:val="none"/>
        </w:rPr>
      </w:pPr>
      <w:r>
        <w:rPr>
          <w:rFonts w:hint="eastAsia" w:ascii="宋体" w:hAnsi="宋体" w:eastAsia="宋体" w:cs="宋体"/>
          <w:b/>
          <w:sz w:val="24"/>
          <w:highlight w:val="none"/>
        </w:rPr>
        <w:t>采购人（甲方）：</w:t>
      </w:r>
    </w:p>
    <w:p w14:paraId="0B1892EC">
      <w:pPr>
        <w:spacing w:line="360" w:lineRule="auto"/>
        <w:rPr>
          <w:rFonts w:hint="eastAsia" w:ascii="宋体" w:hAnsi="宋体" w:eastAsia="宋体" w:cs="宋体"/>
          <w:b/>
          <w:sz w:val="24"/>
          <w:highlight w:val="none"/>
        </w:rPr>
      </w:pPr>
      <w:r>
        <w:rPr>
          <w:rFonts w:hint="eastAsia" w:ascii="宋体" w:hAnsi="宋体" w:eastAsia="宋体" w:cs="宋体"/>
          <w:b/>
          <w:sz w:val="24"/>
          <w:highlight w:val="none"/>
        </w:rPr>
        <w:t>统一社会信用代码：</w:t>
      </w:r>
    </w:p>
    <w:p w14:paraId="48C914EA">
      <w:pPr>
        <w:spacing w:line="360" w:lineRule="auto"/>
        <w:rPr>
          <w:rFonts w:hint="eastAsia" w:ascii="宋体" w:hAnsi="宋体" w:eastAsia="宋体" w:cs="宋体"/>
          <w:b/>
          <w:sz w:val="24"/>
          <w:highlight w:val="none"/>
        </w:rPr>
      </w:pPr>
      <w:r>
        <w:rPr>
          <w:rFonts w:hint="eastAsia" w:ascii="宋体" w:hAnsi="宋体" w:eastAsia="宋体" w:cs="宋体"/>
          <w:b/>
          <w:sz w:val="24"/>
          <w:highlight w:val="none"/>
        </w:rPr>
        <w:t>法定代表人：</w:t>
      </w:r>
    </w:p>
    <w:p w14:paraId="65344327">
      <w:pPr>
        <w:spacing w:line="360" w:lineRule="auto"/>
        <w:rPr>
          <w:rFonts w:hint="eastAsia" w:ascii="宋体" w:hAnsi="宋体" w:eastAsia="宋体" w:cs="宋体"/>
          <w:b/>
          <w:sz w:val="24"/>
          <w:highlight w:val="none"/>
        </w:rPr>
      </w:pPr>
      <w:r>
        <w:rPr>
          <w:rFonts w:hint="eastAsia" w:ascii="宋体" w:hAnsi="宋体" w:eastAsia="宋体" w:cs="宋体"/>
          <w:b/>
          <w:sz w:val="24"/>
          <w:highlight w:val="none"/>
        </w:rPr>
        <w:t>联系电话：</w:t>
      </w:r>
    </w:p>
    <w:p w14:paraId="21010975">
      <w:pPr>
        <w:rPr>
          <w:rFonts w:hint="eastAsia" w:ascii="宋体" w:hAnsi="宋体" w:eastAsia="宋体" w:cs="宋体"/>
          <w:b/>
          <w:sz w:val="24"/>
          <w:highlight w:val="none"/>
        </w:rPr>
      </w:pPr>
      <w:r>
        <w:rPr>
          <w:rFonts w:hint="eastAsia" w:ascii="宋体" w:hAnsi="宋体" w:eastAsia="宋体" w:cs="宋体"/>
          <w:b/>
          <w:sz w:val="24"/>
          <w:highlight w:val="none"/>
        </w:rPr>
        <w:t>联系地址：</w:t>
      </w:r>
    </w:p>
    <w:p w14:paraId="3FD4A29F">
      <w:pPr>
        <w:rPr>
          <w:rFonts w:hint="eastAsia" w:ascii="宋体" w:hAnsi="宋体" w:eastAsia="宋体" w:cs="宋体"/>
          <w:b/>
          <w:sz w:val="24"/>
          <w:highlight w:val="none"/>
        </w:rPr>
      </w:pPr>
      <w:r>
        <w:rPr>
          <w:rFonts w:hint="eastAsia" w:ascii="宋体" w:hAnsi="宋体" w:eastAsia="宋体" w:cs="宋体"/>
          <w:b/>
          <w:sz w:val="24"/>
          <w:highlight w:val="none"/>
        </w:rPr>
        <w:t>供应商（乙方）：</w:t>
      </w:r>
    </w:p>
    <w:p w14:paraId="5B6F94C9">
      <w:pPr>
        <w:spacing w:line="360" w:lineRule="auto"/>
        <w:rPr>
          <w:rFonts w:hint="eastAsia" w:ascii="宋体" w:hAnsi="宋体" w:eastAsia="宋体" w:cs="宋体"/>
          <w:b/>
          <w:sz w:val="24"/>
          <w:highlight w:val="none"/>
        </w:rPr>
      </w:pPr>
      <w:r>
        <w:rPr>
          <w:rFonts w:hint="eastAsia" w:ascii="宋体" w:hAnsi="宋体" w:eastAsia="宋体" w:cs="宋体"/>
          <w:b/>
          <w:sz w:val="24"/>
          <w:highlight w:val="none"/>
        </w:rPr>
        <w:t>统一社会信用代码：</w:t>
      </w:r>
    </w:p>
    <w:p w14:paraId="62ABD9DB">
      <w:pPr>
        <w:spacing w:line="360" w:lineRule="auto"/>
        <w:rPr>
          <w:rFonts w:hint="eastAsia" w:ascii="宋体" w:hAnsi="宋体" w:eastAsia="宋体" w:cs="宋体"/>
          <w:b/>
          <w:sz w:val="24"/>
          <w:highlight w:val="none"/>
        </w:rPr>
      </w:pPr>
      <w:r>
        <w:rPr>
          <w:rFonts w:hint="eastAsia" w:ascii="宋体" w:hAnsi="宋体" w:eastAsia="宋体" w:cs="宋体"/>
          <w:b/>
          <w:sz w:val="24"/>
          <w:highlight w:val="none"/>
        </w:rPr>
        <w:t>法定代表人：</w:t>
      </w:r>
    </w:p>
    <w:p w14:paraId="75D1838B">
      <w:pPr>
        <w:spacing w:line="360" w:lineRule="auto"/>
        <w:rPr>
          <w:rFonts w:hint="eastAsia" w:ascii="宋体" w:hAnsi="宋体" w:eastAsia="宋体" w:cs="宋体"/>
          <w:b/>
          <w:sz w:val="24"/>
          <w:highlight w:val="none"/>
        </w:rPr>
      </w:pPr>
      <w:r>
        <w:rPr>
          <w:rFonts w:hint="eastAsia" w:ascii="宋体" w:hAnsi="宋体" w:eastAsia="宋体" w:cs="宋体"/>
          <w:b/>
          <w:sz w:val="24"/>
          <w:highlight w:val="none"/>
        </w:rPr>
        <w:t xml:space="preserve">联系电话： </w:t>
      </w:r>
    </w:p>
    <w:p w14:paraId="01B0554D">
      <w:pPr>
        <w:spacing w:line="360" w:lineRule="auto"/>
        <w:rPr>
          <w:rFonts w:hint="eastAsia" w:ascii="宋体" w:hAnsi="宋体" w:eastAsia="宋体" w:cs="宋体"/>
          <w:b/>
          <w:sz w:val="24"/>
          <w:highlight w:val="none"/>
        </w:rPr>
      </w:pPr>
      <w:r>
        <w:rPr>
          <w:rFonts w:hint="eastAsia" w:ascii="宋体" w:hAnsi="宋体" w:eastAsia="宋体" w:cs="宋体"/>
          <w:b/>
          <w:sz w:val="24"/>
          <w:highlight w:val="none"/>
        </w:rPr>
        <w:t>联系地址：</w:t>
      </w:r>
    </w:p>
    <w:p w14:paraId="762B961C">
      <w:pPr>
        <w:spacing w:line="360" w:lineRule="auto"/>
        <w:ind w:firstLine="640"/>
        <w:rPr>
          <w:rFonts w:hint="eastAsia" w:ascii="宋体" w:hAnsi="宋体" w:eastAsia="宋体"/>
          <w:sz w:val="24"/>
          <w:highlight w:val="none"/>
        </w:rPr>
      </w:pPr>
      <w:bookmarkStart w:id="0" w:name="_Hlk116220561"/>
      <w:r>
        <w:rPr>
          <w:rFonts w:hint="eastAsia" w:ascii="宋体" w:hAnsi="宋体" w:eastAsia="宋体" w:cs="仿宋"/>
          <w:color w:val="000000" w:themeColor="text1"/>
          <w:sz w:val="24"/>
          <w:highlight w:val="none"/>
          <w14:textFill>
            <w14:solidFill>
              <w14:schemeClr w14:val="tx1"/>
            </w14:solidFill>
          </w14:textFill>
        </w:rPr>
        <w:t>生态环境保护综合执法无人机执法辅助项目</w:t>
      </w:r>
      <w:bookmarkEnd w:id="0"/>
      <w:r>
        <w:rPr>
          <w:rFonts w:hint="eastAsia" w:ascii="宋体" w:hAnsi="宋体" w:eastAsia="宋体" w:cs="仿宋"/>
          <w:color w:val="000000" w:themeColor="text1"/>
          <w:sz w:val="24"/>
          <w:highlight w:val="none"/>
          <w14:textFill>
            <w14:solidFill>
              <w14:schemeClr w14:val="tx1"/>
            </w14:solidFill>
          </w14:textFill>
        </w:rPr>
        <w:t>录入市政府采购系统，西安市生态环境保护综合执法支队（甲方）按照财政要求于</w:t>
      </w:r>
      <w:r>
        <w:rPr>
          <w:rFonts w:hint="eastAsia" w:ascii="宋体" w:hAnsi="宋体" w:eastAsia="宋体" w:cs="仿宋"/>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年</w:t>
      </w:r>
      <w:r>
        <w:rPr>
          <w:rFonts w:hint="eastAsia" w:ascii="宋体" w:hAnsi="宋体" w:eastAsia="宋体" w:cs="仿宋"/>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月</w:t>
      </w:r>
      <w:r>
        <w:rPr>
          <w:rFonts w:hint="eastAsia" w:ascii="宋体" w:hAnsi="宋体" w:eastAsia="宋体" w:cs="仿宋"/>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日进行了竞争性磋商，最终确定</w:t>
      </w:r>
      <w:r>
        <w:rPr>
          <w:rFonts w:hint="eastAsia" w:ascii="宋体" w:hAnsi="宋体" w:eastAsia="宋体" w:cs="仿宋"/>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---为</w:t>
      </w:r>
      <w:r>
        <w:rPr>
          <w:rFonts w:hint="eastAsia" w:ascii="宋体" w:hAnsi="宋体" w:eastAsia="宋体" w:cs="仿宋"/>
          <w:color w:val="000000" w:themeColor="text1"/>
          <w:sz w:val="24"/>
          <w:highlight w:val="none"/>
          <w:u w:val="single"/>
          <w14:textFill>
            <w14:solidFill>
              <w14:schemeClr w14:val="tx1"/>
            </w14:solidFill>
          </w14:textFill>
        </w:rPr>
        <w:t>生态环境保护综合执法无人机执法辅助项目（采购项目编号：</w:t>
      </w:r>
      <w:r>
        <w:rPr>
          <w:rFonts w:hint="eastAsia" w:ascii="宋体" w:hAnsi="宋体" w:eastAsia="宋体" w:cs="仿宋"/>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服务单位。依据《中华人民共和国民法典》和《中华人民共和国政府采购法》等有关法律法规，经双方协商一致，对</w:t>
      </w:r>
      <w:r>
        <w:rPr>
          <w:rFonts w:hint="eastAsia" w:ascii="宋体" w:hAnsi="宋体" w:eastAsia="宋体" w:cs="仿宋"/>
          <w:color w:val="000000" w:themeColor="text1"/>
          <w:sz w:val="24"/>
          <w:highlight w:val="none"/>
          <w:u w:val="single"/>
          <w14:textFill>
            <w14:solidFill>
              <w14:schemeClr w14:val="tx1"/>
            </w14:solidFill>
          </w14:textFill>
        </w:rPr>
        <w:t>生态环境保护综合执法无人机执法辅助项目</w:t>
      </w:r>
      <w:r>
        <w:rPr>
          <w:rFonts w:hint="eastAsia" w:ascii="宋体" w:hAnsi="宋体" w:eastAsia="宋体" w:cs="仿宋"/>
          <w:color w:val="000000" w:themeColor="text1"/>
          <w:sz w:val="24"/>
          <w:highlight w:val="none"/>
          <w14:textFill>
            <w14:solidFill>
              <w14:schemeClr w14:val="tx1"/>
            </w14:solidFill>
          </w14:textFill>
        </w:rPr>
        <w:t>采购事宜，签订合同如下：</w:t>
      </w:r>
    </w:p>
    <w:p w14:paraId="012A987A">
      <w:pPr>
        <w:spacing w:line="360" w:lineRule="auto"/>
        <w:ind w:firstLine="643"/>
        <w:rPr>
          <w:rFonts w:hint="eastAsia" w:ascii="宋体" w:hAnsi="宋体" w:eastAsia="宋体" w:cs="仿宋"/>
          <w:b/>
          <w:color w:val="000000" w:themeColor="text1"/>
          <w:sz w:val="24"/>
          <w:highlight w:val="none"/>
          <w14:textFill>
            <w14:solidFill>
              <w14:schemeClr w14:val="tx1"/>
            </w14:solidFill>
          </w14:textFill>
        </w:rPr>
      </w:pPr>
      <w:r>
        <w:rPr>
          <w:rFonts w:hint="eastAsia" w:ascii="宋体" w:hAnsi="宋体" w:eastAsia="宋体" w:cs="仿宋"/>
          <w:b/>
          <w:color w:val="000000" w:themeColor="text1"/>
          <w:sz w:val="24"/>
          <w:highlight w:val="none"/>
          <w14:textFill>
            <w14:solidFill>
              <w14:schemeClr w14:val="tx1"/>
            </w14:solidFill>
          </w14:textFill>
        </w:rPr>
        <w:t>一、项目概况</w:t>
      </w:r>
    </w:p>
    <w:p w14:paraId="5A282DCD">
      <w:pPr>
        <w:spacing w:line="360" w:lineRule="auto"/>
        <w:ind w:firstLine="64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通过采购第三方多旋翼无人机带专业挂载巡查服务的形式，在辖区范围内对西安市自然生态及饮用水源地保护区、重点区域、重点网格污染源、重点河流及敏感水域、工业园区、重点企业等污染源开展空中飞行辅助巡查服务。</w:t>
      </w:r>
    </w:p>
    <w:p w14:paraId="5271F521">
      <w:pPr>
        <w:spacing w:line="360" w:lineRule="auto"/>
        <w:ind w:firstLine="643"/>
        <w:rPr>
          <w:rFonts w:hint="eastAsia" w:ascii="宋体" w:hAnsi="宋体" w:eastAsia="宋体" w:cs="仿宋"/>
          <w:b/>
          <w:color w:val="000000" w:themeColor="text1"/>
          <w:sz w:val="24"/>
          <w:highlight w:val="none"/>
          <w14:textFill>
            <w14:solidFill>
              <w14:schemeClr w14:val="tx1"/>
            </w14:solidFill>
          </w14:textFill>
        </w:rPr>
      </w:pPr>
      <w:r>
        <w:rPr>
          <w:rFonts w:hint="eastAsia" w:ascii="宋体" w:hAnsi="宋体" w:eastAsia="宋体" w:cs="仿宋"/>
          <w:b/>
          <w:color w:val="000000" w:themeColor="text1"/>
          <w:sz w:val="24"/>
          <w:highlight w:val="none"/>
          <w14:textFill>
            <w14:solidFill>
              <w14:schemeClr w14:val="tx1"/>
            </w14:solidFill>
          </w14:textFill>
        </w:rPr>
        <w:t>二、合同内容及价款</w:t>
      </w:r>
    </w:p>
    <w:p w14:paraId="78D5C841">
      <w:pPr>
        <w:ind w:firstLine="640"/>
        <w:rPr>
          <w:rFonts w:hint="eastAsia" w:ascii="宋体" w:hAnsi="宋体" w:eastAsia="宋体" w:cs="仿宋"/>
          <w:sz w:val="24"/>
          <w:highlight w:val="none"/>
        </w:rPr>
      </w:pPr>
      <w:r>
        <w:rPr>
          <w:rFonts w:hint="eastAsia" w:ascii="宋体" w:hAnsi="宋体" w:eastAsia="宋体" w:cs="仿宋"/>
          <w:sz w:val="24"/>
          <w:highlight w:val="none"/>
        </w:rPr>
        <w:t>无人机日常辅助执法服务，合同期内根据实际工作需求调整安排飞行巡查任务，按单次巡查面积不少于1K㎡计算，飞行巡查总次数298架次。具体服务内容如下：</w:t>
      </w:r>
    </w:p>
    <w:p w14:paraId="3C705A94">
      <w:pPr>
        <w:pStyle w:val="11"/>
        <w:numPr>
          <w:ilvl w:val="0"/>
          <w:numId w:val="1"/>
        </w:numPr>
        <w:spacing w:line="360" w:lineRule="auto"/>
        <w:ind w:right="240" w:firstLine="480" w:firstLineChars="200"/>
        <w:jc w:val="left"/>
        <w:rPr>
          <w:rFonts w:hint="eastAsia" w:ascii="宋体" w:hAnsi="宋体" w:eastAsia="宋体" w:cs="仿宋"/>
          <w:sz w:val="24"/>
          <w:highlight w:val="none"/>
        </w:rPr>
      </w:pPr>
      <w:r>
        <w:rPr>
          <w:rFonts w:hint="eastAsia" w:ascii="宋体" w:hAnsi="宋体" w:eastAsia="宋体" w:cs="仿宋"/>
          <w:sz w:val="24"/>
          <w:highlight w:val="none"/>
        </w:rPr>
        <w:t>自然生态及饮用水源地保护区航拍服务，通过无人机航拍飞行，巡查破坏生态及水源地污染等问题，发现问题及时上报处理。在不同时期对同一问题点进行多方位拍摄，进行差异比对，反馈问题处理情况。</w:t>
      </w:r>
    </w:p>
    <w:p w14:paraId="3D4FA812">
      <w:pPr>
        <w:pStyle w:val="11"/>
        <w:spacing w:line="360" w:lineRule="auto"/>
        <w:ind w:firstLine="643"/>
        <w:jc w:val="left"/>
        <w:rPr>
          <w:rFonts w:hint="eastAsia" w:ascii="宋体" w:hAnsi="宋体" w:eastAsia="宋体" w:cs="仿宋"/>
          <w:b/>
          <w:bCs/>
          <w:sz w:val="24"/>
          <w:highlight w:val="none"/>
        </w:rPr>
      </w:pPr>
      <w:r>
        <w:rPr>
          <w:rFonts w:hint="eastAsia" w:ascii="宋体" w:hAnsi="宋体" w:eastAsia="宋体" w:cs="仿宋"/>
          <w:b/>
          <w:bCs/>
          <w:sz w:val="24"/>
          <w:highlight w:val="none"/>
        </w:rPr>
        <w:t>（二）</w:t>
      </w:r>
      <w:r>
        <w:rPr>
          <w:rFonts w:hint="eastAsia" w:ascii="宋体" w:hAnsi="宋体" w:eastAsia="宋体" w:cs="仿宋"/>
          <w:sz w:val="24"/>
          <w:highlight w:val="none"/>
        </w:rPr>
        <w:t>重点区域巡查服务，使用无人机带专业挂载对重点区域进行巡查，提供工业园区污染源排查、重点污染源排查或重点网格航拍飞行巡查服务。</w:t>
      </w:r>
    </w:p>
    <w:p w14:paraId="33EF9F3E">
      <w:pPr>
        <w:pStyle w:val="11"/>
        <w:spacing w:line="360" w:lineRule="auto"/>
        <w:ind w:firstLine="643"/>
        <w:jc w:val="left"/>
        <w:rPr>
          <w:rFonts w:hint="eastAsia" w:ascii="宋体" w:hAnsi="宋体" w:eastAsia="宋体"/>
          <w:sz w:val="24"/>
          <w:highlight w:val="none"/>
        </w:rPr>
      </w:pPr>
      <w:r>
        <w:rPr>
          <w:rFonts w:hint="eastAsia" w:ascii="宋体" w:hAnsi="宋体" w:eastAsia="宋体" w:cs="仿宋"/>
          <w:b/>
          <w:bCs/>
          <w:sz w:val="24"/>
          <w:highlight w:val="none"/>
        </w:rPr>
        <w:t>（三）</w:t>
      </w:r>
      <w:r>
        <w:rPr>
          <w:rFonts w:hint="eastAsia" w:ascii="宋体" w:hAnsi="宋体" w:eastAsia="宋体" w:cs="仿宋"/>
          <w:sz w:val="24"/>
          <w:highlight w:val="none"/>
        </w:rPr>
        <w:t>重点河流及敏感水域、重点工业园固废航拍巡查服务，使用无人机对重点河流及敏感水域、重点工业园固废问题进行航拍飞行巡查，每次飞行任务结束后，将飞行过程中发现的固废问题点地址、污染类型等信息，输出巡查报告，为执法支队提供辅助执法依据。</w:t>
      </w:r>
    </w:p>
    <w:p w14:paraId="0ABCEC29">
      <w:pPr>
        <w:pStyle w:val="11"/>
        <w:spacing w:line="360" w:lineRule="auto"/>
        <w:ind w:firstLine="643"/>
        <w:jc w:val="left"/>
        <w:rPr>
          <w:rFonts w:hint="eastAsia" w:ascii="宋体" w:hAnsi="宋体" w:eastAsia="宋体" w:cs="仿宋"/>
          <w:sz w:val="24"/>
          <w:highlight w:val="none"/>
        </w:rPr>
      </w:pPr>
      <w:r>
        <w:rPr>
          <w:rFonts w:hint="eastAsia" w:ascii="宋体" w:hAnsi="宋体" w:eastAsia="宋体" w:cs="仿宋"/>
          <w:b/>
          <w:bCs/>
          <w:sz w:val="24"/>
          <w:highlight w:val="none"/>
        </w:rPr>
        <w:t>（四）</w:t>
      </w:r>
      <w:r>
        <w:rPr>
          <w:rFonts w:hint="eastAsia" w:ascii="宋体" w:hAnsi="宋体" w:eastAsia="宋体" w:cs="仿宋"/>
          <w:sz w:val="24"/>
          <w:highlight w:val="none"/>
        </w:rPr>
        <w:t>重点企业巡查服务，使用无人机挂载相关专业设备对涉气、涉水重点企业进行巡查，发现问题线索，形成巡查报告。</w:t>
      </w:r>
    </w:p>
    <w:p w14:paraId="0CBCA42F">
      <w:pPr>
        <w:pStyle w:val="11"/>
        <w:spacing w:line="360" w:lineRule="auto"/>
        <w:ind w:firstLine="643"/>
        <w:jc w:val="left"/>
        <w:rPr>
          <w:rFonts w:hint="eastAsia" w:ascii="宋体" w:hAnsi="宋体" w:eastAsia="宋体"/>
          <w:sz w:val="24"/>
          <w:highlight w:val="none"/>
        </w:rPr>
      </w:pPr>
      <w:r>
        <w:rPr>
          <w:rFonts w:hint="eastAsia" w:ascii="宋体" w:hAnsi="宋体" w:eastAsia="宋体" w:cs="仿宋"/>
          <w:b/>
          <w:bCs/>
          <w:sz w:val="24"/>
          <w:highlight w:val="none"/>
        </w:rPr>
        <w:t>（五）</w:t>
      </w:r>
      <w:r>
        <w:rPr>
          <w:rFonts w:hint="eastAsia" w:ascii="宋体" w:hAnsi="宋体" w:eastAsia="宋体" w:cs="仿宋"/>
          <w:sz w:val="24"/>
          <w:highlight w:val="none"/>
        </w:rPr>
        <w:t>根据日常工作需要安排其他相关飞行任务。</w:t>
      </w:r>
    </w:p>
    <w:p w14:paraId="3BF356E5">
      <w:pPr>
        <w:ind w:firstLine="640"/>
        <w:rPr>
          <w:rFonts w:hint="eastAsia" w:ascii="宋体" w:hAnsi="宋体" w:eastAsia="宋体" w:cs="仿宋"/>
          <w:sz w:val="24"/>
          <w:highlight w:val="none"/>
        </w:rPr>
      </w:pPr>
      <w:r>
        <w:rPr>
          <w:rFonts w:hint="eastAsia" w:ascii="宋体" w:hAnsi="宋体" w:eastAsia="宋体" w:cs="仿宋"/>
          <w:sz w:val="24"/>
          <w:highlight w:val="none"/>
        </w:rPr>
        <w:t>生态环境保护综合执法无人机辅助执法项目合同金额：</w:t>
      </w:r>
    </w:p>
    <w:p w14:paraId="01597566">
      <w:pPr>
        <w:pStyle w:val="11"/>
        <w:tabs>
          <w:tab w:val="left" w:pos="941"/>
        </w:tabs>
        <w:ind w:firstLine="640"/>
        <w:rPr>
          <w:rFonts w:hint="eastAsia" w:ascii="宋体" w:hAnsi="宋体" w:eastAsia="宋体" w:cs="仿宋"/>
          <w:sz w:val="24"/>
          <w:highlight w:val="none"/>
        </w:rPr>
      </w:pPr>
      <w:r>
        <w:rPr>
          <w:rFonts w:hint="eastAsia" w:ascii="宋体" w:hAnsi="宋体" w:eastAsia="宋体" w:cs="仿宋"/>
          <w:sz w:val="24"/>
          <w:highlight w:val="none"/>
        </w:rPr>
        <w:t>合同价款一次性包死，除此之外甲方不再向乙方支付任何费用。</w:t>
      </w:r>
    </w:p>
    <w:p w14:paraId="5FF9743D">
      <w:pPr>
        <w:adjustRightInd w:val="0"/>
        <w:snapToGrid w:val="0"/>
        <w:spacing w:line="360" w:lineRule="auto"/>
        <w:ind w:firstLine="643"/>
        <w:rPr>
          <w:rFonts w:hint="eastAsia" w:ascii="宋体" w:hAnsi="宋体" w:eastAsia="宋体" w:cs="仿宋"/>
          <w:b/>
          <w:color w:val="000000" w:themeColor="text1"/>
          <w:sz w:val="24"/>
          <w:highlight w:val="none"/>
          <w14:textFill>
            <w14:solidFill>
              <w14:schemeClr w14:val="tx1"/>
            </w14:solidFill>
          </w14:textFill>
        </w:rPr>
      </w:pPr>
      <w:r>
        <w:rPr>
          <w:rFonts w:hint="eastAsia" w:ascii="宋体" w:hAnsi="宋体" w:eastAsia="宋体" w:cs="仿宋"/>
          <w:b/>
          <w:color w:val="000000" w:themeColor="text1"/>
          <w:sz w:val="24"/>
          <w:highlight w:val="none"/>
          <w14:textFill>
            <w14:solidFill>
              <w14:schemeClr w14:val="tx1"/>
            </w14:solidFill>
          </w14:textFill>
        </w:rPr>
        <w:t>三、服务期</w:t>
      </w:r>
    </w:p>
    <w:p w14:paraId="7FED2C1D">
      <w:pPr>
        <w:adjustRightInd w:val="0"/>
        <w:snapToGrid w:val="0"/>
        <w:spacing w:line="360" w:lineRule="auto"/>
        <w:ind w:firstLine="64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合同签订日起至2027年5月31日。</w:t>
      </w:r>
    </w:p>
    <w:p w14:paraId="48C245AD">
      <w:pPr>
        <w:tabs>
          <w:tab w:val="left" w:pos="840"/>
        </w:tabs>
        <w:spacing w:line="360" w:lineRule="auto"/>
        <w:ind w:firstLine="643"/>
        <w:rPr>
          <w:rFonts w:hint="eastAsia" w:ascii="宋体" w:hAnsi="宋体" w:eastAsia="宋体" w:cs="仿宋"/>
          <w:b/>
          <w:color w:val="000000" w:themeColor="text1"/>
          <w:sz w:val="24"/>
          <w:highlight w:val="none"/>
          <w14:textFill>
            <w14:solidFill>
              <w14:schemeClr w14:val="tx1"/>
            </w14:solidFill>
          </w14:textFill>
        </w:rPr>
      </w:pPr>
      <w:r>
        <w:rPr>
          <w:rFonts w:hint="eastAsia" w:ascii="宋体" w:hAnsi="宋体" w:eastAsia="宋体" w:cs="仿宋"/>
          <w:b/>
          <w:color w:val="000000" w:themeColor="text1"/>
          <w:sz w:val="24"/>
          <w:highlight w:val="none"/>
          <w14:textFill>
            <w14:solidFill>
              <w14:schemeClr w14:val="tx1"/>
            </w14:solidFill>
          </w14:textFill>
        </w:rPr>
        <w:t>四、服务要求</w:t>
      </w:r>
    </w:p>
    <w:p w14:paraId="5FF7E253">
      <w:pPr>
        <w:pStyle w:val="11"/>
        <w:ind w:firstLine="640"/>
        <w:rPr>
          <w:rFonts w:hint="eastAsia" w:ascii="宋体" w:hAnsi="宋体" w:eastAsia="宋体" w:cs="仿宋"/>
          <w:sz w:val="24"/>
          <w:highlight w:val="none"/>
        </w:rPr>
      </w:pPr>
      <w:r>
        <w:rPr>
          <w:rFonts w:hint="eastAsia" w:ascii="宋体" w:hAnsi="宋体" w:eastAsia="宋体" w:cs="仿宋"/>
          <w:sz w:val="24"/>
          <w:highlight w:val="none"/>
        </w:rPr>
        <w:t>服务商应严格按照相关法律法规以及竞争性磋商文件、乙方中标响应文件及甲方要求进行飞行，提供满足甲方任务飞行的一切软硬件设备，包含多旋翼无人机、无人机多功能运输车等专业设备，提供具有相关专业资格证书的飞行团队，协助办理飞行的空域申请。在服务期内，按照要求随时响应甲方对无人机的飞行需求，严禁违法违规飞行，每月10日前，提交上月辅助飞行服务报告。</w:t>
      </w:r>
    </w:p>
    <w:p w14:paraId="43B27A3F">
      <w:pPr>
        <w:spacing w:line="360" w:lineRule="auto"/>
        <w:ind w:firstLine="643"/>
        <w:rPr>
          <w:rFonts w:hint="eastAsia" w:ascii="宋体" w:hAnsi="宋体" w:eastAsia="宋体" w:cs="仿宋"/>
          <w:b/>
          <w:color w:val="000000" w:themeColor="text1"/>
          <w:sz w:val="24"/>
          <w:highlight w:val="none"/>
          <w14:textFill>
            <w14:solidFill>
              <w14:schemeClr w14:val="tx1"/>
            </w14:solidFill>
          </w14:textFill>
        </w:rPr>
      </w:pPr>
      <w:r>
        <w:rPr>
          <w:rFonts w:hint="eastAsia" w:ascii="宋体" w:hAnsi="宋体" w:eastAsia="宋体" w:cs="仿宋"/>
          <w:b/>
          <w:color w:val="000000" w:themeColor="text1"/>
          <w:sz w:val="24"/>
          <w:highlight w:val="none"/>
          <w14:textFill>
            <w14:solidFill>
              <w14:schemeClr w14:val="tx1"/>
            </w14:solidFill>
          </w14:textFill>
        </w:rPr>
        <w:t>五、结算方式</w:t>
      </w:r>
    </w:p>
    <w:p w14:paraId="3B5579AA">
      <w:pPr>
        <w:pStyle w:val="11"/>
        <w:ind w:firstLine="640"/>
        <w:jc w:val="left"/>
        <w:rPr>
          <w:rFonts w:hint="eastAsia" w:ascii="宋体" w:hAnsi="宋体" w:eastAsia="宋体" w:cs="仿宋"/>
          <w:sz w:val="24"/>
          <w:highlight w:val="none"/>
        </w:rPr>
      </w:pPr>
      <w:r>
        <w:rPr>
          <w:rFonts w:hint="eastAsia" w:ascii="宋体" w:hAnsi="宋体" w:eastAsia="宋体" w:cs="仿宋"/>
          <w:sz w:val="24"/>
          <w:highlight w:val="none"/>
        </w:rPr>
        <w:t>生态环境保护综合执法无人机辅助执法项目总金额：。</w:t>
      </w:r>
    </w:p>
    <w:p w14:paraId="1CA28BFC">
      <w:pPr>
        <w:pStyle w:val="11"/>
        <w:ind w:firstLine="640"/>
        <w:jc w:val="left"/>
        <w:rPr>
          <w:rFonts w:hint="eastAsia" w:ascii="宋体" w:hAnsi="宋体" w:eastAsia="宋体" w:cs="仿宋"/>
          <w:sz w:val="24"/>
          <w:highlight w:val="none"/>
        </w:rPr>
      </w:pPr>
      <w:r>
        <w:rPr>
          <w:rFonts w:hint="eastAsia" w:ascii="宋体" w:hAnsi="宋体" w:eastAsia="宋体" w:cs="仿宋"/>
          <w:sz w:val="24"/>
          <w:highlight w:val="none"/>
        </w:rPr>
        <w:t>合同签订后，根据甲方飞行任务制定飞行计划，开具增值税发票，甲方收到乙方开具的增值税发票，于15个日历日之内支付合同总额</w:t>
      </w:r>
      <w:r>
        <w:rPr>
          <w:rFonts w:hint="eastAsia" w:ascii="宋体" w:hAnsi="宋体" w:eastAsia="宋体" w:cs="仿宋"/>
          <w:sz w:val="24"/>
          <w:highlight w:val="none"/>
          <w:u w:val="single"/>
          <w:lang w:val="en-US" w:eastAsia="zh-CN"/>
        </w:rPr>
        <w:t xml:space="preserve">     </w:t>
      </w:r>
      <w:r>
        <w:rPr>
          <w:rFonts w:hint="eastAsia" w:ascii="宋体" w:hAnsi="宋体" w:eastAsia="宋体" w:cs="仿宋"/>
          <w:sz w:val="24"/>
          <w:highlight w:val="none"/>
        </w:rPr>
        <w:t>，即</w:t>
      </w:r>
      <w:r>
        <w:rPr>
          <w:rFonts w:hint="eastAsia" w:ascii="宋体" w:hAnsi="宋体" w:eastAsia="宋体" w:cs="仿宋"/>
          <w:sz w:val="24"/>
          <w:highlight w:val="none"/>
          <w:u w:val="single"/>
        </w:rPr>
        <w:t xml:space="preserve"> 元整</w:t>
      </w:r>
      <w:r>
        <w:rPr>
          <w:rFonts w:hint="eastAsia" w:ascii="宋体" w:hAnsi="宋体" w:eastAsia="宋体" w:cs="仿宋"/>
          <w:sz w:val="24"/>
          <w:highlight w:val="none"/>
        </w:rPr>
        <w:t xml:space="preserve"> ；</w:t>
      </w:r>
      <w:bookmarkStart w:id="1" w:name="_Hlk150355895"/>
      <w:r>
        <w:rPr>
          <w:rFonts w:hint="eastAsia" w:ascii="宋体" w:hAnsi="宋体" w:eastAsia="宋体" w:cs="仿宋"/>
          <w:sz w:val="24"/>
          <w:highlight w:val="none"/>
        </w:rPr>
        <w:t>剩余 尾款，即 元整（</w:t>
      </w:r>
      <w:r>
        <w:rPr>
          <w:rFonts w:ascii="宋体" w:hAnsi="宋体" w:eastAsia="宋体" w:cs="Calibri"/>
          <w:sz w:val="24"/>
          <w:highlight w:val="none"/>
        </w:rPr>
        <w:t>¥</w:t>
      </w:r>
      <w:r>
        <w:rPr>
          <w:rFonts w:hint="eastAsia" w:ascii="宋体" w:hAnsi="宋体" w:eastAsia="宋体" w:cs="仿宋"/>
          <w:sz w:val="24"/>
          <w:highlight w:val="none"/>
        </w:rPr>
        <w:t xml:space="preserve"> ），</w:t>
      </w:r>
    </w:p>
    <w:p w14:paraId="31089289">
      <w:pPr>
        <w:pStyle w:val="11"/>
        <w:ind w:firstLine="640"/>
        <w:jc w:val="left"/>
        <w:rPr>
          <w:rFonts w:hint="eastAsia" w:ascii="宋体" w:hAnsi="宋体" w:eastAsia="宋体" w:cs="仿宋"/>
          <w:sz w:val="24"/>
          <w:highlight w:val="none"/>
        </w:rPr>
      </w:pPr>
      <w:r>
        <w:rPr>
          <w:rFonts w:hint="eastAsia" w:ascii="宋体" w:hAnsi="宋体" w:eastAsia="宋体" w:cs="仿宋"/>
          <w:sz w:val="24"/>
          <w:highlight w:val="none"/>
        </w:rPr>
        <w:t>在合同履约完成后，依据本合同第七条绩效评价及运行，甲方需对乙方服务验收并进行绩效评价，根据绩效考核等级，在30个日历日内付清,乙方需开具等额发票。</w:t>
      </w:r>
      <w:bookmarkEnd w:id="1"/>
    </w:p>
    <w:p w14:paraId="30EA6ED5">
      <w:pPr>
        <w:spacing w:line="360" w:lineRule="auto"/>
        <w:ind w:firstLine="643"/>
        <w:rPr>
          <w:rFonts w:hint="eastAsia" w:ascii="宋体" w:hAnsi="宋体" w:eastAsia="宋体" w:cs="仿宋"/>
          <w:b/>
          <w:color w:val="000000" w:themeColor="text1"/>
          <w:sz w:val="24"/>
          <w:highlight w:val="none"/>
          <w14:textFill>
            <w14:solidFill>
              <w14:schemeClr w14:val="tx1"/>
            </w14:solidFill>
          </w14:textFill>
        </w:rPr>
      </w:pPr>
      <w:r>
        <w:rPr>
          <w:rFonts w:hint="eastAsia" w:ascii="宋体" w:hAnsi="宋体" w:eastAsia="宋体" w:cs="仿宋"/>
          <w:b/>
          <w:color w:val="000000" w:themeColor="text1"/>
          <w:sz w:val="24"/>
          <w:highlight w:val="none"/>
          <w14:textFill>
            <w14:solidFill>
              <w14:schemeClr w14:val="tx1"/>
            </w14:solidFill>
          </w14:textFill>
        </w:rPr>
        <w:t>六、违约责任</w:t>
      </w:r>
    </w:p>
    <w:p w14:paraId="2CAAABC9">
      <w:pPr>
        <w:pStyle w:val="11"/>
        <w:ind w:firstLine="640"/>
        <w:rPr>
          <w:rFonts w:hint="eastAsia" w:ascii="宋体" w:hAnsi="宋体" w:eastAsia="宋体" w:cs="仿宋"/>
          <w:sz w:val="24"/>
          <w:highlight w:val="none"/>
        </w:rPr>
      </w:pPr>
      <w:r>
        <w:rPr>
          <w:rFonts w:hint="eastAsia" w:ascii="宋体" w:hAnsi="宋体" w:eastAsia="宋体" w:cs="仿宋"/>
          <w:sz w:val="24"/>
          <w:highlight w:val="none"/>
        </w:rPr>
        <w:t>（一）由于乙方原因而未能按要求提供合同的，乙方未按照竞争性磋商文件、乙方中标响应文件以及甲方要求完成飞行任务的，构成一般违约。每逾期出现一次，甲方有权拒绝向乙方支付单次的飞行服务费5000元，该费用直接从未支付价款部分予以扣除。出现5次以上的，甲方有权单方解除合同，扣除合理支出后要求乙方返还其余已支付价款。</w:t>
      </w:r>
    </w:p>
    <w:p w14:paraId="2A8CFFA9">
      <w:pPr>
        <w:ind w:firstLine="640"/>
        <w:rPr>
          <w:rFonts w:hint="eastAsia" w:ascii="宋体" w:hAnsi="宋体" w:eastAsia="宋体"/>
          <w:sz w:val="24"/>
          <w:highlight w:val="none"/>
        </w:rPr>
      </w:pPr>
      <w:r>
        <w:rPr>
          <w:rFonts w:hint="eastAsia" w:ascii="宋体" w:hAnsi="宋体" w:eastAsia="宋体" w:cs="仿宋"/>
          <w:sz w:val="24"/>
          <w:highlight w:val="none"/>
        </w:rPr>
        <w:t>（二）乙方未按约定期限提交辅助飞行服务报告的，每迟延一日按照1000元标准向甲方支付违约金。提</w:t>
      </w:r>
      <w:r>
        <w:rPr>
          <w:rFonts w:hint="eastAsia" w:ascii="宋体" w:hAnsi="宋体" w:eastAsia="宋体" w:cs="仿宋"/>
          <w:kern w:val="2"/>
          <w:sz w:val="24"/>
          <w:szCs w:val="24"/>
          <w:highlight w:val="none"/>
          <w:lang w:val="en-US" w:eastAsia="zh-CN" w:bidi="ar-SA"/>
        </w:rPr>
        <w:t>交辅助</w:t>
      </w:r>
      <w:r>
        <w:rPr>
          <w:rFonts w:hint="eastAsia" w:ascii="宋体" w:hAnsi="宋体" w:eastAsia="宋体" w:cs="仿宋"/>
          <w:sz w:val="24"/>
          <w:highlight w:val="none"/>
        </w:rPr>
        <w:t>飞行服务报告不符合合同约定及甲方要求的，甲方有权要求其立即改正，修改完成后重新提交，同时按照前述约定支付违约金。</w:t>
      </w:r>
    </w:p>
    <w:p w14:paraId="7E38AE5D">
      <w:pPr>
        <w:pStyle w:val="11"/>
        <w:ind w:firstLine="640"/>
        <w:rPr>
          <w:rFonts w:hint="eastAsia" w:ascii="宋体" w:hAnsi="宋体" w:eastAsia="宋体" w:cs="仿宋"/>
          <w:sz w:val="24"/>
          <w:highlight w:val="none"/>
        </w:rPr>
      </w:pPr>
      <w:r>
        <w:rPr>
          <w:rFonts w:hint="eastAsia" w:ascii="宋体" w:hAnsi="宋体" w:eastAsia="宋体" w:cs="仿宋"/>
          <w:sz w:val="24"/>
          <w:highlight w:val="none"/>
        </w:rPr>
        <w:t>（三）乙方在履行合同中因故意或过失造成甲方或任意第三方人员或财产损失的，乙方应当承担全部赔偿责任。</w:t>
      </w:r>
    </w:p>
    <w:p w14:paraId="5F8619EC">
      <w:pPr>
        <w:pStyle w:val="11"/>
        <w:ind w:firstLine="643"/>
        <w:rPr>
          <w:rFonts w:hint="eastAsia" w:ascii="宋体" w:hAnsi="宋体" w:eastAsia="宋体" w:cs="仿宋"/>
          <w:b/>
          <w:sz w:val="24"/>
          <w:highlight w:val="none"/>
        </w:rPr>
      </w:pPr>
      <w:r>
        <w:rPr>
          <w:rFonts w:hint="eastAsia" w:ascii="宋体" w:hAnsi="宋体" w:eastAsia="宋体" w:cs="仿宋"/>
          <w:b/>
          <w:sz w:val="24"/>
          <w:highlight w:val="none"/>
        </w:rPr>
        <w:t>七、绩效评价及运行</w:t>
      </w:r>
    </w:p>
    <w:p w14:paraId="369D6168">
      <w:pPr>
        <w:pStyle w:val="5"/>
        <w:ind w:firstLine="480"/>
        <w:rPr>
          <w:rFonts w:hint="eastAsia" w:ascii="宋体" w:hAnsi="宋体" w:eastAsia="宋体" w:cs="仿宋"/>
          <w:kern w:val="2"/>
          <w:sz w:val="24"/>
          <w:szCs w:val="24"/>
          <w:highlight w:val="none"/>
          <w:lang w:val="en-US" w:eastAsia="zh-CN" w:bidi="ar-SA"/>
        </w:rPr>
      </w:pPr>
      <w:r>
        <w:rPr>
          <w:rFonts w:hint="eastAsia" w:ascii="宋体" w:hAnsi="宋体" w:eastAsia="宋体" w:cs="仿宋"/>
          <w:kern w:val="2"/>
          <w:sz w:val="24"/>
          <w:szCs w:val="24"/>
          <w:highlight w:val="none"/>
          <w:lang w:val="en-US" w:eastAsia="zh-CN" w:bidi="ar-SA"/>
        </w:rPr>
        <w:t>依据《陕西省政府购买服务绩效管理办法》,支付金额和绩效评价挂钩，按绩效评价情况支付。绩效评价结果采取百分制，根据分值分为四档： 90分以上为优，80-89分为良，60-79分为中，60分以下为差。具体评分细则如下：</w:t>
      </w:r>
    </w:p>
    <w:p w14:paraId="4EAE911F">
      <w:pPr>
        <w:pStyle w:val="5"/>
        <w:ind w:firstLine="480"/>
        <w:rPr>
          <w:rFonts w:hint="eastAsia" w:ascii="宋体" w:hAnsi="宋体" w:eastAsia="宋体" w:cs="仿宋"/>
          <w:kern w:val="2"/>
          <w:sz w:val="24"/>
          <w:szCs w:val="24"/>
          <w:highlight w:val="none"/>
          <w:lang w:val="en-US" w:eastAsia="zh-CN" w:bidi="ar-SA"/>
        </w:rPr>
      </w:pPr>
      <w:r>
        <w:rPr>
          <w:rFonts w:hint="eastAsia" w:ascii="宋体" w:hAnsi="宋体" w:eastAsia="宋体" w:cs="仿宋"/>
          <w:kern w:val="2"/>
          <w:sz w:val="24"/>
          <w:szCs w:val="24"/>
          <w:highlight w:val="none"/>
          <w:lang w:val="en-US" w:eastAsia="zh-CN" w:bidi="ar-SA"/>
        </w:rPr>
        <w:t>(一）绩效指标及评价分值（100分）</w:t>
      </w:r>
    </w:p>
    <w:p w14:paraId="1A0230E6">
      <w:pPr>
        <w:pStyle w:val="5"/>
        <w:ind w:firstLine="480"/>
        <w:rPr>
          <w:rFonts w:hint="eastAsia" w:ascii="宋体" w:hAnsi="宋体" w:eastAsia="宋体" w:cs="仿宋"/>
          <w:kern w:val="2"/>
          <w:sz w:val="24"/>
          <w:szCs w:val="24"/>
          <w:highlight w:val="none"/>
          <w:lang w:val="en-US" w:eastAsia="zh-CN" w:bidi="ar-SA"/>
        </w:rPr>
      </w:pPr>
      <w:r>
        <w:rPr>
          <w:rFonts w:hint="eastAsia" w:ascii="宋体" w:hAnsi="宋体" w:eastAsia="宋体" w:cs="仿宋"/>
          <w:kern w:val="2"/>
          <w:sz w:val="24"/>
          <w:szCs w:val="24"/>
          <w:highlight w:val="none"/>
          <w:lang w:val="en-US" w:eastAsia="zh-CN" w:bidi="ar-SA"/>
        </w:rPr>
        <w:t>1.1 数量指标（25分）</w:t>
      </w:r>
    </w:p>
    <w:p w14:paraId="611AAAD7">
      <w:pPr>
        <w:pStyle w:val="5"/>
        <w:ind w:firstLine="480"/>
        <w:rPr>
          <w:rFonts w:hint="eastAsia" w:ascii="宋体" w:hAnsi="宋体" w:eastAsia="宋体" w:cs="仿宋"/>
          <w:kern w:val="2"/>
          <w:sz w:val="24"/>
          <w:szCs w:val="24"/>
          <w:highlight w:val="none"/>
          <w:lang w:val="en-US" w:eastAsia="zh-CN" w:bidi="ar-SA"/>
        </w:rPr>
      </w:pPr>
      <w:r>
        <w:rPr>
          <w:rFonts w:hint="eastAsia" w:ascii="宋体" w:hAnsi="宋体" w:eastAsia="宋体" w:cs="仿宋"/>
          <w:kern w:val="2"/>
          <w:sz w:val="24"/>
          <w:szCs w:val="24"/>
          <w:highlight w:val="none"/>
          <w:lang w:val="en-US" w:eastAsia="zh-CN" w:bidi="ar-SA"/>
        </w:rPr>
        <w:t>飞行巡查任务完成次数：合同服务期内，无人机完成飞行巡查不少于298次，每次飞行巡查面积不少于1km²。</w:t>
      </w:r>
    </w:p>
    <w:p w14:paraId="5718D84A">
      <w:pPr>
        <w:ind w:firstLine="640"/>
        <w:rPr>
          <w:rFonts w:hint="eastAsia" w:ascii="宋体" w:hAnsi="宋体" w:eastAsia="宋体" w:cs="仿宋"/>
          <w:kern w:val="2"/>
          <w:sz w:val="24"/>
          <w:szCs w:val="24"/>
          <w:highlight w:val="none"/>
          <w:lang w:val="en-US" w:eastAsia="zh-CN" w:bidi="ar-SA"/>
        </w:rPr>
      </w:pPr>
      <w:r>
        <w:rPr>
          <w:rFonts w:hint="eastAsia" w:ascii="宋体" w:hAnsi="宋体" w:eastAsia="宋体" w:cs="仿宋"/>
          <w:kern w:val="2"/>
          <w:sz w:val="24"/>
          <w:szCs w:val="24"/>
          <w:highlight w:val="none"/>
          <w:lang w:val="en-US" w:eastAsia="zh-CN" w:bidi="ar-SA"/>
        </w:rPr>
        <w:t xml:space="preserve">评分标准：每少完成1次扣1分，扣完为止；巡查面积不足的，每次扣0.5分。 </w:t>
      </w:r>
    </w:p>
    <w:p w14:paraId="6F2E7515">
      <w:pPr>
        <w:pStyle w:val="5"/>
        <w:ind w:firstLine="480"/>
        <w:rPr>
          <w:rFonts w:hint="eastAsia" w:ascii="宋体" w:hAnsi="宋体" w:eastAsia="宋体" w:cs="仿宋"/>
          <w:kern w:val="2"/>
          <w:sz w:val="24"/>
          <w:szCs w:val="24"/>
          <w:highlight w:val="none"/>
          <w:lang w:val="en-US" w:eastAsia="zh-CN" w:bidi="ar-SA"/>
        </w:rPr>
      </w:pPr>
      <w:r>
        <w:rPr>
          <w:rFonts w:hint="eastAsia" w:ascii="宋体" w:hAnsi="宋体" w:eastAsia="宋体" w:cs="仿宋"/>
          <w:kern w:val="2"/>
          <w:sz w:val="24"/>
          <w:szCs w:val="24"/>
          <w:highlight w:val="none"/>
          <w:lang w:val="en-US" w:eastAsia="zh-CN" w:bidi="ar-SA"/>
        </w:rPr>
        <w:t>1.2 质量指标（25分）</w:t>
      </w:r>
    </w:p>
    <w:p w14:paraId="644E9D8A">
      <w:pPr>
        <w:ind w:firstLine="640"/>
        <w:rPr>
          <w:rFonts w:hint="eastAsia" w:ascii="宋体" w:hAnsi="宋体" w:eastAsia="宋体" w:cs="仿宋"/>
          <w:kern w:val="2"/>
          <w:sz w:val="24"/>
          <w:szCs w:val="24"/>
          <w:highlight w:val="none"/>
          <w:lang w:val="en-US" w:eastAsia="zh-CN" w:bidi="ar-SA"/>
        </w:rPr>
      </w:pPr>
      <w:r>
        <w:rPr>
          <w:rFonts w:hint="eastAsia" w:ascii="宋体" w:hAnsi="宋体" w:eastAsia="宋体" w:cs="仿宋"/>
          <w:kern w:val="2"/>
          <w:sz w:val="24"/>
          <w:szCs w:val="24"/>
          <w:highlight w:val="none"/>
          <w:lang w:val="en-US" w:eastAsia="zh-CN" w:bidi="ar-SA"/>
        </w:rPr>
        <w:t>飞行巡查任务完成达标：依据任务科室的具体任务要求完成飞行巡查，确保数据准确、图像清晰、任务执行无遗漏。</w:t>
      </w:r>
    </w:p>
    <w:p w14:paraId="36FE9B2A">
      <w:pPr>
        <w:ind w:firstLine="640"/>
        <w:rPr>
          <w:rFonts w:hint="eastAsia" w:ascii="宋体" w:hAnsi="宋体" w:eastAsia="宋体" w:cs="仿宋"/>
          <w:kern w:val="2"/>
          <w:sz w:val="24"/>
          <w:szCs w:val="24"/>
          <w:highlight w:val="none"/>
          <w:lang w:val="en-US" w:eastAsia="zh-CN" w:bidi="ar-SA"/>
        </w:rPr>
      </w:pPr>
      <w:r>
        <w:rPr>
          <w:rFonts w:hint="eastAsia" w:ascii="宋体" w:hAnsi="宋体" w:eastAsia="宋体" w:cs="仿宋"/>
          <w:kern w:val="2"/>
          <w:sz w:val="24"/>
          <w:szCs w:val="24"/>
          <w:highlight w:val="none"/>
          <w:lang w:val="en-US" w:eastAsia="zh-CN" w:bidi="ar-SA"/>
        </w:rPr>
        <w:t xml:space="preserve">评分标准：未达标每次扣2分，扣完为止；数据或图像不符合要求的，每次扣1分。  </w:t>
      </w:r>
    </w:p>
    <w:p w14:paraId="6093608A">
      <w:pPr>
        <w:pStyle w:val="5"/>
        <w:ind w:firstLine="480"/>
        <w:rPr>
          <w:rFonts w:hint="eastAsia" w:ascii="宋体" w:hAnsi="宋体" w:eastAsia="宋体" w:cs="仿宋"/>
          <w:kern w:val="2"/>
          <w:sz w:val="24"/>
          <w:szCs w:val="24"/>
          <w:highlight w:val="none"/>
          <w:lang w:val="en-US" w:eastAsia="zh-CN" w:bidi="ar-SA"/>
        </w:rPr>
      </w:pPr>
      <w:r>
        <w:rPr>
          <w:rFonts w:hint="eastAsia" w:ascii="宋体" w:hAnsi="宋体" w:eastAsia="宋体" w:cs="仿宋"/>
          <w:kern w:val="2"/>
          <w:sz w:val="24"/>
          <w:szCs w:val="24"/>
          <w:highlight w:val="none"/>
          <w:lang w:val="en-US" w:eastAsia="zh-CN" w:bidi="ar-SA"/>
        </w:rPr>
        <w:t>1.3 时效指标（20分）</w:t>
      </w:r>
    </w:p>
    <w:p w14:paraId="10EB7683">
      <w:pPr>
        <w:ind w:firstLine="640"/>
        <w:rPr>
          <w:rFonts w:hint="eastAsia" w:ascii="宋体" w:hAnsi="宋体" w:eastAsia="宋体" w:cs="仿宋"/>
          <w:sz w:val="24"/>
          <w:highlight w:val="none"/>
        </w:rPr>
      </w:pPr>
      <w:r>
        <w:rPr>
          <w:rFonts w:hint="eastAsia" w:ascii="宋体" w:hAnsi="宋体" w:eastAsia="宋体" w:cs="仿宋"/>
          <w:sz w:val="24"/>
          <w:highlight w:val="none"/>
        </w:rPr>
        <w:t xml:space="preserve">飞行巡查报告按时提交：每月10日前必须提交上月飞行报告。  </w:t>
      </w:r>
    </w:p>
    <w:p w14:paraId="342E340A">
      <w:pPr>
        <w:ind w:firstLine="640"/>
        <w:rPr>
          <w:rFonts w:hint="eastAsia" w:ascii="宋体" w:hAnsi="宋体" w:eastAsia="宋体" w:cs="仿宋"/>
          <w:sz w:val="24"/>
          <w:highlight w:val="none"/>
        </w:rPr>
      </w:pPr>
      <w:r>
        <w:rPr>
          <w:rFonts w:hint="eastAsia" w:ascii="宋体" w:hAnsi="宋体" w:eastAsia="宋体" w:cs="仿宋"/>
          <w:sz w:val="24"/>
          <w:highlight w:val="none"/>
        </w:rPr>
        <w:t xml:space="preserve">评分标准：延迟提交每次扣2分，扣完为止；当月未提交的，扣5分。  </w:t>
      </w:r>
    </w:p>
    <w:p w14:paraId="6B8F432A">
      <w:pPr>
        <w:ind w:firstLine="640"/>
        <w:rPr>
          <w:rFonts w:hint="eastAsia" w:ascii="宋体" w:hAnsi="宋体" w:eastAsia="宋体" w:cs="仿宋"/>
          <w:sz w:val="24"/>
          <w:highlight w:val="none"/>
        </w:rPr>
      </w:pPr>
      <w:r>
        <w:rPr>
          <w:rFonts w:hint="eastAsia" w:ascii="宋体" w:hAnsi="宋体" w:eastAsia="宋体" w:cs="仿宋"/>
          <w:sz w:val="24"/>
          <w:highlight w:val="none"/>
        </w:rPr>
        <w:t>1.4 满意度指标（30分）</w:t>
      </w:r>
    </w:p>
    <w:p w14:paraId="721092CC">
      <w:pPr>
        <w:ind w:firstLine="640"/>
        <w:rPr>
          <w:rFonts w:hint="eastAsia" w:ascii="宋体" w:hAnsi="宋体" w:eastAsia="宋体" w:cs="仿宋"/>
          <w:sz w:val="24"/>
          <w:highlight w:val="none"/>
        </w:rPr>
      </w:pPr>
      <w:r>
        <w:rPr>
          <w:rFonts w:hint="eastAsia" w:ascii="宋体" w:hAnsi="宋体" w:eastAsia="宋体" w:cs="仿宋"/>
          <w:sz w:val="24"/>
          <w:highlight w:val="none"/>
        </w:rPr>
        <w:t>甲方满意度评价：由甲方根据乙方的服务质量、响应速度、问题解决能力等进行综合评分。</w:t>
      </w:r>
    </w:p>
    <w:p w14:paraId="00DC9593">
      <w:pPr>
        <w:ind w:firstLine="640"/>
        <w:rPr>
          <w:rFonts w:hint="eastAsia" w:ascii="宋体" w:hAnsi="宋体" w:eastAsia="宋体" w:cs="仿宋"/>
          <w:sz w:val="24"/>
          <w:highlight w:val="none"/>
        </w:rPr>
      </w:pPr>
      <w:r>
        <w:rPr>
          <w:rFonts w:hint="eastAsia" w:ascii="宋体" w:hAnsi="宋体" w:eastAsia="宋体" w:cs="仿宋"/>
          <w:sz w:val="24"/>
          <w:highlight w:val="none"/>
        </w:rPr>
        <w:t xml:space="preserve">评分标准：优（20-30分）：服务完全符合或超出预期；  </w:t>
      </w:r>
    </w:p>
    <w:p w14:paraId="2962C673">
      <w:pPr>
        <w:ind w:firstLine="640"/>
        <w:rPr>
          <w:rFonts w:hint="eastAsia" w:ascii="宋体" w:hAnsi="宋体" w:eastAsia="宋体" w:cs="仿宋"/>
          <w:sz w:val="24"/>
          <w:highlight w:val="none"/>
        </w:rPr>
      </w:pPr>
      <w:r>
        <w:rPr>
          <w:rFonts w:hint="eastAsia" w:ascii="宋体" w:hAnsi="宋体" w:eastAsia="宋体" w:cs="仿宋"/>
          <w:sz w:val="24"/>
          <w:highlight w:val="none"/>
        </w:rPr>
        <w:t xml:space="preserve">良（10-20分）：服务基本符合要求，无重大疏漏； 中（0-10分）：服务存在部分不足，但未影响整体目标；差（0分）：服务未达到基本要求。  </w:t>
      </w:r>
    </w:p>
    <w:p w14:paraId="4D63FD66">
      <w:pPr>
        <w:ind w:firstLine="640"/>
        <w:rPr>
          <w:rFonts w:hint="eastAsia" w:ascii="宋体" w:hAnsi="宋体" w:eastAsia="宋体" w:cs="仿宋"/>
          <w:sz w:val="24"/>
          <w:highlight w:val="none"/>
        </w:rPr>
      </w:pPr>
      <w:r>
        <w:rPr>
          <w:rFonts w:hint="eastAsia" w:ascii="宋体" w:hAnsi="宋体" w:eastAsia="宋体" w:cs="仿宋"/>
          <w:sz w:val="24"/>
          <w:highlight w:val="none"/>
        </w:rPr>
        <w:t>(二）绩效运行监控</w:t>
      </w:r>
    </w:p>
    <w:p w14:paraId="0FFD0C4F">
      <w:pPr>
        <w:ind w:firstLine="640"/>
        <w:rPr>
          <w:rFonts w:hint="eastAsia" w:ascii="宋体" w:hAnsi="宋体" w:eastAsia="宋体" w:cs="仿宋"/>
          <w:sz w:val="24"/>
          <w:highlight w:val="none"/>
        </w:rPr>
      </w:pPr>
      <w:r>
        <w:rPr>
          <w:rFonts w:hint="eastAsia" w:ascii="宋体" w:hAnsi="宋体" w:eastAsia="宋体" w:cs="仿宋"/>
          <w:sz w:val="24"/>
          <w:highlight w:val="none"/>
        </w:rPr>
        <w:t xml:space="preserve">2.1 甲方有权对乙方的服务进行不定期检查，乙方需配合提供飞行记录、原始数据、影像资料等完整资料。  </w:t>
      </w:r>
    </w:p>
    <w:p w14:paraId="79CDF130">
      <w:pPr>
        <w:ind w:firstLine="640"/>
        <w:rPr>
          <w:rFonts w:hint="eastAsia" w:ascii="宋体" w:hAnsi="宋体" w:eastAsia="宋体" w:cs="仿宋"/>
          <w:sz w:val="24"/>
          <w:highlight w:val="none"/>
        </w:rPr>
      </w:pPr>
      <w:r>
        <w:rPr>
          <w:rFonts w:hint="eastAsia" w:ascii="宋体" w:hAnsi="宋体" w:eastAsia="宋体" w:cs="仿宋"/>
          <w:sz w:val="24"/>
          <w:highlight w:val="none"/>
        </w:rPr>
        <w:t xml:space="preserve">2.2 乙方应每月10日前向甲方提交绩效自评报告，内容包括：当月任务完成次数及覆盖面积；数据质量与问题整改情况；未完成任务的原因及改进计划。 </w:t>
      </w:r>
    </w:p>
    <w:p w14:paraId="6CAAAB02">
      <w:pPr>
        <w:ind w:firstLine="640"/>
        <w:rPr>
          <w:rFonts w:hint="eastAsia" w:ascii="宋体" w:hAnsi="宋体" w:eastAsia="宋体" w:cs="仿宋"/>
          <w:sz w:val="24"/>
          <w:highlight w:val="none"/>
        </w:rPr>
      </w:pPr>
      <w:r>
        <w:rPr>
          <w:rFonts w:hint="eastAsia" w:ascii="宋体" w:hAnsi="宋体" w:eastAsia="宋体" w:cs="仿宋"/>
          <w:sz w:val="24"/>
          <w:highlight w:val="none"/>
        </w:rPr>
        <w:t>(三） 绩效评价管理</w:t>
      </w:r>
    </w:p>
    <w:p w14:paraId="6A6F4D35">
      <w:pPr>
        <w:ind w:firstLine="640"/>
        <w:rPr>
          <w:rFonts w:hint="eastAsia" w:ascii="宋体" w:hAnsi="宋体" w:eastAsia="宋体" w:cs="仿宋"/>
          <w:sz w:val="24"/>
          <w:highlight w:val="none"/>
        </w:rPr>
      </w:pPr>
      <w:r>
        <w:rPr>
          <w:rFonts w:hint="eastAsia" w:ascii="宋体" w:hAnsi="宋体" w:eastAsia="宋体" w:cs="仿宋"/>
          <w:sz w:val="24"/>
          <w:highlight w:val="none"/>
        </w:rPr>
        <w:t xml:space="preserve">3.1 绩效评价采取百分制，根据分值分为四档：  </w:t>
      </w:r>
    </w:p>
    <w:p w14:paraId="4AF1D03B">
      <w:pPr>
        <w:ind w:firstLine="640"/>
        <w:rPr>
          <w:rFonts w:hint="eastAsia" w:ascii="宋体" w:hAnsi="宋体" w:eastAsia="宋体" w:cs="仿宋"/>
          <w:sz w:val="24"/>
          <w:highlight w:val="none"/>
        </w:rPr>
      </w:pPr>
      <w:r>
        <w:rPr>
          <w:rFonts w:hint="eastAsia" w:ascii="宋体" w:hAnsi="宋体" w:eastAsia="宋体" w:cs="仿宋"/>
          <w:sz w:val="24"/>
          <w:highlight w:val="none"/>
        </w:rPr>
        <w:t xml:space="preserve">优：90分以上；  </w:t>
      </w:r>
    </w:p>
    <w:p w14:paraId="39CE4971">
      <w:pPr>
        <w:ind w:firstLine="640"/>
        <w:rPr>
          <w:rFonts w:hint="eastAsia" w:ascii="宋体" w:hAnsi="宋体" w:eastAsia="宋体" w:cs="仿宋"/>
          <w:sz w:val="24"/>
          <w:highlight w:val="none"/>
        </w:rPr>
      </w:pPr>
      <w:r>
        <w:rPr>
          <w:rFonts w:hint="eastAsia" w:ascii="宋体" w:hAnsi="宋体" w:eastAsia="宋体" w:cs="仿宋"/>
          <w:sz w:val="24"/>
          <w:highlight w:val="none"/>
        </w:rPr>
        <w:t xml:space="preserve">良：80-89分；  </w:t>
      </w:r>
    </w:p>
    <w:p w14:paraId="39E43E01">
      <w:pPr>
        <w:ind w:firstLine="640"/>
        <w:rPr>
          <w:rFonts w:hint="eastAsia" w:ascii="宋体" w:hAnsi="宋体" w:eastAsia="宋体" w:cs="仿宋"/>
          <w:sz w:val="24"/>
          <w:highlight w:val="none"/>
        </w:rPr>
      </w:pPr>
      <w:r>
        <w:rPr>
          <w:rFonts w:hint="eastAsia" w:ascii="宋体" w:hAnsi="宋体" w:eastAsia="宋体" w:cs="仿宋"/>
          <w:sz w:val="24"/>
          <w:highlight w:val="none"/>
        </w:rPr>
        <w:t xml:space="preserve">中：60-79分；  </w:t>
      </w:r>
    </w:p>
    <w:p w14:paraId="042B90EC">
      <w:pPr>
        <w:ind w:firstLine="640"/>
        <w:rPr>
          <w:rFonts w:hint="eastAsia" w:ascii="宋体" w:hAnsi="宋体" w:eastAsia="宋体" w:cs="仿宋"/>
          <w:sz w:val="24"/>
          <w:highlight w:val="none"/>
        </w:rPr>
      </w:pPr>
      <w:r>
        <w:rPr>
          <w:rFonts w:hint="eastAsia" w:ascii="宋体" w:hAnsi="宋体" w:eastAsia="宋体" w:cs="仿宋"/>
          <w:sz w:val="24"/>
          <w:highlight w:val="none"/>
        </w:rPr>
        <w:t xml:space="preserve">差：60分以下。  </w:t>
      </w:r>
    </w:p>
    <w:p w14:paraId="16635812">
      <w:pPr>
        <w:ind w:firstLine="640"/>
        <w:rPr>
          <w:rFonts w:hint="eastAsia" w:ascii="宋体" w:hAnsi="宋体" w:eastAsia="宋体" w:cs="仿宋"/>
          <w:sz w:val="24"/>
          <w:highlight w:val="none"/>
        </w:rPr>
      </w:pPr>
      <w:r>
        <w:rPr>
          <w:rFonts w:hint="eastAsia" w:ascii="宋体" w:hAnsi="宋体" w:eastAsia="宋体" w:cs="仿宋"/>
          <w:sz w:val="24"/>
          <w:highlight w:val="none"/>
        </w:rPr>
        <w:t>3.2 绩效评价由甲方在尾款支付前5个工作日内完成，并书面通知乙方结果。</w:t>
      </w:r>
    </w:p>
    <w:p w14:paraId="7C367610">
      <w:pPr>
        <w:ind w:firstLine="640"/>
        <w:rPr>
          <w:rFonts w:hint="eastAsia" w:ascii="宋体" w:hAnsi="宋体" w:eastAsia="宋体" w:cs="仿宋"/>
          <w:sz w:val="24"/>
          <w:highlight w:val="none"/>
        </w:rPr>
      </w:pPr>
      <w:r>
        <w:rPr>
          <w:rFonts w:hint="eastAsia" w:ascii="宋体" w:hAnsi="宋体" w:eastAsia="宋体" w:cs="仿宋"/>
          <w:sz w:val="24"/>
          <w:highlight w:val="none"/>
        </w:rPr>
        <w:t>3.3 绩效评价结果需经甲方项目负责人签字确认，并附具体扣分说明。</w:t>
      </w:r>
    </w:p>
    <w:p w14:paraId="505C479C">
      <w:pPr>
        <w:ind w:firstLine="640"/>
        <w:rPr>
          <w:rFonts w:hint="eastAsia" w:ascii="宋体" w:hAnsi="宋体" w:eastAsia="宋体" w:cs="仿宋"/>
          <w:sz w:val="24"/>
          <w:highlight w:val="none"/>
        </w:rPr>
      </w:pPr>
      <w:r>
        <w:rPr>
          <w:rFonts w:hint="eastAsia" w:ascii="宋体" w:hAnsi="宋体" w:eastAsia="宋体" w:cs="仿宋"/>
          <w:sz w:val="24"/>
          <w:highlight w:val="none"/>
        </w:rPr>
        <w:t>(四） 绩效评价结果运用</w:t>
      </w:r>
    </w:p>
    <w:p w14:paraId="7F3418FD">
      <w:pPr>
        <w:ind w:firstLine="640"/>
        <w:rPr>
          <w:rFonts w:hint="eastAsia" w:ascii="宋体" w:hAnsi="宋体" w:eastAsia="宋体" w:cs="仿宋"/>
          <w:sz w:val="24"/>
          <w:highlight w:val="none"/>
        </w:rPr>
      </w:pPr>
      <w:r>
        <w:rPr>
          <w:rFonts w:hint="eastAsia" w:ascii="宋体" w:hAnsi="宋体" w:eastAsia="宋体" w:cs="仿宋"/>
          <w:sz w:val="24"/>
          <w:highlight w:val="none"/>
        </w:rPr>
        <w:t>4.1.乙方绩效评价等级为“优”的，甲方支付全部尾款，即人民币元(大写：)；</w:t>
      </w:r>
    </w:p>
    <w:p w14:paraId="0CAFA2A4">
      <w:pPr>
        <w:ind w:firstLine="640"/>
        <w:rPr>
          <w:rFonts w:hint="eastAsia" w:ascii="宋体" w:hAnsi="宋体" w:eastAsia="宋体" w:cs="仿宋"/>
          <w:sz w:val="24"/>
          <w:highlight w:val="none"/>
        </w:rPr>
      </w:pPr>
      <w:r>
        <w:rPr>
          <w:rFonts w:hint="eastAsia" w:ascii="宋体" w:hAnsi="宋体" w:eastAsia="宋体" w:cs="仿宋"/>
          <w:sz w:val="24"/>
          <w:highlight w:val="none"/>
        </w:rPr>
        <w:t>4.2.乙方绩效评价等级为“良”的，甲方支付90%尾款，即人民币元(大写：)；</w:t>
      </w:r>
    </w:p>
    <w:p w14:paraId="48FF234D">
      <w:pPr>
        <w:ind w:firstLine="640"/>
        <w:rPr>
          <w:rFonts w:hint="eastAsia" w:ascii="宋体" w:hAnsi="宋体" w:eastAsia="宋体" w:cs="仿宋"/>
          <w:sz w:val="24"/>
          <w:highlight w:val="none"/>
        </w:rPr>
      </w:pPr>
      <w:r>
        <w:rPr>
          <w:rFonts w:hint="eastAsia" w:ascii="宋体" w:hAnsi="宋体" w:eastAsia="宋体" w:cs="仿宋"/>
          <w:sz w:val="24"/>
          <w:highlight w:val="none"/>
        </w:rPr>
        <w:t>4.3.乙方绩效评价等级为“中”的，甲方支付80%尾款，即人民币元(大写：)；</w:t>
      </w:r>
    </w:p>
    <w:p w14:paraId="7EFA23E0">
      <w:pPr>
        <w:ind w:firstLine="640"/>
        <w:rPr>
          <w:rFonts w:hint="eastAsia" w:ascii="宋体" w:hAnsi="宋体" w:eastAsia="宋体" w:cs="仿宋"/>
          <w:sz w:val="24"/>
          <w:highlight w:val="none"/>
        </w:rPr>
      </w:pPr>
      <w:r>
        <w:rPr>
          <w:rFonts w:hint="eastAsia" w:ascii="宋体" w:hAnsi="宋体" w:eastAsia="宋体" w:cs="仿宋"/>
          <w:sz w:val="24"/>
          <w:highlight w:val="none"/>
        </w:rPr>
        <w:t>4.4.乙方绩效评价等级为“差”的，乙方需在收到通知后10个工作日内提交整改方案，并在30日内完成整改；整改后经甲方重新评价达到“中”档以上，甲方支付70%尾款，即人民币元(大写：)；若整改后经评价仍为“差”的，甲方支付50%尾款，即人民币元(大写：)。</w:t>
      </w:r>
    </w:p>
    <w:p w14:paraId="5D3F3F96">
      <w:pPr>
        <w:ind w:firstLine="640"/>
        <w:rPr>
          <w:rFonts w:hint="eastAsia" w:ascii="宋体" w:hAnsi="宋体" w:eastAsia="宋体" w:cs="仿宋"/>
          <w:sz w:val="24"/>
          <w:highlight w:val="none"/>
        </w:rPr>
      </w:pPr>
      <w:r>
        <w:rPr>
          <w:rFonts w:hint="eastAsia" w:ascii="宋体" w:hAnsi="宋体" w:eastAsia="宋体" w:cs="仿宋"/>
          <w:sz w:val="24"/>
          <w:highlight w:val="none"/>
        </w:rPr>
        <w:t>(五）绩效评价结果与争议解决</w:t>
      </w:r>
    </w:p>
    <w:p w14:paraId="5E773708">
      <w:pPr>
        <w:ind w:firstLine="640"/>
        <w:rPr>
          <w:rFonts w:hint="eastAsia" w:ascii="宋体" w:hAnsi="宋体" w:eastAsia="宋体" w:cs="仿宋"/>
          <w:sz w:val="24"/>
          <w:highlight w:val="none"/>
        </w:rPr>
      </w:pPr>
      <w:r>
        <w:rPr>
          <w:rFonts w:hint="eastAsia" w:ascii="宋体" w:hAnsi="宋体" w:eastAsia="宋体" w:cs="仿宋"/>
          <w:sz w:val="24"/>
          <w:highlight w:val="none"/>
        </w:rPr>
        <w:t xml:space="preserve">5.1 若乙方对绩效评价结果有异议，可在收到通知后3个工作日内向甲方提出书面申诉，并附相关证明材料。  </w:t>
      </w:r>
    </w:p>
    <w:p w14:paraId="1E870A12">
      <w:pPr>
        <w:ind w:firstLine="640"/>
        <w:rPr>
          <w:rFonts w:hint="eastAsia" w:ascii="宋体" w:hAnsi="宋体" w:eastAsia="宋体" w:cs="仿宋"/>
          <w:sz w:val="24"/>
          <w:highlight w:val="none"/>
        </w:rPr>
      </w:pPr>
      <w:r>
        <w:rPr>
          <w:rFonts w:hint="eastAsia" w:ascii="宋体" w:hAnsi="宋体" w:eastAsia="宋体" w:cs="仿宋"/>
          <w:sz w:val="24"/>
          <w:highlight w:val="none"/>
        </w:rPr>
        <w:t xml:space="preserve">5.2 甲方应在收到申诉后5个工作日内组织复核，并书面回复复核结果。  </w:t>
      </w:r>
    </w:p>
    <w:p w14:paraId="3D9A180D">
      <w:pPr>
        <w:ind w:firstLine="640"/>
        <w:rPr>
          <w:rFonts w:hint="eastAsia" w:ascii="宋体" w:hAnsi="宋体" w:eastAsia="宋体" w:cs="仿宋"/>
          <w:sz w:val="24"/>
          <w:highlight w:val="none"/>
        </w:rPr>
      </w:pPr>
      <w:r>
        <w:rPr>
          <w:rFonts w:hint="eastAsia" w:ascii="宋体" w:hAnsi="宋体" w:eastAsia="宋体" w:cs="仿宋"/>
          <w:sz w:val="24"/>
          <w:highlight w:val="none"/>
        </w:rPr>
        <w:t>5.3 若协商未果，双方同意按照原合同约定的争议解决方式（包括但不限于向甲方所在地人民法院提起诉讼）处理。</w:t>
      </w:r>
    </w:p>
    <w:p w14:paraId="5B997773">
      <w:pPr>
        <w:pStyle w:val="11"/>
        <w:ind w:firstLine="643"/>
        <w:rPr>
          <w:rFonts w:hint="eastAsia" w:ascii="宋体" w:hAnsi="宋体" w:eastAsia="宋体" w:cs="仿宋"/>
          <w:b/>
          <w:sz w:val="24"/>
          <w:highlight w:val="none"/>
        </w:rPr>
      </w:pPr>
      <w:r>
        <w:rPr>
          <w:rFonts w:hint="eastAsia" w:ascii="宋体" w:hAnsi="宋体" w:eastAsia="宋体" w:cs="仿宋"/>
          <w:b/>
          <w:sz w:val="24"/>
          <w:highlight w:val="none"/>
        </w:rPr>
        <w:t>八、不可抗力</w:t>
      </w:r>
    </w:p>
    <w:p w14:paraId="6D898F11">
      <w:pPr>
        <w:pStyle w:val="11"/>
        <w:ind w:firstLine="640"/>
        <w:rPr>
          <w:rFonts w:hint="eastAsia" w:ascii="宋体" w:hAnsi="宋体" w:eastAsia="宋体"/>
          <w:sz w:val="24"/>
          <w:highlight w:val="none"/>
        </w:rPr>
      </w:pPr>
      <w:r>
        <w:rPr>
          <w:rFonts w:hint="eastAsia" w:ascii="宋体" w:hAnsi="宋体" w:eastAsia="宋体" w:cs="仿宋"/>
          <w:sz w:val="24"/>
          <w:highlight w:val="none"/>
        </w:rPr>
        <w:t>任何一方由于不可抗力的原因不能履行合同时，应在不可抗力发生后2天内向对方通报不能履行或不能完全履行的理由，并根据情况可部分或全部免于承担违约责任。</w:t>
      </w:r>
    </w:p>
    <w:p w14:paraId="51427EEE">
      <w:pPr>
        <w:spacing w:line="360" w:lineRule="auto"/>
        <w:ind w:firstLine="643"/>
        <w:rPr>
          <w:rFonts w:hint="eastAsia" w:ascii="宋体" w:hAnsi="宋体" w:eastAsia="宋体" w:cs="仿宋"/>
          <w:b/>
          <w:bCs/>
          <w:color w:val="000000" w:themeColor="text1"/>
          <w:sz w:val="24"/>
          <w:highlight w:val="none"/>
          <w14:textFill>
            <w14:solidFill>
              <w14:schemeClr w14:val="tx1"/>
            </w14:solidFill>
          </w14:textFill>
        </w:rPr>
      </w:pPr>
      <w:r>
        <w:rPr>
          <w:rFonts w:hint="eastAsia" w:ascii="宋体" w:hAnsi="宋体" w:eastAsia="宋体" w:cs="仿宋"/>
          <w:b/>
          <w:bCs/>
          <w:color w:val="000000" w:themeColor="text1"/>
          <w:sz w:val="24"/>
          <w:highlight w:val="none"/>
          <w14:textFill>
            <w14:solidFill>
              <w14:schemeClr w14:val="tx1"/>
            </w14:solidFill>
          </w14:textFill>
        </w:rPr>
        <w:t>九、法律适用和争议解决</w:t>
      </w:r>
    </w:p>
    <w:p w14:paraId="7F0C3EC2">
      <w:pPr>
        <w:pStyle w:val="6"/>
        <w:spacing w:line="360" w:lineRule="auto"/>
        <w:ind w:firstLine="640"/>
        <w:jc w:val="both"/>
        <w:rPr>
          <w:rFonts w:hint="eastAsia" w:ascii="宋体" w:hAnsi="宋体" w:eastAsia="宋体" w:cs="仿宋"/>
          <w:color w:val="auto"/>
          <w:kern w:val="2"/>
          <w:sz w:val="24"/>
          <w:szCs w:val="24"/>
          <w:highlight w:val="none"/>
          <w:lang w:val="en-US" w:eastAsia="zh-CN" w:bidi="ar-SA"/>
        </w:rPr>
      </w:pPr>
      <w:r>
        <w:rPr>
          <w:rFonts w:hint="eastAsia" w:ascii="宋体" w:hAnsi="宋体" w:eastAsia="宋体" w:cs="仿宋"/>
          <w:color w:val="auto"/>
          <w:kern w:val="2"/>
          <w:sz w:val="24"/>
          <w:szCs w:val="24"/>
          <w:highlight w:val="none"/>
          <w:lang w:val="en-US" w:eastAsia="zh-CN" w:bidi="ar-SA"/>
        </w:rPr>
        <w:t>履行本合同过程中发生争议的，由双方当事人协商解决。协商不成的，任何一方有权向甲方所在地有管辖权的人民法院提起诉讼。</w:t>
      </w:r>
    </w:p>
    <w:p w14:paraId="13D09190">
      <w:pPr>
        <w:tabs>
          <w:tab w:val="left" w:pos="498"/>
        </w:tabs>
        <w:spacing w:line="360" w:lineRule="auto"/>
        <w:ind w:firstLine="643"/>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b/>
          <w:color w:val="000000" w:themeColor="text1"/>
          <w:sz w:val="24"/>
          <w:highlight w:val="none"/>
          <w14:textFill>
            <w14:solidFill>
              <w14:schemeClr w14:val="tx1"/>
            </w14:solidFill>
          </w14:textFill>
        </w:rPr>
        <w:t>十、合同生效</w:t>
      </w:r>
    </w:p>
    <w:p w14:paraId="436D092B">
      <w:pPr>
        <w:spacing w:line="360" w:lineRule="auto"/>
        <w:ind w:firstLine="64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本合同经双方法定代表人或授权委托代理人签字并加盖单位公章后生效。</w:t>
      </w:r>
    </w:p>
    <w:p w14:paraId="490597E1">
      <w:pPr>
        <w:spacing w:line="360" w:lineRule="auto"/>
        <w:ind w:firstLine="643"/>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b/>
          <w:color w:val="000000" w:themeColor="text1"/>
          <w:sz w:val="24"/>
          <w:highlight w:val="none"/>
          <w14:textFill>
            <w14:solidFill>
              <w14:schemeClr w14:val="tx1"/>
            </w14:solidFill>
          </w14:textFill>
        </w:rPr>
        <w:t>十一、其他</w:t>
      </w:r>
    </w:p>
    <w:p w14:paraId="76A063BC">
      <w:pPr>
        <w:tabs>
          <w:tab w:val="left" w:pos="980"/>
        </w:tabs>
        <w:kinsoku w:val="0"/>
        <w:spacing w:line="360" w:lineRule="auto"/>
        <w:ind w:firstLine="64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本合同一式</w:t>
      </w:r>
      <w:r>
        <w:rPr>
          <w:rFonts w:hint="eastAsia" w:ascii="宋体" w:hAnsi="宋体" w:eastAsia="宋体" w:cs="仿宋"/>
          <w:color w:val="000000" w:themeColor="text1"/>
          <w:sz w:val="24"/>
          <w:highlight w:val="none"/>
          <w:u w:val="single"/>
          <w14:textFill>
            <w14:solidFill>
              <w14:schemeClr w14:val="tx1"/>
            </w14:solidFill>
          </w14:textFill>
        </w:rPr>
        <w:t>六</w:t>
      </w:r>
      <w:r>
        <w:rPr>
          <w:rFonts w:hint="eastAsia" w:ascii="宋体" w:hAnsi="宋体" w:eastAsia="宋体" w:cs="仿宋"/>
          <w:color w:val="000000" w:themeColor="text1"/>
          <w:sz w:val="24"/>
          <w:highlight w:val="none"/>
          <w14:textFill>
            <w14:solidFill>
              <w14:schemeClr w14:val="tx1"/>
            </w14:solidFill>
          </w14:textFill>
        </w:rPr>
        <w:t>份，具有同等法律效力，双方各执</w:t>
      </w:r>
      <w:r>
        <w:rPr>
          <w:rFonts w:hint="eastAsia" w:ascii="宋体" w:hAnsi="宋体" w:eastAsia="宋体" w:cs="仿宋"/>
          <w:color w:val="000000" w:themeColor="text1"/>
          <w:sz w:val="24"/>
          <w:highlight w:val="none"/>
          <w:u w:val="single"/>
          <w14:textFill>
            <w14:solidFill>
              <w14:schemeClr w14:val="tx1"/>
            </w14:solidFill>
          </w14:textFill>
        </w:rPr>
        <w:t>三</w:t>
      </w:r>
      <w:r>
        <w:rPr>
          <w:rFonts w:hint="eastAsia" w:ascii="宋体" w:hAnsi="宋体" w:eastAsia="宋体" w:cs="仿宋"/>
          <w:color w:val="000000" w:themeColor="text1"/>
          <w:sz w:val="24"/>
          <w:highlight w:val="none"/>
          <w14:textFill>
            <w14:solidFill>
              <w14:schemeClr w14:val="tx1"/>
            </w14:solidFill>
          </w14:textFill>
        </w:rPr>
        <w:t>份。</w:t>
      </w:r>
    </w:p>
    <w:p w14:paraId="7382A894">
      <w:pPr>
        <w:ind w:firstLine="420"/>
        <w:rPr>
          <w:rFonts w:hint="eastAsia" w:ascii="宋体" w:hAnsi="宋体" w:eastAsia="宋体"/>
          <w:sz w:val="24"/>
          <w:highlight w:val="none"/>
        </w:rPr>
      </w:pPr>
      <w:r>
        <w:rPr>
          <w:rFonts w:ascii="宋体" w:hAnsi="宋体" w:eastAsia="宋体"/>
          <w:sz w:val="24"/>
          <w:highlight w:val="none"/>
        </w:rPr>
        <mc:AlternateContent>
          <mc:Choice Requires="wps">
            <w:drawing>
              <wp:anchor distT="45720" distB="45720" distL="114300" distR="114300" simplePos="0" relativeHeight="251660288" behindDoc="0" locked="0" layoutInCell="1" allowOverlap="1">
                <wp:simplePos x="0" y="0"/>
                <wp:positionH relativeFrom="margin">
                  <wp:posOffset>2684145</wp:posOffset>
                </wp:positionH>
                <wp:positionV relativeFrom="paragraph">
                  <wp:posOffset>225425</wp:posOffset>
                </wp:positionV>
                <wp:extent cx="2812415" cy="4853940"/>
                <wp:effectExtent l="0" t="0" r="6985" b="3810"/>
                <wp:wrapSquare wrapText="bothSides"/>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812415" cy="4853940"/>
                        </a:xfrm>
                        <a:prstGeom prst="rect">
                          <a:avLst/>
                        </a:prstGeom>
                        <a:solidFill>
                          <a:srgbClr val="FFFFFF"/>
                        </a:solidFill>
                        <a:ln w="9525">
                          <a:noFill/>
                          <a:miter lim="800000"/>
                        </a:ln>
                      </wps:spPr>
                      <wps:txbx>
                        <w:txbxContent>
                          <w:p w14:paraId="7C7CFF8F">
                            <w:pPr>
                              <w:pStyle w:val="11"/>
                              <w:spacing w:line="360" w:lineRule="auto"/>
                              <w:rPr>
                                <w:sz w:val="24"/>
                              </w:rPr>
                            </w:pPr>
                          </w:p>
                          <w:p w14:paraId="6265011D">
                            <w:pPr>
                              <w:pStyle w:val="11"/>
                              <w:spacing w:line="360" w:lineRule="auto"/>
                              <w:rPr>
                                <w:sz w:val="24"/>
                              </w:rPr>
                            </w:pPr>
                            <w:r>
                              <w:rPr>
                                <w:rFonts w:hint="eastAsia"/>
                                <w:sz w:val="24"/>
                              </w:rPr>
                              <w:t>乙方：</w:t>
                            </w:r>
                            <w:r>
                              <w:rPr>
                                <w:rFonts w:hint="eastAsia"/>
                                <w:sz w:val="24"/>
                                <w:u w:val="single"/>
                              </w:rPr>
                              <w:t>（盖章）</w:t>
                            </w:r>
                          </w:p>
                          <w:p w14:paraId="57E8B297">
                            <w:pPr>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地址： </w:t>
                            </w:r>
                            <w:r>
                              <w:rPr>
                                <w:rFonts w:hint="eastAsia" w:ascii="宋体" w:hAnsi="宋体" w:cs="宋体"/>
                                <w:color w:val="000000" w:themeColor="text1"/>
                                <w:sz w:val="24"/>
                                <w:u w:val="single"/>
                                <w14:textFill>
                                  <w14:solidFill>
                                    <w14:schemeClr w14:val="tx1"/>
                                  </w14:solidFill>
                                </w14:textFill>
                              </w:rPr>
                              <w:t xml:space="preserve"> </w:t>
                            </w:r>
                          </w:p>
                          <w:p w14:paraId="15182AC4">
                            <w:pPr>
                              <w:spacing w:line="360" w:lineRule="auto"/>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邮政编码：</w:t>
                            </w:r>
                            <w:r>
                              <w:rPr>
                                <w:rFonts w:hint="eastAsia" w:ascii="宋体" w:hAnsi="宋体" w:cs="宋体"/>
                                <w:color w:val="000000" w:themeColor="text1"/>
                                <w:sz w:val="24"/>
                                <w:u w:val="single"/>
                                <w14:textFill>
                                  <w14:solidFill>
                                    <w14:schemeClr w14:val="tx1"/>
                                  </w14:solidFill>
                                </w14:textFill>
                              </w:rPr>
                              <w:t xml:space="preserve">   </w:t>
                            </w:r>
                          </w:p>
                          <w:p w14:paraId="5B2D67DC">
                            <w:pPr>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法定代表人或其授权的代理人：</w:t>
                            </w:r>
                          </w:p>
                          <w:p w14:paraId="77F647C6">
                            <w:pPr>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 xml:space="preserve"> （签字）                         </w:t>
                            </w:r>
                          </w:p>
                          <w:p w14:paraId="3E2C6380">
                            <w:pPr>
                              <w:spacing w:line="360" w:lineRule="auto"/>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开户银行：</w:t>
                            </w:r>
                            <w:r>
                              <w:rPr>
                                <w:rFonts w:hint="eastAsia" w:ascii="宋体" w:hAnsi="宋体" w:cs="宋体"/>
                                <w:color w:val="000000" w:themeColor="text1"/>
                                <w:sz w:val="24"/>
                                <w:u w:val="single"/>
                                <w14:textFill>
                                  <w14:solidFill>
                                    <w14:schemeClr w14:val="tx1"/>
                                  </w14:solidFill>
                                </w14:textFill>
                              </w:rPr>
                              <w:t xml:space="preserve"> </w:t>
                            </w:r>
                          </w:p>
                          <w:p w14:paraId="47F206FB">
                            <w:pPr>
                              <w:pStyle w:val="11"/>
                              <w:spacing w:line="360" w:lineRule="auto"/>
                              <w:rPr>
                                <w:sz w:val="24"/>
                              </w:rPr>
                            </w:pPr>
                            <w:r>
                              <w:rPr>
                                <w:rFonts w:hint="eastAsia"/>
                                <w:sz w:val="24"/>
                              </w:rPr>
                              <w:t>账号：</w:t>
                            </w:r>
                          </w:p>
                          <w:p w14:paraId="2B02B116">
                            <w:pPr>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电话：</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 </w:t>
                            </w:r>
                          </w:p>
                          <w:p w14:paraId="21507408">
                            <w:pPr>
                              <w:pStyle w:val="11"/>
                              <w:spacing w:line="360" w:lineRule="auto"/>
                              <w:rPr>
                                <w:sz w:val="24"/>
                              </w:rPr>
                            </w:pPr>
                            <w:r>
                              <w:rPr>
                                <w:rFonts w:hint="eastAsia"/>
                                <w:sz w:val="24"/>
                              </w:rPr>
                              <w:t>传真：</w:t>
                            </w:r>
                            <w:r>
                              <w:rPr>
                                <w:rFonts w:hint="eastAsia"/>
                                <w:sz w:val="24"/>
                                <w:u w:val="single"/>
                              </w:rPr>
                              <w:t xml:space="preserve">  </w:t>
                            </w:r>
                            <w:r>
                              <w:rPr>
                                <w:sz w:val="24"/>
                                <w:u w:val="single"/>
                              </w:rPr>
                              <w:t xml:space="preserve">      </w:t>
                            </w:r>
                            <w:r>
                              <w:rPr>
                                <w:rFonts w:hint="eastAsia"/>
                                <w:sz w:val="24"/>
                                <w:u w:val="single"/>
                              </w:rPr>
                              <w:t xml:space="preserve">    </w:t>
                            </w:r>
                          </w:p>
                          <w:p w14:paraId="268024FC">
                            <w:pPr>
                              <w:spacing w:line="360" w:lineRule="auto"/>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电子邮箱：</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1D17955D">
                            <w:pPr>
                              <w:spacing w:line="360" w:lineRule="auto"/>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签订</w:t>
                            </w:r>
                            <w:r>
                              <w:rPr>
                                <w:rFonts w:hint="eastAsia" w:ascii="宋体" w:hAnsi="宋体" w:cs="宋体"/>
                                <w:color w:val="000000" w:themeColor="text1"/>
                                <w:sz w:val="24"/>
                                <w14:textFill>
                                  <w14:solidFill>
                                    <w14:schemeClr w14:val="tx1"/>
                                  </w14:solidFill>
                                </w14:textFill>
                              </w:rPr>
                              <w:t>时间：</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u w:val="single"/>
                                <w14:textFill>
                                  <w14:solidFill>
                                    <w14:schemeClr w14:val="tx1"/>
                                  </w14:solidFill>
                                </w14:textFill>
                              </w:rPr>
                              <w:t xml:space="preserve">                   </w:t>
                            </w: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11.35pt;margin-top:17.75pt;height:382.2pt;width:221.45pt;mso-position-horizontal-relative:margin;mso-wrap-distance-bottom:3.6pt;mso-wrap-distance-left:9pt;mso-wrap-distance-right:9pt;mso-wrap-distance-top:3.6pt;z-index:251660288;mso-width-relative:page;mso-height-relative:page;" fillcolor="#FFFFFF" filled="t" stroked="f" coordsize="21600,21600" o:gfxdata="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HQviC9kAAAAKAQAADwAAAAAAAAABACAAAAAiAAAAZHJzL2Rv&#10;d25yZXYueG1sUEsBAhQAFAAAAAgAh07iQGB02Jw5AgAAUwQAAA4AAAAAAAAAAQAgAAAAKAEAAGRy&#10;cy9lMm9Eb2MueG1sUEsFBgAAAAAGAAYAWQEAANMFAAAAAA==&#10;">
                <v:fill on="t" focussize="0,0"/>
                <v:stroke on="f" miterlimit="8" joinstyle="miter"/>
                <v:imagedata o:title=""/>
                <o:lock v:ext="edit" aspectratio="f"/>
                <v:textbox>
                  <w:txbxContent>
                    <w:p w14:paraId="7C7CFF8F">
                      <w:pPr>
                        <w:pStyle w:val="11"/>
                        <w:spacing w:line="360" w:lineRule="auto"/>
                        <w:rPr>
                          <w:sz w:val="24"/>
                        </w:rPr>
                      </w:pPr>
                    </w:p>
                    <w:p w14:paraId="6265011D">
                      <w:pPr>
                        <w:pStyle w:val="11"/>
                        <w:spacing w:line="360" w:lineRule="auto"/>
                        <w:rPr>
                          <w:sz w:val="24"/>
                        </w:rPr>
                      </w:pPr>
                      <w:r>
                        <w:rPr>
                          <w:rFonts w:hint="eastAsia"/>
                          <w:sz w:val="24"/>
                        </w:rPr>
                        <w:t>乙方：</w:t>
                      </w:r>
                      <w:r>
                        <w:rPr>
                          <w:rFonts w:hint="eastAsia"/>
                          <w:sz w:val="24"/>
                          <w:u w:val="single"/>
                        </w:rPr>
                        <w:t>（盖章）</w:t>
                      </w:r>
                    </w:p>
                    <w:p w14:paraId="57E8B297">
                      <w:pPr>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地址： </w:t>
                      </w:r>
                      <w:r>
                        <w:rPr>
                          <w:rFonts w:hint="eastAsia" w:ascii="宋体" w:hAnsi="宋体" w:cs="宋体"/>
                          <w:color w:val="000000" w:themeColor="text1"/>
                          <w:sz w:val="24"/>
                          <w:u w:val="single"/>
                          <w14:textFill>
                            <w14:solidFill>
                              <w14:schemeClr w14:val="tx1"/>
                            </w14:solidFill>
                          </w14:textFill>
                        </w:rPr>
                        <w:t xml:space="preserve"> </w:t>
                      </w:r>
                    </w:p>
                    <w:p w14:paraId="15182AC4">
                      <w:pPr>
                        <w:spacing w:line="360" w:lineRule="auto"/>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邮政编码：</w:t>
                      </w:r>
                      <w:r>
                        <w:rPr>
                          <w:rFonts w:hint="eastAsia" w:ascii="宋体" w:hAnsi="宋体" w:cs="宋体"/>
                          <w:color w:val="000000" w:themeColor="text1"/>
                          <w:sz w:val="24"/>
                          <w:u w:val="single"/>
                          <w14:textFill>
                            <w14:solidFill>
                              <w14:schemeClr w14:val="tx1"/>
                            </w14:solidFill>
                          </w14:textFill>
                        </w:rPr>
                        <w:t xml:space="preserve">   </w:t>
                      </w:r>
                    </w:p>
                    <w:p w14:paraId="5B2D67DC">
                      <w:pPr>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法定代表人或其授权的代理人：</w:t>
                      </w:r>
                    </w:p>
                    <w:p w14:paraId="77F647C6">
                      <w:pPr>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 xml:space="preserve"> （签字）                         </w:t>
                      </w:r>
                    </w:p>
                    <w:p w14:paraId="3E2C6380">
                      <w:pPr>
                        <w:spacing w:line="360" w:lineRule="auto"/>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开户银行：</w:t>
                      </w:r>
                      <w:r>
                        <w:rPr>
                          <w:rFonts w:hint="eastAsia" w:ascii="宋体" w:hAnsi="宋体" w:cs="宋体"/>
                          <w:color w:val="000000" w:themeColor="text1"/>
                          <w:sz w:val="24"/>
                          <w:u w:val="single"/>
                          <w14:textFill>
                            <w14:solidFill>
                              <w14:schemeClr w14:val="tx1"/>
                            </w14:solidFill>
                          </w14:textFill>
                        </w:rPr>
                        <w:t xml:space="preserve"> </w:t>
                      </w:r>
                    </w:p>
                    <w:p w14:paraId="47F206FB">
                      <w:pPr>
                        <w:pStyle w:val="11"/>
                        <w:spacing w:line="360" w:lineRule="auto"/>
                        <w:rPr>
                          <w:sz w:val="24"/>
                        </w:rPr>
                      </w:pPr>
                      <w:r>
                        <w:rPr>
                          <w:rFonts w:hint="eastAsia"/>
                          <w:sz w:val="24"/>
                        </w:rPr>
                        <w:t>账号：</w:t>
                      </w:r>
                    </w:p>
                    <w:p w14:paraId="2B02B116">
                      <w:pPr>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电话：</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 </w:t>
                      </w:r>
                    </w:p>
                    <w:p w14:paraId="21507408">
                      <w:pPr>
                        <w:pStyle w:val="11"/>
                        <w:spacing w:line="360" w:lineRule="auto"/>
                        <w:rPr>
                          <w:sz w:val="24"/>
                        </w:rPr>
                      </w:pPr>
                      <w:r>
                        <w:rPr>
                          <w:rFonts w:hint="eastAsia"/>
                          <w:sz w:val="24"/>
                        </w:rPr>
                        <w:t>传真：</w:t>
                      </w:r>
                      <w:r>
                        <w:rPr>
                          <w:rFonts w:hint="eastAsia"/>
                          <w:sz w:val="24"/>
                          <w:u w:val="single"/>
                        </w:rPr>
                        <w:t xml:space="preserve">  </w:t>
                      </w:r>
                      <w:r>
                        <w:rPr>
                          <w:sz w:val="24"/>
                          <w:u w:val="single"/>
                        </w:rPr>
                        <w:t xml:space="preserve">      </w:t>
                      </w:r>
                      <w:r>
                        <w:rPr>
                          <w:rFonts w:hint="eastAsia"/>
                          <w:sz w:val="24"/>
                          <w:u w:val="single"/>
                        </w:rPr>
                        <w:t xml:space="preserve">    </w:t>
                      </w:r>
                    </w:p>
                    <w:p w14:paraId="268024FC">
                      <w:pPr>
                        <w:spacing w:line="360" w:lineRule="auto"/>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电子邮箱：</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1D17955D">
                      <w:pPr>
                        <w:spacing w:line="360" w:lineRule="auto"/>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签订</w:t>
                      </w:r>
                      <w:r>
                        <w:rPr>
                          <w:rFonts w:hint="eastAsia" w:ascii="宋体" w:hAnsi="宋体" w:cs="宋体"/>
                          <w:color w:val="000000" w:themeColor="text1"/>
                          <w:sz w:val="24"/>
                          <w14:textFill>
                            <w14:solidFill>
                              <w14:schemeClr w14:val="tx1"/>
                            </w14:solidFill>
                          </w14:textFill>
                        </w:rPr>
                        <w:t>时间：</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u w:val="single"/>
                          <w14:textFill>
                            <w14:solidFill>
                              <w14:schemeClr w14:val="tx1"/>
                            </w14:solidFill>
                          </w14:textFill>
                        </w:rPr>
                        <w:t xml:space="preserve">                   </w:t>
                      </w:r>
                    </w:p>
                  </w:txbxContent>
                </v:textbox>
                <w10:wrap type="square"/>
              </v:shape>
            </w:pict>
          </mc:Fallback>
        </mc:AlternateContent>
      </w:r>
      <w:r>
        <w:rPr>
          <w:rFonts w:ascii="宋体" w:hAnsi="宋体" w:eastAsia="宋体"/>
          <w:sz w:val="24"/>
          <w:highlight w:val="none"/>
        </w:rPr>
        <mc:AlternateContent>
          <mc:Choice Requires="wps">
            <w:drawing>
              <wp:anchor distT="45720" distB="45720" distL="114300" distR="114300" simplePos="0" relativeHeight="251659264" behindDoc="0" locked="0" layoutInCell="1" allowOverlap="1">
                <wp:simplePos x="0" y="0"/>
                <wp:positionH relativeFrom="margin">
                  <wp:posOffset>-86360</wp:posOffset>
                </wp:positionH>
                <wp:positionV relativeFrom="paragraph">
                  <wp:posOffset>522605</wp:posOffset>
                </wp:positionV>
                <wp:extent cx="2713355" cy="4714240"/>
                <wp:effectExtent l="0" t="0" r="10795" b="1016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713355" cy="4714240"/>
                        </a:xfrm>
                        <a:prstGeom prst="rect">
                          <a:avLst/>
                        </a:prstGeom>
                        <a:solidFill>
                          <a:srgbClr val="FFFFFF"/>
                        </a:solidFill>
                        <a:ln w="9525">
                          <a:noFill/>
                          <a:miter lim="800000"/>
                        </a:ln>
                      </wps:spPr>
                      <wps:txbx>
                        <w:txbxContent>
                          <w:p w14:paraId="5863377F">
                            <w:pPr>
                              <w:spacing w:line="360" w:lineRule="auto"/>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甲方：</w:t>
                            </w:r>
                            <w:r>
                              <w:rPr>
                                <w:rFonts w:hint="eastAsia" w:ascii="宋体" w:hAnsi="宋体" w:cs="宋体"/>
                                <w:color w:val="000000" w:themeColor="text1"/>
                                <w:sz w:val="24"/>
                                <w:u w:val="single"/>
                                <w14:textFill>
                                  <w14:solidFill>
                                    <w14:schemeClr w14:val="tx1"/>
                                  </w14:solidFill>
                                </w14:textFill>
                              </w:rPr>
                              <w:t xml:space="preserve"> （盖章）</w:t>
                            </w:r>
                          </w:p>
                          <w:p w14:paraId="7154DEB2">
                            <w:pPr>
                              <w:spacing w:line="360" w:lineRule="auto"/>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地址：</w:t>
                            </w:r>
                          </w:p>
                          <w:p w14:paraId="5FF05184">
                            <w:pPr>
                              <w:spacing w:line="360" w:lineRule="auto"/>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邮政编码：</w:t>
                            </w:r>
                            <w:r>
                              <w:rPr>
                                <w:rFonts w:hint="eastAsia" w:ascii="宋体" w:hAnsi="宋体" w:cs="宋体"/>
                                <w:color w:val="000000" w:themeColor="text1"/>
                                <w:sz w:val="24"/>
                                <w:u w:val="single"/>
                                <w14:textFill>
                                  <w14:solidFill>
                                    <w14:schemeClr w14:val="tx1"/>
                                  </w14:solidFill>
                                </w14:textFill>
                              </w:rPr>
                              <w:t xml:space="preserve"> </w:t>
                            </w:r>
                          </w:p>
                          <w:p w14:paraId="217422BA">
                            <w:pPr>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法定代表人或其授权的代理人：</w:t>
                            </w:r>
                          </w:p>
                          <w:p w14:paraId="7F64F104">
                            <w:pPr>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 xml:space="preserve">（签字）                         </w:t>
                            </w:r>
                          </w:p>
                          <w:p w14:paraId="5E7F102D">
                            <w:pPr>
                              <w:spacing w:line="360" w:lineRule="auto"/>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开户银行：</w:t>
                            </w:r>
                            <w:r>
                              <w:rPr>
                                <w:rFonts w:hint="eastAsia" w:ascii="宋体" w:hAnsi="宋体" w:cs="宋体"/>
                                <w:color w:val="000000" w:themeColor="text1"/>
                                <w:sz w:val="24"/>
                                <w:u w:val="single"/>
                                <w14:textFill>
                                  <w14:solidFill>
                                    <w14:schemeClr w14:val="tx1"/>
                                  </w14:solidFill>
                                </w14:textFill>
                              </w:rPr>
                              <w:t xml:space="preserve">               </w:t>
                            </w:r>
                          </w:p>
                          <w:p w14:paraId="4B9C7393">
                            <w:pPr>
                              <w:pStyle w:val="11"/>
                              <w:spacing w:line="360" w:lineRule="auto"/>
                              <w:rPr>
                                <w:sz w:val="24"/>
                              </w:rPr>
                            </w:pPr>
                            <w:r>
                              <w:rPr>
                                <w:rFonts w:hint="eastAsia"/>
                                <w:sz w:val="24"/>
                              </w:rPr>
                              <w:t>账号：</w:t>
                            </w:r>
                            <w:r>
                              <w:rPr>
                                <w:rFonts w:hint="eastAsia"/>
                                <w:sz w:val="24"/>
                                <w:u w:val="single"/>
                              </w:rPr>
                              <w:t xml:space="preserve">   </w:t>
                            </w:r>
                            <w:r>
                              <w:rPr>
                                <w:sz w:val="24"/>
                                <w:u w:val="single"/>
                              </w:rPr>
                              <w:t xml:space="preserve"> </w:t>
                            </w:r>
                            <w:r>
                              <w:rPr>
                                <w:rFonts w:hint="eastAsia"/>
                                <w:sz w:val="24"/>
                                <w:u w:val="single"/>
                              </w:rPr>
                              <w:t xml:space="preserve">     </w:t>
                            </w:r>
                          </w:p>
                          <w:p w14:paraId="4C0AB774">
                            <w:pPr>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电话：</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 </w:t>
                            </w:r>
                          </w:p>
                          <w:p w14:paraId="522CA9F1">
                            <w:pPr>
                              <w:pStyle w:val="11"/>
                              <w:spacing w:line="360" w:lineRule="auto"/>
                              <w:rPr>
                                <w:sz w:val="24"/>
                              </w:rPr>
                            </w:pPr>
                            <w:r>
                              <w:rPr>
                                <w:rFonts w:hint="eastAsia"/>
                                <w:sz w:val="24"/>
                              </w:rPr>
                              <w:t>传真：</w:t>
                            </w:r>
                            <w:r>
                              <w:rPr>
                                <w:rFonts w:hint="eastAsia"/>
                                <w:sz w:val="24"/>
                                <w:u w:val="single"/>
                              </w:rPr>
                              <w:t xml:space="preserve">   </w:t>
                            </w:r>
                            <w:r>
                              <w:rPr>
                                <w:sz w:val="24"/>
                                <w:u w:val="single"/>
                              </w:rPr>
                              <w:t xml:space="preserve"> </w:t>
                            </w:r>
                            <w:r>
                              <w:rPr>
                                <w:rFonts w:hint="eastAsia"/>
                                <w:sz w:val="24"/>
                                <w:u w:val="single"/>
                              </w:rPr>
                              <w:t xml:space="preserve">       </w:t>
                            </w:r>
                          </w:p>
                          <w:p w14:paraId="1680635C">
                            <w:pPr>
                              <w:spacing w:line="360" w:lineRule="auto"/>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电子邮箱：</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56708DF9">
                            <w:pPr>
                              <w:spacing w:line="360" w:lineRule="auto"/>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签订</w:t>
                            </w:r>
                            <w:r>
                              <w:rPr>
                                <w:rFonts w:hint="eastAsia" w:ascii="宋体" w:hAnsi="宋体" w:cs="宋体"/>
                                <w:color w:val="000000" w:themeColor="text1"/>
                                <w:sz w:val="24"/>
                                <w14:textFill>
                                  <w14:solidFill>
                                    <w14:schemeClr w14:val="tx1"/>
                                  </w14:solidFill>
                                </w14:textFill>
                              </w:rPr>
                              <w:t>时间：</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u w:val="single"/>
                                <w14:textFill>
                                  <w14:solidFill>
                                    <w14:schemeClr w14:val="tx1"/>
                                  </w14:solidFill>
                                </w14:textFill>
                              </w:rPr>
                              <w:t xml:space="preserve">                   </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6.8pt;margin-top:41.15pt;height:371.2pt;width:213.65pt;mso-position-horizontal-relative:margin;mso-wrap-distance-bottom:3.6pt;mso-wrap-distance-left:9pt;mso-wrap-distance-right:9pt;mso-wrap-distance-top:3.6pt;z-index:251659264;mso-width-relative:page;mso-height-relative:page;" fillcolor="#FFFFFF" filled="t" stroked="f" coordsize="21600,21600" o:gfxdata="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QwlOr2AAAAAoBAAAPAAAAAAAAAAEAIAAAACIAAABkcnMv&#10;ZG93bnJldi54bWxQSwECFAAUAAAACACHTuJAWrDLmzwCAABVBAAADgAAAAAAAAABACAAAAAnAQAA&#10;ZHJzL2Uyb0RvYy54bWxQSwUGAAAAAAYABgBZAQAA1QUAAAAA&#10;">
                <v:fill on="t" focussize="0,0"/>
                <v:stroke on="f" miterlimit="8" joinstyle="miter"/>
                <v:imagedata o:title=""/>
                <o:lock v:ext="edit" aspectratio="f"/>
                <v:textbox>
                  <w:txbxContent>
                    <w:p w14:paraId="5863377F">
                      <w:pPr>
                        <w:spacing w:line="360" w:lineRule="auto"/>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甲方：</w:t>
                      </w:r>
                      <w:r>
                        <w:rPr>
                          <w:rFonts w:hint="eastAsia" w:ascii="宋体" w:hAnsi="宋体" w:cs="宋体"/>
                          <w:color w:val="000000" w:themeColor="text1"/>
                          <w:sz w:val="24"/>
                          <w:u w:val="single"/>
                          <w14:textFill>
                            <w14:solidFill>
                              <w14:schemeClr w14:val="tx1"/>
                            </w14:solidFill>
                          </w14:textFill>
                        </w:rPr>
                        <w:t xml:space="preserve"> （盖章）</w:t>
                      </w:r>
                    </w:p>
                    <w:p w14:paraId="7154DEB2">
                      <w:pPr>
                        <w:spacing w:line="360" w:lineRule="auto"/>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地址：</w:t>
                      </w:r>
                    </w:p>
                    <w:p w14:paraId="5FF05184">
                      <w:pPr>
                        <w:spacing w:line="360" w:lineRule="auto"/>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邮政编码：</w:t>
                      </w:r>
                      <w:r>
                        <w:rPr>
                          <w:rFonts w:hint="eastAsia" w:ascii="宋体" w:hAnsi="宋体" w:cs="宋体"/>
                          <w:color w:val="000000" w:themeColor="text1"/>
                          <w:sz w:val="24"/>
                          <w:u w:val="single"/>
                          <w14:textFill>
                            <w14:solidFill>
                              <w14:schemeClr w14:val="tx1"/>
                            </w14:solidFill>
                          </w14:textFill>
                        </w:rPr>
                        <w:t xml:space="preserve"> </w:t>
                      </w:r>
                    </w:p>
                    <w:p w14:paraId="217422BA">
                      <w:pPr>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法定代表人或其授权的代理人：</w:t>
                      </w:r>
                    </w:p>
                    <w:p w14:paraId="7F64F104">
                      <w:pPr>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 xml:space="preserve">（签字）                         </w:t>
                      </w:r>
                    </w:p>
                    <w:p w14:paraId="5E7F102D">
                      <w:pPr>
                        <w:spacing w:line="360" w:lineRule="auto"/>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开户银行：</w:t>
                      </w:r>
                      <w:r>
                        <w:rPr>
                          <w:rFonts w:hint="eastAsia" w:ascii="宋体" w:hAnsi="宋体" w:cs="宋体"/>
                          <w:color w:val="000000" w:themeColor="text1"/>
                          <w:sz w:val="24"/>
                          <w:u w:val="single"/>
                          <w14:textFill>
                            <w14:solidFill>
                              <w14:schemeClr w14:val="tx1"/>
                            </w14:solidFill>
                          </w14:textFill>
                        </w:rPr>
                        <w:t xml:space="preserve">               </w:t>
                      </w:r>
                    </w:p>
                    <w:p w14:paraId="4B9C7393">
                      <w:pPr>
                        <w:pStyle w:val="11"/>
                        <w:spacing w:line="360" w:lineRule="auto"/>
                        <w:rPr>
                          <w:sz w:val="24"/>
                        </w:rPr>
                      </w:pPr>
                      <w:r>
                        <w:rPr>
                          <w:rFonts w:hint="eastAsia"/>
                          <w:sz w:val="24"/>
                        </w:rPr>
                        <w:t>账号：</w:t>
                      </w:r>
                      <w:r>
                        <w:rPr>
                          <w:rFonts w:hint="eastAsia"/>
                          <w:sz w:val="24"/>
                          <w:u w:val="single"/>
                        </w:rPr>
                        <w:t xml:space="preserve">   </w:t>
                      </w:r>
                      <w:r>
                        <w:rPr>
                          <w:sz w:val="24"/>
                          <w:u w:val="single"/>
                        </w:rPr>
                        <w:t xml:space="preserve"> </w:t>
                      </w:r>
                      <w:r>
                        <w:rPr>
                          <w:rFonts w:hint="eastAsia"/>
                          <w:sz w:val="24"/>
                          <w:u w:val="single"/>
                        </w:rPr>
                        <w:t xml:space="preserve">     </w:t>
                      </w:r>
                    </w:p>
                    <w:p w14:paraId="4C0AB774">
                      <w:pPr>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电话：</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 </w:t>
                      </w:r>
                    </w:p>
                    <w:p w14:paraId="522CA9F1">
                      <w:pPr>
                        <w:pStyle w:val="11"/>
                        <w:spacing w:line="360" w:lineRule="auto"/>
                        <w:rPr>
                          <w:sz w:val="24"/>
                        </w:rPr>
                      </w:pPr>
                      <w:r>
                        <w:rPr>
                          <w:rFonts w:hint="eastAsia"/>
                          <w:sz w:val="24"/>
                        </w:rPr>
                        <w:t>传真：</w:t>
                      </w:r>
                      <w:r>
                        <w:rPr>
                          <w:rFonts w:hint="eastAsia"/>
                          <w:sz w:val="24"/>
                          <w:u w:val="single"/>
                        </w:rPr>
                        <w:t xml:space="preserve">   </w:t>
                      </w:r>
                      <w:r>
                        <w:rPr>
                          <w:sz w:val="24"/>
                          <w:u w:val="single"/>
                        </w:rPr>
                        <w:t xml:space="preserve"> </w:t>
                      </w:r>
                      <w:r>
                        <w:rPr>
                          <w:rFonts w:hint="eastAsia"/>
                          <w:sz w:val="24"/>
                          <w:u w:val="single"/>
                        </w:rPr>
                        <w:t xml:space="preserve">       </w:t>
                      </w:r>
                    </w:p>
                    <w:p w14:paraId="1680635C">
                      <w:pPr>
                        <w:spacing w:line="360" w:lineRule="auto"/>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电子邮箱：</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p>
                    <w:p w14:paraId="56708DF9">
                      <w:pPr>
                        <w:spacing w:line="360" w:lineRule="auto"/>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签订</w:t>
                      </w:r>
                      <w:r>
                        <w:rPr>
                          <w:rFonts w:hint="eastAsia" w:ascii="宋体" w:hAnsi="宋体" w:cs="宋体"/>
                          <w:color w:val="000000" w:themeColor="text1"/>
                          <w:sz w:val="24"/>
                          <w14:textFill>
                            <w14:solidFill>
                              <w14:schemeClr w14:val="tx1"/>
                            </w14:solidFill>
                          </w14:textFill>
                        </w:rPr>
                        <w:t>时间：</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u w:val="single"/>
                          <w14:textFill>
                            <w14:solidFill>
                              <w14:schemeClr w14:val="tx1"/>
                            </w14:solidFill>
                          </w14:textFill>
                        </w:rPr>
                        <w:t xml:space="preserve">                   </w:t>
                      </w:r>
                    </w:p>
                  </w:txbxContent>
                </v:textbox>
                <w10:wrap type="square"/>
              </v:shape>
            </w:pict>
          </mc:Fallback>
        </mc:AlternateContent>
      </w:r>
      <w:r>
        <w:rPr>
          <w:rFonts w:hint="eastAsia" w:ascii="宋体" w:hAnsi="宋体" w:eastAsia="宋体" w:cs="仿宋"/>
          <w:color w:val="000000" w:themeColor="text1"/>
          <w:sz w:val="24"/>
          <w:highlight w:val="none"/>
          <w14:textFill>
            <w14:solidFill>
              <w14:schemeClr w14:val="tx1"/>
            </w14:solidFill>
          </w14:textFill>
        </w:rPr>
        <w:t>（以下无正文）</w:t>
      </w:r>
      <w:r>
        <w:rPr>
          <w:rFonts w:ascii="宋体" w:hAnsi="宋体" w:eastAsia="宋体"/>
          <w:sz w:val="24"/>
          <w:highlight w:val="none"/>
        </w:rPr>
        <w:t xml:space="preserve"> </w:t>
      </w:r>
    </w:p>
    <w:p w14:paraId="21900C2A">
      <w:pPr>
        <w:rPr>
          <w:rFonts w:hint="eastAsia" w:ascii="宋体" w:hAnsi="宋体" w:eastAsia="宋体" w:cs="宋体"/>
          <w:highlight w:val="none"/>
        </w:rPr>
      </w:pPr>
    </w:p>
    <w:sectPr>
      <w:footerReference r:id="rId6"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宋?">
    <w:altName w:val="宋体"/>
    <w:panose1 w:val="00000000000000000000"/>
    <w:charset w:val="81"/>
    <w:family w:val="roman"/>
    <w:pitch w:val="default"/>
    <w:sig w:usb0="00000000" w:usb1="00000000" w:usb2="00000010" w:usb3="00000000" w:csb0="00080000" w:csb1="00000000"/>
  </w:font>
  <w:font w:name="楷体_GB2312">
    <w:altName w:val="楷体"/>
    <w:panose1 w:val="02010609030101010101"/>
    <w:charset w:val="86"/>
    <w:family w:val="auto"/>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3E305">
    <w:pPr>
      <w:pStyle w:val="10"/>
      <w:framePr w:wrap="around" w:vAnchor="text" w:hAnchor="margin" w:xAlign="center" w:y="1"/>
      <w:ind w:firstLine="360"/>
      <w:rPr>
        <w:rStyle w:val="16"/>
      </w:rPr>
    </w:pPr>
    <w:r>
      <w:fldChar w:fldCharType="begin"/>
    </w:r>
    <w:r>
      <w:rPr>
        <w:rStyle w:val="16"/>
      </w:rPr>
      <w:instrText xml:space="preserve">PAGE  </w:instrText>
    </w:r>
    <w:r>
      <w:fldChar w:fldCharType="end"/>
    </w:r>
  </w:p>
  <w:p w14:paraId="6C98EAAA">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E9D54">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D9C2CA">
                          <w:pPr>
                            <w:pStyle w:val="10"/>
                          </w:pPr>
                          <w:r>
                            <w:t>第</w:t>
                          </w:r>
                          <w:r>
                            <w:rPr>
                              <w:rFonts w:hint="eastAsia" w:ascii="宋体" w:hAnsi="宋体" w:eastAsia="宋体" w:cs="宋体"/>
                            </w:rPr>
                            <w:t xml:space="preserve">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9D9C2CA">
                    <w:pPr>
                      <w:pStyle w:val="10"/>
                    </w:pPr>
                    <w:r>
                      <w:t>第</w:t>
                    </w:r>
                    <w:r>
                      <w:rPr>
                        <w:rFonts w:hint="eastAsia" w:ascii="宋体" w:hAnsi="宋体" w:eastAsia="宋体" w:cs="宋体"/>
                      </w:rPr>
                      <w:t xml:space="preserve">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t xml:space="preserve"> </w:t>
                    </w:r>
                    <w:r>
                      <w:t>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5DE44B"/>
    <w:multiLevelType w:val="singleLevel"/>
    <w:tmpl w:val="345DE44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0B4371C"/>
    <w:rsid w:val="1F391F0F"/>
    <w:rsid w:val="24F60C4C"/>
    <w:rsid w:val="29791B0B"/>
    <w:rsid w:val="4FCD17DD"/>
    <w:rsid w:val="67716EF7"/>
    <w:rsid w:val="72CA1A45"/>
    <w:rsid w:val="76B10D5D"/>
    <w:rsid w:val="7B9B1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80" w:lineRule="atLeast"/>
    </w:pPr>
    <w:rPr>
      <w:rFonts w:ascii="仿宋" w:hAnsi="仿宋" w:eastAsia="仿宋" w:cs="仿宋"/>
      <w:kern w:val="2"/>
      <w:sz w:val="28"/>
      <w:szCs w:val="24"/>
      <w:lang w:val="en-US" w:eastAsia="zh-CN" w:bidi="ar-SA"/>
    </w:rPr>
  </w:style>
  <w:style w:type="paragraph" w:styleId="2">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paragraph" w:styleId="3">
    <w:name w:val="heading 4"/>
    <w:basedOn w:val="1"/>
    <w:next w:val="1"/>
    <w:unhideWhenUsed/>
    <w:qFormat/>
    <w:uiPriority w:val="0"/>
    <w:pPr>
      <w:spacing w:beforeAutospacing="1" w:afterAutospacing="1"/>
      <w:outlineLvl w:val="3"/>
    </w:pPr>
    <w:rPr>
      <w:rFonts w:hint="eastAsia" w:ascii="宋体" w:hAnsi="宋体" w:eastAsia="宋体" w:cs="Times New Roman"/>
      <w:b/>
      <w:bCs/>
      <w:kern w:val="0"/>
      <w:sz w:val="24"/>
    </w:rPr>
  </w:style>
  <w:style w:type="paragraph" w:styleId="4">
    <w:name w:val="heading 6"/>
    <w:basedOn w:val="1"/>
    <w:next w:val="1"/>
    <w:qFormat/>
    <w:uiPriority w:val="99"/>
    <w:pPr>
      <w:keepNext/>
      <w:keepLines/>
      <w:spacing w:before="240" w:after="64" w:line="320" w:lineRule="auto"/>
      <w:outlineLvl w:val="5"/>
    </w:pPr>
    <w:rPr>
      <w:rFonts w:ascii="Calibri Light" w:hAnsi="Calibri Light" w:eastAsia="宋体"/>
      <w:b/>
      <w:bCs/>
      <w:sz w:val="24"/>
    </w:rPr>
  </w:style>
  <w:style w:type="character" w:default="1" w:styleId="15">
    <w:name w:val="Default Paragraph Font"/>
    <w:autoRedefine/>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spacing w:line="640" w:lineRule="exact"/>
      <w:ind w:firstLine="585"/>
    </w:pPr>
    <w:rPr>
      <w:rFonts w:ascii="楷体_GB2312" w:eastAsia="楷体_GB2312"/>
      <w:kern w:val="0"/>
      <w:szCs w:val="32"/>
    </w:rPr>
  </w:style>
  <w:style w:type="paragraph" w:styleId="6">
    <w:name w:val="Body Text"/>
    <w:basedOn w:val="1"/>
    <w:next w:val="1"/>
    <w:qFormat/>
    <w:uiPriority w:val="99"/>
    <w:pPr>
      <w:widowControl w:val="0"/>
      <w:spacing w:line="360" w:lineRule="auto"/>
      <w:ind w:firstLine="1648"/>
      <w:jc w:val="both"/>
    </w:pPr>
    <w:rPr>
      <w:rFonts w:hint="eastAsia" w:ascii="Arial Unicode MS" w:hAnsi="Arial Unicode MS" w:eastAsia="Arial Unicode MS" w:cs="Arial Unicode MS"/>
      <w:color w:val="000000"/>
      <w:kern w:val="2"/>
      <w:sz w:val="32"/>
      <w:szCs w:val="32"/>
      <w:u w:color="000000"/>
      <w:lang w:eastAsia="zh-CN"/>
    </w:rPr>
  </w:style>
  <w:style w:type="paragraph" w:styleId="7">
    <w:name w:val="Body Text Indent"/>
    <w:basedOn w:val="1"/>
    <w:qFormat/>
    <w:uiPriority w:val="0"/>
    <w:pPr>
      <w:ind w:firstLine="480"/>
    </w:pPr>
    <w:rPr>
      <w:rFonts w:ascii="宋体" w:hAnsi="宋体"/>
    </w:rPr>
  </w:style>
  <w:style w:type="paragraph" w:styleId="8">
    <w:name w:val="Block Text"/>
    <w:basedOn w:val="1"/>
    <w:autoRedefine/>
    <w:qFormat/>
    <w:uiPriority w:val="0"/>
    <w:pPr>
      <w:adjustRightInd w:val="0"/>
      <w:snapToGrid w:val="0"/>
      <w:spacing w:line="360" w:lineRule="auto"/>
      <w:ind w:left="227" w:right="227" w:firstLine="420"/>
      <w:textAlignment w:val="baseline"/>
    </w:pPr>
    <w:rPr>
      <w:rFonts w:ascii="Times New Roman" w:hAnsi="Times New Roman"/>
      <w:kern w:val="0"/>
      <w:sz w:val="24"/>
    </w:rPr>
  </w:style>
  <w:style w:type="paragraph" w:styleId="9">
    <w:name w:val="Plain Text"/>
    <w:basedOn w:val="1"/>
    <w:autoRedefine/>
    <w:qFormat/>
    <w:uiPriority w:val="99"/>
    <w:rPr>
      <w:rFonts w:ascii="宋体" w:hAnsi="Courier New"/>
      <w:szCs w:val="21"/>
    </w:rPr>
  </w:style>
  <w:style w:type="paragraph" w:styleId="10">
    <w:name w:val="footer"/>
    <w:basedOn w:val="1"/>
    <w:qFormat/>
    <w:uiPriority w:val="99"/>
    <w:pPr>
      <w:tabs>
        <w:tab w:val="center" w:pos="4153"/>
        <w:tab w:val="right" w:pos="8306"/>
      </w:tabs>
      <w:snapToGrid w:val="0"/>
      <w:jc w:val="left"/>
    </w:pPr>
    <w:rPr>
      <w:sz w:val="18"/>
    </w:rPr>
  </w:style>
  <w:style w:type="paragraph" w:styleId="11">
    <w:name w:val="toc 1"/>
    <w:basedOn w:val="1"/>
    <w:next w:val="1"/>
    <w:qFormat/>
    <w:uiPriority w:val="0"/>
  </w:style>
  <w:style w:type="paragraph" w:styleId="12">
    <w:name w:val="Body Text First Indent"/>
    <w:basedOn w:val="6"/>
    <w:qFormat/>
    <w:uiPriority w:val="0"/>
    <w:pPr>
      <w:spacing w:line="240" w:lineRule="auto"/>
      <w:ind w:firstLine="420" w:firstLineChars="100"/>
    </w:pPr>
    <w:rPr>
      <w:color w:val="auto"/>
      <w:sz w:val="18"/>
      <w:szCs w:val="18"/>
    </w:rPr>
  </w:style>
  <w:style w:type="paragraph" w:styleId="13">
    <w:name w:val="Body Text First Indent 2"/>
    <w:basedOn w:val="7"/>
    <w:next w:val="1"/>
    <w:unhideWhenUsed/>
    <w:qFormat/>
    <w:uiPriority w:val="99"/>
    <w:pPr>
      <w:spacing w:after="120"/>
      <w:ind w:left="420" w:leftChars="200" w:firstLine="420" w:firstLineChars="200"/>
    </w:pPr>
    <w:rPr>
      <w:rFonts w:ascii="Times New Roman" w:eastAsia="宋?"/>
      <w:szCs w:val="24"/>
    </w:rPr>
  </w:style>
  <w:style w:type="character" w:styleId="16">
    <w:name w:val="page number"/>
    <w:qFormat/>
    <w:uiPriority w:val="0"/>
  </w:style>
  <w:style w:type="character" w:customStyle="1" w:styleId="17">
    <w:name w:val="标题 1 字符1"/>
    <w:qFormat/>
    <w:uiPriority w:val="0"/>
    <w:rPr>
      <w:rFonts w:ascii="Times New Roman" w:hAnsi="Times New Roman" w:eastAsia="宋体" w:cs="Times New Roman"/>
      <w:b/>
      <w:kern w:val="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4809</Words>
  <Characters>5213</Characters>
  <Lines>0</Lines>
  <Paragraphs>0</Paragraphs>
  <TotalTime>2</TotalTime>
  <ScaleCrop>false</ScaleCrop>
  <LinksUpToDate>false</LinksUpToDate>
  <CharactersWithSpaces>5330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2024-04-22T02:29:00Z</dcterms:created>
  <dc:creator>admin</dc:creator>
  <cp:lastModifiedBy>puppet</cp:lastModifiedBy>
  <dcterms:modified xsi:type="dcterms:W3CDTF">2026-05-15T07:01:58Z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962D8A9D2D25421D9BAE80A2B796601B_12</vt:lpwstr>
  </property>
  <property fmtid="{D5CDD505-2E9C-101B-9397-08002B2CF9AE}" pid="4" name="KSOTemplateDocerSaveRecord">
    <vt:lpwstr>eyJoZGlkIjoiNzQ1ZjFhODQ2YTk0OWE2MWRiZGI1ZjhkYjY1YjEzNGMiLCJ1c2VySWQiOiI2NjUzNDI1ODcifQ==</vt:lpwstr>
  </property>
</Properties>
</file>