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7AB11">
      <w:pPr>
        <w:spacing w:before="91" w:line="360" w:lineRule="auto"/>
        <w:ind w:left="0" w:leftChars="0"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第八章 拟签订采购合同文本</w:t>
      </w:r>
    </w:p>
    <w:p w14:paraId="1C5AFC9E">
      <w:pPr>
        <w:spacing w:line="360" w:lineRule="auto"/>
        <w:jc w:val="center"/>
        <w:rPr>
          <w:rFonts w:hint="eastAsia" w:ascii="宋体" w:hAnsi="宋体" w:eastAsia="宋体" w:cs="宋体"/>
          <w:b/>
          <w:bCs/>
          <w:color w:val="auto"/>
          <w:kern w:val="44"/>
          <w:sz w:val="24"/>
          <w:highlight w:val="none"/>
          <w:lang w:eastAsia="zh-CN"/>
        </w:rPr>
      </w:pPr>
    </w:p>
    <w:p w14:paraId="79433772">
      <w:pPr>
        <w:spacing w:line="360" w:lineRule="auto"/>
        <w:jc w:val="center"/>
        <w:rPr>
          <w:rFonts w:hint="eastAsia" w:ascii="宋体" w:hAnsi="宋体" w:eastAsia="宋体" w:cs="宋体"/>
          <w:b/>
          <w:bCs/>
          <w:color w:val="auto"/>
          <w:kern w:val="44"/>
          <w:sz w:val="24"/>
          <w:highlight w:val="none"/>
          <w:lang w:eastAsia="zh-CN"/>
        </w:rPr>
      </w:pPr>
    </w:p>
    <w:p w14:paraId="5BC5A2AC">
      <w:pPr>
        <w:spacing w:line="360" w:lineRule="auto"/>
        <w:jc w:val="center"/>
        <w:rPr>
          <w:rFonts w:hint="eastAsia" w:ascii="宋体" w:hAnsi="宋体" w:eastAsia="宋体" w:cs="宋体"/>
          <w:b/>
          <w:bCs/>
          <w:color w:val="auto"/>
          <w:kern w:val="44"/>
          <w:sz w:val="24"/>
          <w:highlight w:val="none"/>
          <w:lang w:eastAsia="zh-CN"/>
        </w:rPr>
      </w:pPr>
    </w:p>
    <w:p w14:paraId="1216C788">
      <w:pPr>
        <w:pStyle w:val="3"/>
        <w:jc w:val="center"/>
        <w:rPr>
          <w:rFonts w:hint="eastAsia"/>
          <w:color w:val="auto"/>
          <w:highlight w:val="none"/>
          <w:lang w:eastAsia="zh-CN"/>
        </w:rPr>
      </w:pPr>
      <w:r>
        <w:rPr>
          <w:rFonts w:hint="eastAsia" w:ascii="宋体" w:hAnsi="宋体" w:eastAsia="宋体" w:cs="宋体"/>
          <w:b/>
          <w:color w:val="auto"/>
          <w:sz w:val="40"/>
          <w:szCs w:val="40"/>
          <w:highlight w:val="none"/>
          <w:lang w:eastAsia="zh-CN"/>
        </w:rPr>
        <w:t>机扫队车辆维修</w:t>
      </w:r>
    </w:p>
    <w:p w14:paraId="3FB138F0">
      <w:pPr>
        <w:spacing w:line="360" w:lineRule="auto"/>
        <w:ind w:firstLine="2249" w:firstLineChars="700"/>
        <w:jc w:val="both"/>
        <w:rPr>
          <w:rFonts w:hint="eastAsia" w:ascii="宋体" w:hAnsi="宋体" w:eastAsia="宋体" w:cs="宋体"/>
          <w:b/>
          <w:color w:val="auto"/>
          <w:sz w:val="32"/>
          <w:szCs w:val="32"/>
          <w:highlight w:val="none"/>
          <w:lang w:eastAsia="zh-CN"/>
        </w:rPr>
      </w:pPr>
    </w:p>
    <w:p w14:paraId="4F84E6C3">
      <w:pPr>
        <w:spacing w:line="360" w:lineRule="auto"/>
        <w:ind w:firstLine="2249" w:firstLineChars="700"/>
        <w:jc w:val="both"/>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合同编号：__________________</w:t>
      </w:r>
    </w:p>
    <w:p w14:paraId="3007EA1D">
      <w:pPr>
        <w:spacing w:line="360" w:lineRule="auto"/>
        <w:rPr>
          <w:rFonts w:hint="eastAsia" w:ascii="宋体" w:hAnsi="宋体" w:eastAsia="宋体" w:cs="宋体"/>
          <w:color w:val="auto"/>
          <w:sz w:val="24"/>
          <w:highlight w:val="none"/>
          <w:lang w:eastAsia="zh-CN"/>
        </w:rPr>
      </w:pPr>
    </w:p>
    <w:p w14:paraId="1F2ACD53">
      <w:pPr>
        <w:spacing w:line="360" w:lineRule="auto"/>
        <w:jc w:val="center"/>
        <w:rPr>
          <w:rFonts w:hint="eastAsia" w:ascii="宋体" w:hAnsi="宋体" w:eastAsia="宋体" w:cs="宋体"/>
          <w:b/>
          <w:color w:val="auto"/>
          <w:sz w:val="36"/>
          <w:szCs w:val="36"/>
          <w:highlight w:val="none"/>
          <w:lang w:eastAsia="zh-CN"/>
        </w:rPr>
      </w:pPr>
    </w:p>
    <w:p w14:paraId="505D90E1">
      <w:pPr>
        <w:rPr>
          <w:rFonts w:hint="eastAsia" w:ascii="宋体" w:hAnsi="宋体" w:eastAsia="宋体" w:cs="宋体"/>
          <w:b/>
          <w:color w:val="auto"/>
          <w:sz w:val="36"/>
          <w:szCs w:val="36"/>
          <w:highlight w:val="none"/>
          <w:lang w:eastAsia="zh-CN"/>
        </w:rPr>
      </w:pPr>
    </w:p>
    <w:p w14:paraId="4F6D3B82">
      <w:pPr>
        <w:rPr>
          <w:rFonts w:hint="eastAsia" w:ascii="宋体" w:hAnsi="宋体" w:eastAsia="宋体" w:cs="宋体"/>
          <w:b/>
          <w:color w:val="auto"/>
          <w:sz w:val="36"/>
          <w:szCs w:val="36"/>
          <w:highlight w:val="none"/>
          <w:lang w:eastAsia="zh-CN"/>
        </w:rPr>
      </w:pPr>
    </w:p>
    <w:p w14:paraId="517F84AA">
      <w:pPr>
        <w:pStyle w:val="2"/>
        <w:rPr>
          <w:rFonts w:hint="eastAsia" w:ascii="宋体" w:hAnsi="宋体" w:eastAsia="宋体" w:cs="宋体"/>
          <w:color w:val="auto"/>
          <w:highlight w:val="none"/>
          <w:lang w:eastAsia="zh-CN"/>
        </w:rPr>
      </w:pPr>
    </w:p>
    <w:p w14:paraId="778AE620">
      <w:pPr>
        <w:spacing w:line="360" w:lineRule="auto"/>
        <w:jc w:val="center"/>
        <w:rPr>
          <w:rFonts w:hint="eastAsia" w:ascii="宋体" w:hAnsi="宋体" w:eastAsia="宋体" w:cs="宋体"/>
          <w:b/>
          <w:color w:val="auto"/>
          <w:sz w:val="48"/>
          <w:szCs w:val="48"/>
          <w:highlight w:val="none"/>
          <w:lang w:eastAsia="zh-CN"/>
        </w:rPr>
      </w:pPr>
      <w:r>
        <w:rPr>
          <w:rFonts w:hint="eastAsia" w:ascii="宋体" w:hAnsi="宋体" w:eastAsia="宋体" w:cs="宋体"/>
          <w:b/>
          <w:color w:val="auto"/>
          <w:sz w:val="48"/>
          <w:szCs w:val="48"/>
          <w:highlight w:val="none"/>
          <w:lang w:eastAsia="zh-CN"/>
        </w:rPr>
        <w:t>合同书</w:t>
      </w:r>
    </w:p>
    <w:p w14:paraId="540073C3">
      <w:pPr>
        <w:spacing w:line="360" w:lineRule="auto"/>
        <w:rPr>
          <w:rFonts w:hint="eastAsia" w:ascii="宋体" w:hAnsi="宋体" w:eastAsia="宋体" w:cs="宋体"/>
          <w:color w:val="auto"/>
          <w:sz w:val="24"/>
          <w:highlight w:val="none"/>
          <w:lang w:eastAsia="zh-CN"/>
        </w:rPr>
      </w:pPr>
    </w:p>
    <w:p w14:paraId="7C4E2F94">
      <w:pPr>
        <w:spacing w:line="360" w:lineRule="auto"/>
        <w:rPr>
          <w:rFonts w:hint="eastAsia" w:ascii="宋体" w:hAnsi="宋体" w:eastAsia="宋体" w:cs="宋体"/>
          <w:color w:val="auto"/>
          <w:sz w:val="24"/>
          <w:highlight w:val="none"/>
          <w:lang w:eastAsia="zh-CN"/>
        </w:rPr>
      </w:pPr>
    </w:p>
    <w:p w14:paraId="75C3CB61">
      <w:pPr>
        <w:spacing w:line="360" w:lineRule="auto"/>
        <w:rPr>
          <w:rFonts w:hint="eastAsia" w:ascii="宋体" w:hAnsi="宋体" w:eastAsia="宋体" w:cs="宋体"/>
          <w:color w:val="auto"/>
          <w:sz w:val="24"/>
          <w:highlight w:val="none"/>
          <w:lang w:eastAsia="zh-CN"/>
        </w:rPr>
      </w:pPr>
    </w:p>
    <w:p w14:paraId="0032C921">
      <w:pPr>
        <w:spacing w:line="360" w:lineRule="auto"/>
        <w:rPr>
          <w:rFonts w:hint="eastAsia" w:ascii="宋体" w:hAnsi="宋体" w:eastAsia="宋体" w:cs="宋体"/>
          <w:color w:val="auto"/>
          <w:sz w:val="28"/>
          <w:szCs w:val="28"/>
          <w:highlight w:val="none"/>
          <w:lang w:eastAsia="zh-CN"/>
        </w:rPr>
      </w:pPr>
    </w:p>
    <w:p w14:paraId="187C418F">
      <w:pPr>
        <w:spacing w:line="360" w:lineRule="auto"/>
        <w:ind w:firstLine="1687" w:firstLineChars="600"/>
        <w:rPr>
          <w:rFonts w:hint="eastAsia" w:ascii="宋体" w:hAnsi="宋体" w:eastAsia="宋体" w:cs="宋体"/>
          <w:b/>
          <w:bCs/>
          <w:color w:val="auto"/>
          <w:sz w:val="28"/>
          <w:szCs w:val="28"/>
          <w:highlight w:val="none"/>
          <w:u w:val="single"/>
          <w:lang w:eastAsia="zh-CN"/>
        </w:rPr>
      </w:pPr>
      <w:r>
        <w:rPr>
          <w:rFonts w:hint="eastAsia" w:ascii="宋体" w:hAnsi="宋体" w:eastAsia="宋体" w:cs="宋体"/>
          <w:b/>
          <w:bCs/>
          <w:color w:val="auto"/>
          <w:sz w:val="28"/>
          <w:szCs w:val="28"/>
          <w:highlight w:val="none"/>
          <w:lang w:eastAsia="zh-CN"/>
        </w:rPr>
        <w:t>采购人（甲方）：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589295BD">
      <w:pPr>
        <w:spacing w:line="360" w:lineRule="auto"/>
        <w:ind w:firstLine="1687" w:firstLineChars="600"/>
        <w:rPr>
          <w:rFonts w:hint="eastAsia" w:ascii="宋体" w:hAnsi="宋体" w:eastAsia="宋体" w:cs="宋体"/>
          <w:b/>
          <w:bCs/>
          <w:color w:val="auto"/>
          <w:sz w:val="28"/>
          <w:szCs w:val="28"/>
          <w:highlight w:val="none"/>
          <w:u w:val="single"/>
          <w:lang w:eastAsia="zh-CN"/>
        </w:rPr>
      </w:pPr>
      <w:r>
        <w:rPr>
          <w:rFonts w:hint="eastAsia" w:ascii="宋体" w:hAnsi="宋体" w:eastAsia="宋体" w:cs="宋体"/>
          <w:b/>
          <w:bCs/>
          <w:color w:val="auto"/>
          <w:sz w:val="28"/>
          <w:szCs w:val="28"/>
          <w:highlight w:val="none"/>
          <w:lang w:eastAsia="zh-CN"/>
        </w:rPr>
        <w:t>成交人（乙方）：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6F1A02FB">
      <w:pPr>
        <w:spacing w:line="360" w:lineRule="auto"/>
        <w:ind w:firstLine="1687" w:firstLineChars="6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签订日期：</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68073E6B">
      <w:pPr>
        <w:pStyle w:val="2"/>
        <w:ind w:left="0" w:leftChars="0" w:firstLine="0" w:firstLineChars="0"/>
        <w:rPr>
          <w:rFonts w:hint="eastAsia" w:ascii="宋体" w:hAnsi="宋体" w:eastAsia="宋体" w:cs="宋体"/>
          <w:color w:val="auto"/>
          <w:highlight w:val="none"/>
          <w:lang w:eastAsia="zh-CN"/>
        </w:rPr>
      </w:pPr>
    </w:p>
    <w:p w14:paraId="6E12C33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3F01FA9A">
      <w:pPr>
        <w:spacing w:line="360" w:lineRule="auto"/>
        <w:ind w:firstLine="482" w:firstLineChars="20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（此合同草案条款，采购人和中标单位所签订的合同不得对招标文件确定的 事项和中标供应商的投标文件做实质性修改，最终签订的合同以采购人确定的 合同内容为准。）</w:t>
      </w:r>
    </w:p>
    <w:p w14:paraId="43AFC2FF">
      <w:pPr>
        <w:spacing w:line="360" w:lineRule="auto"/>
        <w:ind w:firstLine="480" w:firstLineChars="200"/>
        <w:rPr>
          <w:rFonts w:hint="eastAsia" w:ascii="宋体" w:hAnsi="宋体" w:eastAsia="宋体" w:cs="宋体"/>
          <w:color w:val="auto"/>
          <w:sz w:val="24"/>
          <w:highlight w:val="none"/>
        </w:rPr>
      </w:pPr>
    </w:p>
    <w:p w14:paraId="340A1F0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项目 (项目编号：       ）</w:t>
      </w:r>
      <w:r>
        <w:rPr>
          <w:rFonts w:hint="eastAsia" w:ascii="宋体" w:hAnsi="宋体" w:eastAsia="宋体" w:cs="宋体"/>
          <w:color w:val="auto"/>
          <w:sz w:val="24"/>
          <w:highlight w:val="none"/>
        </w:rPr>
        <w:t>由陕西</w:t>
      </w:r>
      <w:r>
        <w:rPr>
          <w:rFonts w:hint="eastAsia" w:ascii="宋体" w:hAnsi="宋体" w:eastAsia="宋体" w:cs="宋体"/>
          <w:color w:val="auto"/>
          <w:sz w:val="24"/>
          <w:highlight w:val="none"/>
          <w:lang w:eastAsia="zh-CN"/>
        </w:rPr>
        <w:t>海堂项目管理咨询</w:t>
      </w:r>
      <w:r>
        <w:rPr>
          <w:rFonts w:hint="eastAsia" w:ascii="宋体" w:hAnsi="宋体" w:eastAsia="宋体" w:cs="宋体"/>
          <w:color w:val="auto"/>
          <w:sz w:val="24"/>
          <w:highlight w:val="none"/>
        </w:rPr>
        <w:t>有限公司组织招标采购，</w:t>
      </w:r>
      <w:r>
        <w:rPr>
          <w:rFonts w:hint="eastAsia" w:ascii="宋体" w:hAnsi="宋体" w:eastAsia="宋体" w:cs="宋体"/>
          <w:color w:val="auto"/>
          <w:sz w:val="24"/>
          <w:highlight w:val="none"/>
          <w:u w:val="single"/>
        </w:rPr>
        <w:t xml:space="preserve">          (以下简称“ 甲方 ”）</w:t>
      </w:r>
      <w:r>
        <w:rPr>
          <w:rFonts w:hint="eastAsia" w:ascii="宋体" w:hAnsi="宋体" w:eastAsia="宋体" w:cs="宋体"/>
          <w:color w:val="auto"/>
          <w:sz w:val="24"/>
          <w:highlight w:val="none"/>
        </w:rPr>
        <w:t>确定</w:t>
      </w:r>
      <w:r>
        <w:rPr>
          <w:rFonts w:hint="eastAsia" w:ascii="宋体" w:hAnsi="宋体" w:eastAsia="宋体" w:cs="宋体"/>
          <w:color w:val="auto"/>
          <w:sz w:val="24"/>
          <w:highlight w:val="none"/>
          <w:u w:val="single"/>
        </w:rPr>
        <w:t xml:space="preserve">        （以下简称 “ 乙方 ”）</w:t>
      </w:r>
      <w:r>
        <w:rPr>
          <w:rFonts w:hint="eastAsia" w:ascii="宋体" w:hAnsi="宋体" w:eastAsia="宋体" w:cs="宋体"/>
          <w:color w:val="auto"/>
          <w:sz w:val="24"/>
          <w:highlight w:val="none"/>
        </w:rPr>
        <w:t>为中标供应商。</w:t>
      </w:r>
    </w:p>
    <w:p w14:paraId="11EC5DB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依据《中华人民共和国民法典》和《中华人民共和国政府采购法》，经双方 协商按下述条款和条件签署本合同。</w:t>
      </w:r>
    </w:p>
    <w:p w14:paraId="3D709DE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第一条：合同双方当事人</w:t>
      </w:r>
    </w:p>
    <w:p w14:paraId="2D4850E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甲方（采购人）：</w:t>
      </w:r>
    </w:p>
    <w:p w14:paraId="2EB7BC8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法定代表人/负责人：</w:t>
      </w:r>
    </w:p>
    <w:p w14:paraId="582EA59D">
      <w:pPr>
        <w:spacing w:line="360" w:lineRule="auto"/>
        <w:ind w:firstLine="480" w:firstLineChars="200"/>
        <w:rPr>
          <w:rFonts w:hint="eastAsia" w:ascii="宋体" w:hAnsi="宋体" w:eastAsia="宋体" w:cs="宋体"/>
          <w:color w:val="auto"/>
          <w:sz w:val="24"/>
          <w:highlight w:val="none"/>
        </w:rPr>
      </w:pPr>
    </w:p>
    <w:p w14:paraId="4C158DBF">
      <w:pPr>
        <w:spacing w:line="360" w:lineRule="auto"/>
        <w:ind w:firstLine="480" w:firstLineChars="200"/>
        <w:rPr>
          <w:rFonts w:hint="eastAsia" w:ascii="宋体" w:hAnsi="宋体" w:eastAsia="宋体" w:cs="宋体"/>
          <w:color w:val="auto"/>
          <w:sz w:val="24"/>
          <w:highlight w:val="none"/>
        </w:rPr>
      </w:pPr>
    </w:p>
    <w:p w14:paraId="56E5931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乙方（中标人）：</w:t>
      </w:r>
    </w:p>
    <w:p w14:paraId="18DA104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法定代表人/负责人：</w:t>
      </w:r>
    </w:p>
    <w:p w14:paraId="06557E5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第二条：合同内容（格式自拟：包含合同标的物的数量、单价、金额）</w:t>
      </w:r>
    </w:p>
    <w:p w14:paraId="0DBDA6F2">
      <w:pPr>
        <w:spacing w:line="360" w:lineRule="auto"/>
        <w:ind w:firstLine="480" w:firstLineChars="200"/>
        <w:rPr>
          <w:rFonts w:hint="eastAsia" w:ascii="宋体" w:hAnsi="宋体" w:eastAsia="宋体" w:cs="宋体"/>
          <w:color w:val="auto"/>
          <w:sz w:val="24"/>
          <w:highlight w:val="none"/>
        </w:rPr>
      </w:pPr>
    </w:p>
    <w:p w14:paraId="6493AAA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inline distT="0" distB="0" distL="114300" distR="114300">
                <wp:extent cx="4969510" cy="345440"/>
                <wp:effectExtent l="0" t="1270" r="2540" b="15240"/>
                <wp:docPr id="3" name="任意多边形 3"/>
                <wp:cNvGraphicFramePr/>
                <a:graphic xmlns:a="http://schemas.openxmlformats.org/drawingml/2006/main">
                  <a:graphicData uri="http://schemas.microsoft.com/office/word/2010/wordprocessingShape">
                    <wps:wsp>
                      <wps:cNvSpPr/>
                      <wps:spPr>
                        <a:xfrm>
                          <a:off x="0" y="0"/>
                          <a:ext cx="4969510" cy="345440"/>
                        </a:xfrm>
                        <a:custGeom>
                          <a:avLst/>
                          <a:gdLst/>
                          <a:ahLst/>
                          <a:cxnLst/>
                          <a:pathLst>
                            <a:path w="7825" h="544">
                              <a:moveTo>
                                <a:pt x="0" y="5"/>
                              </a:moveTo>
                              <a:lnTo>
                                <a:pt x="7825" y="5"/>
                              </a:lnTo>
                              <a:moveTo>
                                <a:pt x="0" y="537"/>
                              </a:moveTo>
                              <a:lnTo>
                                <a:pt x="7825" y="537"/>
                              </a:lnTo>
                            </a:path>
                          </a:pathLst>
                        </a:custGeom>
                        <a:noFill/>
                        <a:ln w="7620" cap="flat" cmpd="sng">
                          <a:solidFill>
                            <a:srgbClr val="000000"/>
                          </a:solidFill>
                          <a:prstDash val="solid"/>
                          <a:bevel/>
                          <a:headEnd type="none" w="med" len="med"/>
                          <a:tailEnd type="none" w="med" len="med"/>
                        </a:ln>
                      </wps:spPr>
                      <wps:bodyPr upright="1"/>
                    </wps:wsp>
                  </a:graphicData>
                </a:graphic>
              </wp:inline>
            </w:drawing>
          </mc:Choice>
          <mc:Fallback>
            <w:pict>
              <v:shape id="_x0000_s1026" o:spid="_x0000_s1026" o:spt="100" style="height:27.2pt;width:391.3pt;" filled="f" stroked="t" coordsize="7825,544" o:gfxdata="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aiXUp1AAAAAQBAAAPAAAAAAAAAAEAIAAA&#10;ACIAAABkcnMvZG93bnJldi54bWxQSwECFAAUAAAACACHTuJAWsi5HUkCAADsBAAADgAAAAAAAAAB&#10;ACAAAAAjAQAAZHJzL2Uyb0RvYy54bWxQSwUGAAAAAAYABgBZAQAA3gUAAAAA&#10;" path="m0,5l7825,5m0,537l7825,537e">
                <v:fill on="f" focussize="0,0"/>
                <v:stroke weight="0.6pt" color="#000000" joinstyle="bevel"/>
                <v:imagedata o:title=""/>
                <o:lock v:ext="edit" aspectratio="f"/>
                <w10:wrap type="none"/>
                <w10:anchorlock/>
              </v:shape>
            </w:pict>
          </mc:Fallback>
        </mc:AlternateContent>
      </w:r>
    </w:p>
    <w:p w14:paraId="488ADD7F">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第三条：履行期限及地点</w:t>
      </w:r>
    </w:p>
    <w:p w14:paraId="506FCFA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（一）服务期：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1177AE8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（二）服务地点：采购人指定地点。</w:t>
      </w:r>
    </w:p>
    <w:p w14:paraId="297A57F1">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第四条：服务质量保证</w:t>
      </w:r>
    </w:p>
    <w:p w14:paraId="73335EF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（一）乙方需派一名项目负责人，直接与甲方沟通，项目负责人接收甲方提 出的问题与要求，并及时反馈给工作组，解决在项目实施过程中遇到的问题。</w:t>
      </w:r>
    </w:p>
    <w:p w14:paraId="5FCBD1F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（二）项目在实施过程中会出现不可预料的需求变更，乙方需积极配合甲方 的需求变更，并按照变更后的需求继续进行方案实施。</w:t>
      </w:r>
    </w:p>
    <w:p w14:paraId="302E7E4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（三）乙方需提交所有实施方案流程及说明文档。</w:t>
      </w:r>
    </w:p>
    <w:p w14:paraId="56D7CADA">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第五条：合同价款</w:t>
      </w:r>
    </w:p>
    <w:p w14:paraId="1F927FBF">
      <w:pPr>
        <w:spacing w:line="360" w:lineRule="auto"/>
        <w:ind w:firstLine="480" w:firstLineChars="200"/>
        <w:rPr>
          <w:rFonts w:hint="eastAsia" w:ascii="宋体" w:hAnsi="宋体" w:eastAsia="宋体" w:cs="宋体"/>
          <w:color w:val="auto"/>
          <w:sz w:val="24"/>
          <w:highlight w:val="none"/>
        </w:rPr>
        <w:sectPr>
          <w:pgSz w:w="11906" w:h="16839"/>
          <w:pgMar w:top="1431" w:right="1785" w:bottom="0" w:left="1785" w:header="0" w:footer="0" w:gutter="0"/>
          <w:cols w:space="720" w:num="1"/>
        </w:sectPr>
      </w:pPr>
    </w:p>
    <w:p w14:paraId="48A305F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（一）合同总价款为人民币（大写）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745431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（二）合同总价：包括服务期内提供所有服务费用、税金等完成本次服务所 需一切费用。</w:t>
      </w:r>
    </w:p>
    <w:p w14:paraId="59FAEC0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（三）合同总价为固定总价，不受市场价格变化因素的影响。</w:t>
      </w:r>
    </w:p>
    <w:p w14:paraId="15F7102F">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第六条：付款进度安排</w:t>
      </w:r>
    </w:p>
    <w:p w14:paraId="421BC6B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（一）支付方式：银行转账。</w:t>
      </w:r>
    </w:p>
    <w:p w14:paraId="78DF1D6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（二）结算条件：</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51AEA09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乙方承诺其开具发票的形式与内容均合法、有效、完整、准确，不开具或所 开具发票不合格的，甲方有权迟延支付应付款项且不承担任何违约责任，且乙方 的各项合同义务仍应按合同约定履行。</w:t>
      </w:r>
    </w:p>
    <w:p w14:paraId="284C77D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（三）付款进度：</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96050F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（四）乙方结算相关信息如下：</w:t>
      </w:r>
    </w:p>
    <w:p w14:paraId="340D1BC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乙方银行账户信息如下：</w:t>
      </w:r>
    </w:p>
    <w:p w14:paraId="67D864B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账户户名：</w:t>
      </w:r>
      <w:r>
        <w:rPr>
          <w:rFonts w:hint="eastAsia" w:ascii="宋体" w:hAnsi="宋体" w:eastAsia="宋体" w:cs="宋体"/>
          <w:color w:val="auto"/>
          <w:sz w:val="24"/>
          <w:highlight w:val="none"/>
          <w:u w:val="single"/>
        </w:rPr>
        <w:t xml:space="preserve">                  </w:t>
      </w:r>
    </w:p>
    <w:p w14:paraId="15F2A99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w:t>
      </w:r>
      <w:r>
        <w:rPr>
          <w:rFonts w:hint="eastAsia" w:ascii="宋体" w:hAnsi="宋体" w:eastAsia="宋体" w:cs="宋体"/>
          <w:color w:val="auto"/>
          <w:sz w:val="24"/>
          <w:highlight w:val="none"/>
          <w:u w:val="single"/>
        </w:rPr>
        <w:t xml:space="preserve">                    </w:t>
      </w:r>
    </w:p>
    <w:p w14:paraId="6EFDC1B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银行账号：</w:t>
      </w:r>
      <w:r>
        <w:rPr>
          <w:rFonts w:hint="eastAsia" w:ascii="宋体" w:hAnsi="宋体" w:eastAsia="宋体" w:cs="宋体"/>
          <w:color w:val="auto"/>
          <w:sz w:val="24"/>
          <w:highlight w:val="none"/>
          <w:u w:val="single"/>
        </w:rPr>
        <w:t xml:space="preserve">                   </w:t>
      </w:r>
    </w:p>
    <w:p w14:paraId="6717ED2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如需改变上述账户，应提前十日以书面通知另一方。如一方未按本合同规定 通知而使另一方遭受损失的，应予以赔偿。</w:t>
      </w:r>
    </w:p>
    <w:p w14:paraId="4DC210B4">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第七条：验收要求</w:t>
      </w:r>
    </w:p>
    <w:p w14:paraId="583D1DE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（一）乙方配合采购人验收。若存在验收费用，由乙方自行承担。</w:t>
      </w:r>
    </w:p>
    <w:p w14:paraId="116C1F0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（二）由采购人根据采购合同约定，进行检查验收。</w:t>
      </w:r>
    </w:p>
    <w:p w14:paraId="0B8ADA3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（三）合同所有内容完成后，由乙方进行自检，合格后，准备验收文件，并 书面通知甲方。甲方可选择自行验收或要求采购代理机构配合验收或选择第三方 专业机构及专家参与验收。</w:t>
      </w:r>
    </w:p>
    <w:p w14:paraId="7E9D692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（四）乙方向甲方提交实施过程中的所有资料。以便甲方日后管理。</w:t>
      </w:r>
    </w:p>
    <w:p w14:paraId="1CAF013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（五）验收依据：</w:t>
      </w:r>
    </w:p>
    <w:p w14:paraId="2485BEE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1、本合同及附加文本；</w:t>
      </w:r>
    </w:p>
    <w:p w14:paraId="2145DD0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2、招标文件、中标人的投标文件及澄清函、承诺函。</w:t>
      </w:r>
    </w:p>
    <w:p w14:paraId="290DB08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第八条：双方的权利和义务</w:t>
      </w:r>
    </w:p>
    <w:p w14:paraId="3D94D6DB">
      <w:pPr>
        <w:spacing w:line="360" w:lineRule="auto"/>
        <w:ind w:firstLine="480" w:firstLineChars="200"/>
        <w:rPr>
          <w:rFonts w:hint="eastAsia" w:ascii="宋体" w:hAnsi="宋体" w:eastAsia="宋体" w:cs="宋体"/>
          <w:color w:val="auto"/>
          <w:sz w:val="24"/>
          <w:highlight w:val="none"/>
        </w:rPr>
        <w:sectPr>
          <w:pgSz w:w="11906" w:h="16839"/>
          <w:pgMar w:top="1431" w:right="1785" w:bottom="0" w:left="1785" w:header="0" w:footer="0" w:gutter="0"/>
          <w:cols w:space="720" w:num="1"/>
        </w:sectPr>
      </w:pPr>
    </w:p>
    <w:p w14:paraId="3378279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（一）甲方的权利与义务</w:t>
      </w:r>
    </w:p>
    <w:p w14:paraId="6FDAE9B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甲方应按招标文件、投标文件及合同要求进行管理及监督，如发现不符合规 定或其他违规违法情况，有权利暂停或终止合同，并追究相关责任。</w:t>
      </w:r>
    </w:p>
    <w:p w14:paraId="29A451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（二）乙方的权利与义务</w:t>
      </w:r>
    </w:p>
    <w:p w14:paraId="24140EA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1.乙方的工作人员必须严格遵守甲方的规章制度，以良好的形象和积极的工 作态度，按甲方要求开展工作；</w:t>
      </w:r>
    </w:p>
    <w:p w14:paraId="5217C9F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2.乙方应服从甲方统筹管理并按流程开展工作；</w:t>
      </w:r>
    </w:p>
    <w:p w14:paraId="5E0CA87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3.乙方在服务期间发布的任何涉及有关甲方的相关信息，需经甲方确认无误 后方可公布。</w:t>
      </w:r>
    </w:p>
    <w:p w14:paraId="1E292A47">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第九条：违约责任</w:t>
      </w:r>
    </w:p>
    <w:p w14:paraId="57D868F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（一）按《中华人民共和国民法典》中的相关条款执行。</w:t>
      </w:r>
    </w:p>
    <w:p w14:paraId="68D5BA9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（二）任何一方因不可抗力原因不能履行协议时，应尽快通知对方，双方均 设法补偿。如仍无法履约协议，可协商延缓或撤销协议，双方责任免除。</w:t>
      </w:r>
    </w:p>
    <w:p w14:paraId="1FEB167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（三）甲方逾期付款，则每日按本合同总价的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%向乙方偿付违约金。</w:t>
      </w:r>
    </w:p>
    <w:p w14:paraId="4F7ECDB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第十条：不可抗力</w:t>
      </w:r>
    </w:p>
    <w:p w14:paraId="701C989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（一）本合同所指不可抗力，是指不能预见、不能避免并不能克服的客观情 况。</w:t>
      </w:r>
    </w:p>
    <w:p w14:paraId="0EA0163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（二）由于不可抗力事件，致使一方在履行其在本合同项下的义务过程中遇 到障碍或延误，不能按约定的条款全部或部分履行其义务的，遇到不可抗力事件 的一方（“受阻方”），只要满足下列所有条件，不应视为违反本合同：</w:t>
      </w:r>
    </w:p>
    <w:p w14:paraId="7D4DF2E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1、受阻方不能全部或部分履行其义务，是由于不可抗力事件直接造成的， 且在不可抗力发生前受阻方不存在迟延履行相关义务的情形；</w:t>
      </w:r>
    </w:p>
    <w:p w14:paraId="1A4C24D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2、受阻方已尽最大努力履行其义务并减少由于不可抗力事件给另一方造成 的损失；</w:t>
      </w:r>
    </w:p>
    <w:p w14:paraId="155CA77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3、不可抗力事件发生时，受阻方立即通知了对方，并在不可抗力事件发生 后的十五(15）天内提供有关该事件的公证文书和书面说明，书面说明中应包括 对延迟履行或部分履行本合同的原因说明。</w:t>
      </w:r>
    </w:p>
    <w:p w14:paraId="5C5AECC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（三）不可抗力事件终止或被排除后，受阻方应继续履行本合同，并应尽快 通知另一方。受阻方可延长履行义务的时间，延长期应相当于不可抗力事件实际 造成延误的时间。</w:t>
      </w:r>
    </w:p>
    <w:p w14:paraId="26A15C60">
      <w:pPr>
        <w:spacing w:line="360" w:lineRule="auto"/>
        <w:ind w:firstLine="480" w:firstLineChars="200"/>
        <w:rPr>
          <w:rFonts w:hint="eastAsia" w:ascii="宋体" w:hAnsi="宋体" w:eastAsia="宋体" w:cs="宋体"/>
          <w:color w:val="auto"/>
          <w:sz w:val="24"/>
          <w:highlight w:val="none"/>
        </w:rPr>
        <w:sectPr>
          <w:pgSz w:w="11906" w:h="16839"/>
          <w:pgMar w:top="1431" w:right="1785" w:bottom="0" w:left="1785" w:header="0" w:footer="0" w:gutter="0"/>
          <w:cols w:space="720" w:num="1"/>
        </w:sectPr>
      </w:pPr>
    </w:p>
    <w:p w14:paraId="5AC3740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（四）如果不可抗力事件的影响持续达三十（30）日或以上时，双方应根据 该事件对本合同履行的影响程度协商对本合同的修改或终止。如在一方发出协商 书面通知之日起十（10）日内双方无法就此达成一致，任何一方均有权解除本合 同而无需承担违约责任。</w:t>
      </w:r>
    </w:p>
    <w:p w14:paraId="2E483D27">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第十一条：法律适用和争议解决</w:t>
      </w:r>
    </w:p>
    <w:p w14:paraId="05C53DD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（一）本合同的成立、有效性、解释、履行、签署、修订和终止以及争议的 解决均应适用中华人民共和国法律。</w:t>
      </w:r>
    </w:p>
    <w:p w14:paraId="3C2E62A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（二）如果任何争议或权利要求起因于本合同或与本合同有关或与本合同的 解释、违约、终止或效力有关，都应由双方通过友好协商解决。协商应在一方向 另一方送达关于协商的书面要求后立即开始。</w:t>
      </w:r>
    </w:p>
    <w:p w14:paraId="68BA5D3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（三）如果在一方提出协商要求后的十（10）天内，双方通过协商不能解决 争议，则双方同意按以下方式解决：</w:t>
      </w:r>
    </w:p>
    <w:p w14:paraId="3403BCF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将该争议提交至甲方所在地有管辖权的人民法院诉讼解决，败诉方应支付双 方因诉讼所发生的一切法律费用，包括但不限于律师费。</w:t>
      </w:r>
    </w:p>
    <w:p w14:paraId="5ABD180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（四）诉讼进行过程中，除双方有争议的部分外，本合同其他部分仍然有效， 双方应继续履行。</w:t>
      </w:r>
    </w:p>
    <w:p w14:paraId="3BA7FA1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（五）本合同全部或部分无效的，本条依然有效。</w:t>
      </w:r>
    </w:p>
    <w:p w14:paraId="19E39EC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第十二条：合同争议解决的方式</w:t>
      </w:r>
    </w:p>
    <w:p w14:paraId="523286F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本合同在履行过程中发生的争议，由甲、乙双方当事人协商解决，协商不成 的按下列第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种方式解决：</w:t>
      </w:r>
    </w:p>
    <w:p w14:paraId="0FFC65D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（一）提交当地仲裁委员会仲裁；</w:t>
      </w:r>
    </w:p>
    <w:p w14:paraId="6D5F345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（二）依法向甲方所在地人民法院起诉。</w:t>
      </w:r>
    </w:p>
    <w:p w14:paraId="2B75130B">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第十三条：合同生效</w:t>
      </w:r>
    </w:p>
    <w:p w14:paraId="0234CE4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（一）本合同须经甲、乙双方的法定代表人（授权代理人）在合同书上签字 并加盖本单位公章后正式生效。</w:t>
      </w:r>
    </w:p>
    <w:p w14:paraId="0AF624D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（二）合同生效后，甲、乙双方须严格执行本合同条款的规定，全面履行合 同，违者按《中华人民共和国民法典》的有关规定承担相应责任。</w:t>
      </w:r>
    </w:p>
    <w:p w14:paraId="53F234E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（三）本合同一式    份，甲乙双方各执     份。</w:t>
      </w:r>
    </w:p>
    <w:p w14:paraId="4CE8822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（四）本合同未尽事宜由双方另行签订补充合同，补充合同为本合同有效组 成部分。</w:t>
      </w:r>
    </w:p>
    <w:p w14:paraId="05519ADA">
      <w:pPr>
        <w:spacing w:line="360" w:lineRule="auto"/>
        <w:ind w:firstLine="480" w:firstLineChars="200"/>
        <w:rPr>
          <w:rFonts w:hint="eastAsia" w:ascii="宋体" w:hAnsi="宋体" w:eastAsia="宋体" w:cs="宋体"/>
          <w:color w:val="auto"/>
          <w:sz w:val="24"/>
          <w:highlight w:val="none"/>
        </w:rPr>
        <w:sectPr>
          <w:pgSz w:w="11906" w:h="16839"/>
          <w:pgMar w:top="1431" w:right="1618" w:bottom="0" w:left="1785" w:header="0" w:footer="0" w:gutter="0"/>
          <w:cols w:space="720" w:num="1"/>
        </w:sectPr>
      </w:pPr>
    </w:p>
    <w:p w14:paraId="37E323E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（五）甲乙双方不得擅自变更、中止、终止政府采购合同。</w:t>
      </w:r>
    </w:p>
    <w:p w14:paraId="7A597CE8">
      <w:pPr>
        <w:spacing w:line="360" w:lineRule="auto"/>
        <w:ind w:firstLine="480" w:firstLineChars="200"/>
        <w:rPr>
          <w:rFonts w:hint="eastAsia" w:ascii="宋体" w:hAnsi="宋体" w:eastAsia="宋体" w:cs="宋体"/>
          <w:color w:val="auto"/>
          <w:sz w:val="24"/>
          <w:highlight w:val="none"/>
        </w:rPr>
      </w:pPr>
    </w:p>
    <w:p w14:paraId="41238D16">
      <w:pPr>
        <w:spacing w:line="360" w:lineRule="auto"/>
        <w:ind w:firstLine="480" w:firstLineChars="200"/>
        <w:rPr>
          <w:rFonts w:hint="eastAsia" w:ascii="宋体" w:hAnsi="宋体" w:eastAsia="宋体" w:cs="宋体"/>
          <w:color w:val="auto"/>
          <w:sz w:val="24"/>
          <w:highlight w:val="none"/>
        </w:rPr>
      </w:pPr>
    </w:p>
    <w:p w14:paraId="24D8C67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甲  方（全称）：                   乙  方（全称）：</w:t>
      </w:r>
    </w:p>
    <w:p w14:paraId="6AD793F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（盖章）                          （盖章）</w:t>
      </w:r>
    </w:p>
    <w:p w14:paraId="424D7FB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地址：</w:t>
      </w:r>
    </w:p>
    <w:p w14:paraId="39CA7E4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                             邮编：</w:t>
      </w:r>
    </w:p>
    <w:p w14:paraId="04DED2A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                       法定代表人：</w:t>
      </w:r>
    </w:p>
    <w:p w14:paraId="128DEE5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被授权代表：                       被授权代表：</w:t>
      </w:r>
    </w:p>
    <w:p w14:paraId="25C6E85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                             电话：</w:t>
      </w:r>
    </w:p>
    <w:p w14:paraId="3E51FB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传真：                             传真：</w:t>
      </w:r>
    </w:p>
    <w:p w14:paraId="4446790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                         开户银行：</w:t>
      </w:r>
    </w:p>
    <w:p w14:paraId="447F419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开户银行账号：                     开户银行账号：</w:t>
      </w:r>
    </w:p>
    <w:p w14:paraId="051D105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日期：</w:t>
      </w:r>
    </w:p>
    <w:p w14:paraId="12A49CA2">
      <w:pPr>
        <w:spacing w:line="360" w:lineRule="auto"/>
        <w:ind w:firstLine="480" w:firstLineChars="200"/>
        <w:rPr>
          <w:rFonts w:hint="eastAsia" w:ascii="宋体" w:hAnsi="宋体" w:eastAsia="宋体" w:cs="宋体"/>
          <w:color w:val="auto"/>
          <w:sz w:val="24"/>
          <w:highlight w:val="none"/>
        </w:rPr>
      </w:pPr>
    </w:p>
    <w:p w14:paraId="72C71BD1">
      <w:pPr>
        <w:spacing w:line="360" w:lineRule="auto"/>
        <w:ind w:firstLine="480" w:firstLineChars="200"/>
        <w:rPr>
          <w:rFonts w:hint="eastAsia" w:ascii="宋体" w:hAnsi="宋体" w:eastAsia="宋体" w:cs="宋体"/>
          <w:color w:val="auto"/>
          <w:sz w:val="24"/>
          <w:highlight w:val="none"/>
        </w:rPr>
      </w:pPr>
    </w:p>
    <w:p w14:paraId="446BDCEE">
      <w:pPr>
        <w:spacing w:line="360" w:lineRule="auto"/>
        <w:ind w:firstLine="480" w:firstLineChars="200"/>
        <w:rPr>
          <w:rFonts w:hint="eastAsia" w:ascii="宋体" w:hAnsi="宋体" w:eastAsia="宋体" w:cs="宋体"/>
          <w:color w:val="auto"/>
          <w:sz w:val="24"/>
          <w:highlight w:val="none"/>
        </w:rPr>
      </w:pPr>
    </w:p>
    <w:p w14:paraId="26BF23E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注：本合同只作为参考文本，合同具体内容及格式签订正式合同时甲乙双方协商确定。</w:t>
      </w:r>
    </w:p>
    <w:p w14:paraId="2CABC385">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3C4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561"/>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2026-05-18T09:18:09Z</dcterms:created>
  <dc:creator>Administrator.PC-20221020ZCWL</dc:creator>
  <cp:lastModifiedBy>绿军装的梦</cp:lastModifiedBy>
  <dcterms:modified xsi:type="dcterms:W3CDTF">2026-05-18T09:18:14Z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eyJoZGlkIjoiNzQ1NWFkYTA1NDZkMzI3NGM4ODJkN2U4NzJkNzNkMWYiLCJ1c2VySWQiOiIyNTUwMzE5MDEifQ==</vt:lpwstr>
  </property>
  <property fmtid="{D5CDD505-2E9C-101B-9397-08002B2CF9AE}" pid="4" name="ICV">
    <vt:lpwstr>A0596BC5A75C47A8AB881D110E815B64_12</vt:lpwstr>
  </property>
</Properties>
</file>