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版本号：SXZHZB-2026-00420260430003</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蒲城高新技术开发区精细化工片区总体发展规划环境影响评价项目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SXZHZB-2026-004</w:t>
      </w:r>
      <w:r>
        <w:br/>
      </w:r>
      <w:r>
        <w:br/>
      </w:r>
      <w:r>
        <w:br/>
      </w:r>
    </w:p>
    <w:p>
      <w:pPr>
        <w:pStyle w:val="null3"/>
        <w:jc w:val="center"/>
        <w:outlineLvl w:val="2"/>
      </w:pPr>
      <w:r>
        <w:rPr>
          <w:rFonts w:ascii="仿宋_GB2312" w:hAnsi="仿宋_GB2312" w:cs="仿宋_GB2312" w:eastAsia="仿宋_GB2312"/>
          <w:sz w:val="28"/>
          <w:b/>
        </w:rPr>
        <w:t>渭南经开区新材料产业聚集区管理办公室</w:t>
      </w:r>
    </w:p>
    <w:p>
      <w:pPr>
        <w:pStyle w:val="null3"/>
        <w:jc w:val="center"/>
        <w:outlineLvl w:val="2"/>
      </w:pPr>
      <w:r>
        <w:rPr>
          <w:rFonts w:ascii="仿宋_GB2312" w:hAnsi="仿宋_GB2312" w:cs="仿宋_GB2312" w:eastAsia="仿宋_GB2312"/>
          <w:sz w:val="28"/>
          <w:b/>
        </w:rPr>
        <w:t>陕西中宏智博工程项目管理有限公司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2026年04月30日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陕西中宏智博工程项目管理有限公司</w:t>
      </w:r>
      <w:r>
        <w:rPr>
          <w:rFonts w:ascii="仿宋_GB2312" w:hAnsi="仿宋_GB2312" w:cs="仿宋_GB2312" w:eastAsia="仿宋_GB2312"/>
        </w:rPr>
        <w:t>（以下简称“代理机构”）受</w:t>
      </w:r>
      <w:r>
        <w:rPr>
          <w:rFonts w:ascii="仿宋_GB2312" w:hAnsi="仿宋_GB2312" w:cs="仿宋_GB2312" w:eastAsia="仿宋_GB2312"/>
        </w:rPr>
        <w:t>渭南经开区新材料产业聚集区管理办公室</w:t>
      </w:r>
      <w:r>
        <w:rPr>
          <w:rFonts w:ascii="仿宋_GB2312" w:hAnsi="仿宋_GB2312" w:cs="仿宋_GB2312" w:eastAsia="仿宋_GB2312"/>
        </w:rPr>
        <w:t>委托，拟对</w:t>
      </w:r>
      <w:r>
        <w:rPr>
          <w:rFonts w:ascii="仿宋_GB2312" w:hAnsi="仿宋_GB2312" w:cs="仿宋_GB2312" w:eastAsia="仿宋_GB2312"/>
        </w:rPr>
        <w:t>蒲城高新技术开发区精细化工片区总体发展规划环境影响评价项目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SXZHZB-2026-004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蒲城高新技术开发区精细化工片区总体发展规划环境影响评价项目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蒲城高新技术开发区精细化工片区总体发展规划编制环境影响评价项目包括:报告编制费用、环境质量监测(环境空气、地下水、噪声、土壤)、区域污染源调查、生态调查、气象资料、水文地质资料等，根据蒲城高新技术开发区精细化工片区总体发展规划编制环境影响报告书，并通过相关部门审查。</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采购包1（蒲城高新技术开发区精细化工片区总体发展规划环境影响评价项目）：属于专门面向中小企业采购。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1、营业执照：具有独立承担民事责任能力的法人、其他组织或自然人，提供合法有效的统一社会信用代码营业执照(事业单位提供事业单位法人证书，自然人提供身份证明);</w:t>
      </w:r>
    </w:p>
    <w:p>
      <w:pPr>
        <w:pStyle w:val="null3"/>
      </w:pPr>
      <w:r>
        <w:rPr>
          <w:rFonts w:ascii="仿宋_GB2312" w:hAnsi="仿宋_GB2312" w:cs="仿宋_GB2312" w:eastAsia="仿宋_GB2312"/>
        </w:rPr>
        <w:t>2、法定代表人授权委托书：法定代表人参加投标的，提供法定代表人身份证明书并出示身份证原件;法定代表人授权他人参加投标的，提供法定代表人授权委托书并出示被授权代表的身份证原件;</w:t>
      </w:r>
    </w:p>
    <w:p>
      <w:pPr>
        <w:pStyle w:val="null3"/>
      </w:pPr>
      <w:r>
        <w:rPr>
          <w:rFonts w:ascii="仿宋_GB2312" w:hAnsi="仿宋_GB2312" w:cs="仿宋_GB2312" w:eastAsia="仿宋_GB2312"/>
        </w:rPr>
        <w:t>3、财务状况报告：提供2025年度经审计的财务报告(报告中至少包括报告正文、资产负债表、利润表及现金流量表)(成立时间至提交响应文件截止时间不足一年的可提供成立后任意时段的资产负债表)，或开标前三个月内基本存款账户开户银行出具的资信证明及基本存款账户开户许可证(或基本账户信息表);</w:t>
      </w:r>
    </w:p>
    <w:p>
      <w:pPr>
        <w:pStyle w:val="null3"/>
      </w:pPr>
      <w:r>
        <w:rPr>
          <w:rFonts w:ascii="仿宋_GB2312" w:hAnsi="仿宋_GB2312" w:cs="仿宋_GB2312" w:eastAsia="仿宋_GB2312"/>
        </w:rPr>
        <w:t>4、税收缴纳证明：提供近六个月已缴纳任意一个月纳税证明或税务机关开具的完税证明(时间以税款所属日期为准，凭据应有税务机关或代收机关的公章或业务专用章。)依法免税或无须缴纳税收的单位应提供相应证明文件;</w:t>
      </w:r>
    </w:p>
    <w:p>
      <w:pPr>
        <w:pStyle w:val="null3"/>
      </w:pPr>
      <w:r>
        <w:rPr>
          <w:rFonts w:ascii="仿宋_GB2312" w:hAnsi="仿宋_GB2312" w:cs="仿宋_GB2312" w:eastAsia="仿宋_GB2312"/>
        </w:rPr>
        <w:t>5、社会保障资金缴纳证明：提供近六个月已缴存任意一个月社会保障资金缴存单据或社保机构开具的社会保险参保缴费证明，依法不需要缴纳社会保障资金的单位应提供相关证明材料；</w:t>
      </w:r>
    </w:p>
    <w:p>
      <w:pPr>
        <w:pStyle w:val="null3"/>
      </w:pPr>
      <w:r>
        <w:rPr>
          <w:rFonts w:ascii="仿宋_GB2312" w:hAnsi="仿宋_GB2312" w:cs="仿宋_GB2312" w:eastAsia="仿宋_GB2312"/>
        </w:rPr>
        <w:t>6、没有重大违法记录的书面申明：供应商应具备良好的商业信誉，提供在参加政府采购活动前 3 年内在经营活动中没有重大违法记录的书面申明；</w:t>
      </w:r>
    </w:p>
    <w:p>
      <w:pPr>
        <w:pStyle w:val="null3"/>
      </w:pPr>
      <w:r>
        <w:rPr>
          <w:rFonts w:ascii="仿宋_GB2312" w:hAnsi="仿宋_GB2312" w:cs="仿宋_GB2312" w:eastAsia="仿宋_GB2312"/>
        </w:rPr>
        <w:t>7、专业技术能力的书面声明：供应商具备履行合同所必须的设备和专业技术能力的书面声明；</w:t>
      </w:r>
    </w:p>
    <w:p>
      <w:pPr>
        <w:pStyle w:val="null3"/>
      </w:pPr>
      <w:r>
        <w:rPr>
          <w:rFonts w:ascii="仿宋_GB2312" w:hAnsi="仿宋_GB2312" w:cs="仿宋_GB2312" w:eastAsia="仿宋_GB2312"/>
        </w:rPr>
        <w:t>8、信用查询：供应商不得为信用中国网站(www.creditchina.gov.cn)“记录失信被执行人和重大税收违法案件当事人名单”记录名单；不得为中国政府采购网(www.ccgp.gov.cn)“政府采购严重违法失信行为信息记录”的单位；</w:t>
      </w:r>
    </w:p>
    <w:p>
      <w:pPr>
        <w:pStyle w:val="null3"/>
      </w:pPr>
      <w:r>
        <w:rPr>
          <w:rFonts w:ascii="仿宋_GB2312" w:hAnsi="仿宋_GB2312" w:cs="仿宋_GB2312" w:eastAsia="仿宋_GB2312"/>
        </w:rPr>
        <w:t>9、项目负责人：项目负责人具有环境影响评价工程师职业资格证书;</w:t>
      </w:r>
    </w:p>
    <w:p>
      <w:pPr>
        <w:pStyle w:val="null3"/>
      </w:pPr>
      <w:r>
        <w:rPr>
          <w:rFonts w:ascii="仿宋_GB2312" w:hAnsi="仿宋_GB2312" w:cs="仿宋_GB2312" w:eastAsia="仿宋_GB2312"/>
        </w:rPr>
        <w:t>10、关联关系：单位负责人为同一人或存在直接控股、管理关系的不同单位，不得参加同一项目的政府采购活动；</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渭南经开区新材料产业聚集区管理办公室</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陕西省渭南市蒲城县陈庄镇东鲁村纬二路西段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渭南经开区新材料产业聚集区管理办公室经办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0913-7161011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陕西中宏智博工程项目管理有限公司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西安市雁塔区汇成天玺酒店B座2701室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侯文静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18192515805</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卤阳湖开发区政府采购管理股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刘凯</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18729849137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采购包1：1,094,821.00元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开户名称：陕西中宏智博工程项目管理有限公司</w:t>
            </w:r>
          </w:p>
          <w:p>
            <w:pPr>
              <w:pStyle w:val="null3"/>
            </w:pPr>
            <w:r>
              <w:rPr>
                <w:rFonts w:ascii="仿宋_GB2312" w:hAnsi="仿宋_GB2312" w:cs="仿宋_GB2312" w:eastAsia="仿宋_GB2312"/>
              </w:rPr>
              <w:t>开户银行：中国建设银行股份有限公司西安长安西路支行</w:t>
            </w:r>
          </w:p>
          <w:p>
            <w:pPr>
              <w:pStyle w:val="null3"/>
            </w:pPr>
            <w:r>
              <w:rPr>
                <w:rFonts w:ascii="仿宋_GB2312" w:hAnsi="仿宋_GB2312" w:cs="仿宋_GB2312" w:eastAsia="仿宋_GB2312"/>
              </w:rPr>
              <w:t>银行账号：61050177004300000458</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代理服务费收费标准：根据国家财政部、国家计委、国家物价局(2002)1980号，国家发改委(2003 )857号等文件规定收取，由中标人在领取中标通知书前一次性全额付清。</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渭南经开区新材料产业聚集区管理办公室</w:t>
      </w:r>
      <w:r>
        <w:rPr>
          <w:rFonts w:ascii="仿宋_GB2312" w:hAnsi="仿宋_GB2312" w:cs="仿宋_GB2312" w:eastAsia="仿宋_GB2312"/>
        </w:rPr>
        <w:t>和</w:t>
      </w:r>
      <w:r>
        <w:rPr>
          <w:rFonts w:ascii="仿宋_GB2312" w:hAnsi="仿宋_GB2312" w:cs="仿宋_GB2312" w:eastAsia="仿宋_GB2312"/>
        </w:rPr>
        <w:t>陕西中宏智博工程项目管理有限公司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渭南经开区新材料产业聚集区管理办公室</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陕西中宏智博工程项目管理有限公司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渭南经开区新材料产业聚集区管理办公室</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陕西中宏智博工程项目管理有限公司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按照国家标准及合同要求执行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陕西中宏智博工程项目管理有限公司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陕西中宏智博工程项目管理有限公司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陕西中宏智博工程项目管理有限公司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联系人：侯文静</w:t>
      </w:r>
    </w:p>
    <w:p>
      <w:pPr>
        <w:pStyle w:val="null3"/>
      </w:pPr>
      <w:r>
        <w:rPr>
          <w:rFonts w:ascii="仿宋_GB2312" w:hAnsi="仿宋_GB2312" w:cs="仿宋_GB2312" w:eastAsia="仿宋_GB2312"/>
        </w:rPr>
        <w:t>联系电话：18192515805</w:t>
      </w:r>
    </w:p>
    <w:p>
      <w:pPr>
        <w:pStyle w:val="null3"/>
      </w:pPr>
      <w:r>
        <w:rPr>
          <w:rFonts w:ascii="仿宋_GB2312" w:hAnsi="仿宋_GB2312" w:cs="仿宋_GB2312" w:eastAsia="仿宋_GB2312"/>
        </w:rPr>
        <w:t>地址：西安市雁塔区汇成天玺酒店B座2701室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蒲城高新技术开发区精细化工片区总体发展规划编制环境影响评价项目包括:报告编制费用、环境质量监测(环境空气、地下水、噪声、土壤)、区域污染源调查、生态调查、气象资料、水文地质资料等。根据蒲城高新技术开发区精细化工片区总体发展规划编制环境影响报告书，并通过相关部门审查。</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1,094,821.00</w:t>
      </w:r>
    </w:p>
    <w:p>
      <w:pPr>
        <w:pStyle w:val="null3"/>
      </w:pPr>
      <w:r>
        <w:rPr>
          <w:rFonts w:ascii="仿宋_GB2312" w:hAnsi="仿宋_GB2312" w:cs="仿宋_GB2312" w:eastAsia="仿宋_GB2312"/>
        </w:rPr>
        <w:t>采购包最高限价（元）: 1,094,821.00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蒲城高新技术开发区精细化工片区总体发展规划环境影响评价项目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1,094,821.00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标的名称：蒲城高新技术开发区精细化工片区总体发展规划环境影响评价项目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一、工程概况</w:t>
            </w:r>
          </w:p>
          <w:p>
            <w:pPr>
              <w:pStyle w:val="null3"/>
              <w:spacing w:before="105" w:after="105"/>
              <w:ind w:firstLine="420"/>
              <w:jc w:val="left"/>
            </w:pPr>
            <w:r>
              <w:rPr>
                <w:rFonts w:ascii="仿宋_GB2312" w:hAnsi="仿宋_GB2312" w:cs="仿宋_GB2312" w:eastAsia="仿宋_GB2312"/>
                <w:sz w:val="21"/>
              </w:rPr>
              <w:t>1、项目名称:蒲城高新技术开发区精细化工片区总体发展规划编制环境影响评价项目。</w:t>
            </w:r>
          </w:p>
          <w:p>
            <w:pPr>
              <w:pStyle w:val="null3"/>
              <w:spacing w:before="105" w:after="105"/>
              <w:ind w:firstLine="420"/>
              <w:jc w:val="left"/>
            </w:pPr>
            <w:r>
              <w:rPr>
                <w:rFonts w:ascii="仿宋_GB2312" w:hAnsi="仿宋_GB2312" w:cs="仿宋_GB2312" w:eastAsia="仿宋_GB2312"/>
                <w:sz w:val="21"/>
              </w:rPr>
              <w:t>2、项目内容:蒲城高新技术开发区精细化工片区总体发展规划编制环境影响评价项目包括:报告编制费用、环境质量监测(环境空气、地下水、噪声、土壤)、区域污染源调查、生态调查、气象资料、水文地质资料等。</w:t>
            </w:r>
            <w:r>
              <w:br/>
            </w:r>
            <w:r>
              <w:rPr>
                <w:rFonts w:ascii="仿宋_GB2312" w:hAnsi="仿宋_GB2312" w:cs="仿宋_GB2312" w:eastAsia="仿宋_GB2312"/>
                <w:sz w:val="21"/>
              </w:rPr>
              <w:t>二、服务内容</w:t>
            </w:r>
          </w:p>
          <w:p>
            <w:pPr>
              <w:pStyle w:val="null3"/>
              <w:spacing w:before="105" w:after="105"/>
              <w:ind w:firstLine="420"/>
              <w:jc w:val="left"/>
            </w:pPr>
            <w:r>
              <w:rPr>
                <w:rFonts w:ascii="仿宋_GB2312" w:hAnsi="仿宋_GB2312" w:cs="仿宋_GB2312" w:eastAsia="仿宋_GB2312"/>
                <w:sz w:val="21"/>
              </w:rPr>
              <w:t>1、项目地点：本项目位于蒲城高新技术开发区。</w:t>
            </w:r>
          </w:p>
          <w:p>
            <w:pPr>
              <w:pStyle w:val="null3"/>
              <w:spacing w:before="105" w:after="105"/>
              <w:ind w:firstLine="420"/>
              <w:jc w:val="left"/>
            </w:pPr>
            <w:r>
              <w:rPr>
                <w:rFonts w:ascii="仿宋_GB2312" w:hAnsi="仿宋_GB2312" w:cs="仿宋_GB2312" w:eastAsia="仿宋_GB2312"/>
                <w:sz w:val="21"/>
              </w:rPr>
              <w:t>2、工作内容：根据蒲城高新技术开发区精细化工片区总体发展规划编制环境影响报告书，并通过相关部门审查。</w:t>
            </w:r>
          </w:p>
          <w:p>
            <w:pPr>
              <w:pStyle w:val="null3"/>
              <w:jc w:val="both"/>
            </w:pPr>
            <w:r>
              <w:rPr>
                <w:rFonts w:ascii="仿宋_GB2312" w:hAnsi="仿宋_GB2312" w:cs="仿宋_GB2312" w:eastAsia="仿宋_GB2312"/>
                <w:sz w:val="21"/>
              </w:rPr>
              <w:t>三、技术要求</w:t>
            </w:r>
          </w:p>
          <w:p>
            <w:pPr>
              <w:pStyle w:val="null3"/>
              <w:ind w:firstLine="420"/>
              <w:jc w:val="both"/>
            </w:pPr>
            <w:r>
              <w:rPr>
                <w:rFonts w:ascii="仿宋_GB2312" w:hAnsi="仿宋_GB2312" w:cs="仿宋_GB2312" w:eastAsia="仿宋_GB2312"/>
                <w:sz w:val="21"/>
              </w:rPr>
              <w:t>报告内容完整、数据翔实、结论科学，符合《中华人民共和国环境影响评价法》《规划环境影响评价条例》《规划环境影响评价技术导则总纲》</w:t>
            </w:r>
            <w:r>
              <w:rPr>
                <w:rFonts w:ascii="仿宋_GB2312" w:hAnsi="仿宋_GB2312" w:cs="仿宋_GB2312" w:eastAsia="仿宋_GB2312"/>
                <w:sz w:val="21"/>
              </w:rPr>
              <w:t>(HJ130-2019)等法律法规、技术规范及其他相关环评管理要求。提出的环保措施具有可操作性，确保规划实施后环境质量不降低、生态功能不退化。</w:t>
            </w:r>
          </w:p>
          <w:p>
            <w:pPr>
              <w:pStyle w:val="null3"/>
              <w:jc w:val="both"/>
            </w:pPr>
            <w:r>
              <w:rPr>
                <w:rFonts w:ascii="仿宋_GB2312" w:hAnsi="仿宋_GB2312" w:cs="仿宋_GB2312" w:eastAsia="仿宋_GB2312"/>
                <w:sz w:val="21"/>
              </w:rPr>
              <w:t>四、服务要求</w:t>
            </w:r>
          </w:p>
          <w:p>
            <w:pPr>
              <w:pStyle w:val="null3"/>
              <w:ind w:firstLine="420"/>
              <w:jc w:val="both"/>
            </w:pPr>
            <w:r>
              <w:rPr>
                <w:rFonts w:ascii="仿宋_GB2312" w:hAnsi="仿宋_GB2312" w:cs="仿宋_GB2312" w:eastAsia="仿宋_GB2312"/>
                <w:sz w:val="21"/>
              </w:rPr>
              <w:t>服务标准</w:t>
            </w:r>
            <w:r>
              <w:rPr>
                <w:rFonts w:ascii="仿宋_GB2312" w:hAnsi="仿宋_GB2312" w:cs="仿宋_GB2312" w:eastAsia="仿宋_GB2312"/>
                <w:sz w:val="21"/>
              </w:rPr>
              <w:t>:负责提供规划环境保护相关技术支持与咨询服务,编制《蒲城高新技术开发区精细化工片区总体发展规划编制环境影响报告书》，成果文件满足国家该行业相关标准和合同约定的相关要求，通过环保部门审查并取得审查意见。</w:t>
            </w:r>
          </w:p>
          <w:p>
            <w:pPr>
              <w:pStyle w:val="null3"/>
              <w:spacing w:before="105" w:after="105"/>
              <w:ind w:firstLine="420"/>
              <w:jc w:val="left"/>
            </w:pPr>
            <w:r>
              <w:rPr>
                <w:rFonts w:ascii="仿宋_GB2312" w:hAnsi="仿宋_GB2312" w:cs="仿宋_GB2312" w:eastAsia="仿宋_GB2312"/>
                <w:sz w:val="21"/>
              </w:rPr>
              <w:t>提交成果</w:t>
            </w:r>
            <w:r>
              <w:rPr>
                <w:rFonts w:ascii="仿宋_GB2312" w:hAnsi="仿宋_GB2312" w:cs="仿宋_GB2312" w:eastAsia="仿宋_GB2312"/>
                <w:sz w:val="21"/>
              </w:rPr>
              <w:t>:《蒲城高新技术开发区精细化工片区总体发展规划编制环境影响报告书》及附图附件公众参与说明、专家审查意见、修改说明等相关材料。</w:t>
            </w:r>
          </w:p>
          <w:p>
            <w:pPr>
              <w:pStyle w:val="null3"/>
            </w:pP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提供满足本项目服务需求的人员配置</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提供满足本项目服务需求的设施设备配置</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90日历天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采购人指定的地点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按照国家标准及合同要求执行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合同签订后报告书编制完成后，甲方向乙方支付技术咨询费用</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报告书编制完成，送审生态环境主管部门后，并通过规划环评技术审查，甲方向乙方支付技术咨询费用</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规划环评拿到环境主管部门批复，甲方向乙方支付剩余技术咨询费</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按照国家标准及合同要求执行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投标文件封面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具有独立承担民事责任能力的法人、其他组织或自然人，提供合法有效的统一社会信用代码营业执照(事业单位提供事业单位法人证书，自然人提供身份证明);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法定代表人参加投标的，提供法定代表人身份证明书并出示身份证原件;法定代表人授权他人参加投标的，提供法定代表人授权委托书并出示被授权代表的身份证原件;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审计的财务报告(报告中至少包括报告正文、资产负债表、利润表及现金流量表)(成立时间至提交响应文件截止时间不足一年的可提供成立后任意时段的资产负债表)，或开标前三个月内基本存款账户开户银行出具的资信证明及基本存款账户开户许可证(或基本账户信息表);</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提供近六个月已缴纳任意一个月纳税证明或税务机关开具的完税证明(时间以税款所属日期为准，凭据应有税务机关或代收机关的公章或业务专用章。)依法免税或无须缴纳税收的单位应提供相应证明文件;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提供近六个月已缴存任意一个月社会保障资金缴存单据或社保机构开具的社会保险参保缴费证明，依法不需要缴纳社会保障资金的单位应提供相关证明材料；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没有重大违法记录的书面申明</w:t>
            </w:r>
          </w:p>
        </w:tc>
        <w:tc>
          <w:tcPr>
            <w:tcW w:type="dxa" w:w="3322"/>
          </w:tcPr>
          <w:p>
            <w:pPr>
              <w:pStyle w:val="null3"/>
            </w:pPr>
            <w:r>
              <w:rPr>
                <w:rFonts w:ascii="仿宋_GB2312" w:hAnsi="仿宋_GB2312" w:cs="仿宋_GB2312" w:eastAsia="仿宋_GB2312"/>
              </w:rPr>
              <w:t>供应商应具备良好的商业信誉，提供在参加政府采购活动前 3 年内在经营活动中没有重大违法记录的书面申明；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专业技术能力的书面声明</w:t>
            </w:r>
          </w:p>
        </w:tc>
        <w:tc>
          <w:tcPr>
            <w:tcW w:type="dxa" w:w="3322"/>
          </w:tcPr>
          <w:p>
            <w:pPr>
              <w:pStyle w:val="null3"/>
            </w:pPr>
            <w:r>
              <w:rPr>
                <w:rFonts w:ascii="仿宋_GB2312" w:hAnsi="仿宋_GB2312" w:cs="仿宋_GB2312" w:eastAsia="仿宋_GB2312"/>
              </w:rPr>
              <w:t>供应商具备履行合同所必须的设备和专业技术能力的书面声明；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供应商不得为信用中国网站(www.creditchina.gov.cn)“记录失信被执行人和重大税收违法案件当事人名单”记录名单；不得为中国政府采购网(www.ccgp.gov.cn)“政府采购严重违法失信行为信息记录”的单位；</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项目负责人具有环境影响评价工程师职业资格证书;</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关联关系</w:t>
            </w:r>
          </w:p>
        </w:tc>
        <w:tc>
          <w:tcPr>
            <w:tcW w:type="dxa" w:w="3322"/>
          </w:tcPr>
          <w:p>
            <w:pPr>
              <w:pStyle w:val="null3"/>
            </w:pPr>
            <w:r>
              <w:rPr>
                <w:rFonts w:ascii="仿宋_GB2312" w:hAnsi="仿宋_GB2312" w:cs="仿宋_GB2312" w:eastAsia="仿宋_GB2312"/>
              </w:rPr>
              <w:t>单位负责人为同一人或存在直接控股、管理关系的不同单位，不得参加同一项目的政府采购活动；</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 投标人应提交的相关资格证明材料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至少以下三处的项目名称、项目编号与本项目完全一致： （1）投标文件封面 （2）投标函 （3）法定代表人（单位负责人）身份证明\法定代表人（单位负责人）委托授权书</w:t>
            </w:r>
          </w:p>
        </w:tc>
        <w:tc>
          <w:tcPr>
            <w:tcW w:type="dxa" w:w="1661"/>
          </w:tcPr>
          <w:p>
            <w:pPr>
              <w:pStyle w:val="null3"/>
            </w:pPr>
            <w:r>
              <w:rPr>
                <w:rFonts w:ascii="仿宋_GB2312" w:hAnsi="仿宋_GB2312" w:cs="仿宋_GB2312" w:eastAsia="仿宋_GB2312"/>
              </w:rPr>
              <w:t>投标函 投标文件封面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应符合“投标文件格式”要求。</w:t>
            </w:r>
          </w:p>
        </w:tc>
        <w:tc>
          <w:tcPr>
            <w:tcW w:type="dxa" w:w="1661"/>
          </w:tcPr>
          <w:p>
            <w:pPr>
              <w:pStyle w:val="null3"/>
            </w:pPr>
            <w:r>
              <w:rPr>
                <w:rFonts w:ascii="仿宋_GB2312" w:hAnsi="仿宋_GB2312" w:cs="仿宋_GB2312" w:eastAsia="仿宋_GB2312"/>
              </w:rPr>
              <w:t>服务方案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应符合招标文件要求。</w:t>
            </w:r>
          </w:p>
        </w:tc>
        <w:tc>
          <w:tcPr>
            <w:tcW w:type="dxa" w:w="1661"/>
          </w:tcPr>
          <w:p>
            <w:pPr>
              <w:pStyle w:val="null3"/>
            </w:pPr>
            <w:r>
              <w:rPr>
                <w:rFonts w:ascii="仿宋_GB2312" w:hAnsi="仿宋_GB2312" w:cs="仿宋_GB2312" w:eastAsia="仿宋_GB2312"/>
              </w:rPr>
              <w:t>开标一览表 服务内容及服务邀请应答表 投标函 中小企业声明函 残疾人福利性单位声明函 商务应答表 服务方案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投标文件报价</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开标一览表 投标函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完全响应招标文件要求的实质性条款，实质性条款须在采购文件中特别说明。</w:t>
            </w:r>
          </w:p>
        </w:tc>
        <w:tc>
          <w:tcPr>
            <w:tcW w:type="dxa" w:w="1661"/>
          </w:tcPr>
          <w:p>
            <w:pPr>
              <w:pStyle w:val="null3"/>
            </w:pPr>
            <w:r>
              <w:rPr>
                <w:rFonts w:ascii="仿宋_GB2312" w:hAnsi="仿宋_GB2312" w:cs="仿宋_GB2312" w:eastAsia="仿宋_GB2312"/>
              </w:rPr>
              <w:t>开标一览表 服务内容及服务邀请应答表 投标函 中小企业声明函 残疾人福利性单位声明函 商务应答表 服务方案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完全理解并响应采购文件合同条款的要求，且未含有采购人不能接受的附加条件的。</w:t>
            </w:r>
          </w:p>
        </w:tc>
        <w:tc>
          <w:tcPr>
            <w:tcW w:type="dxa" w:w="1661"/>
          </w:tcPr>
          <w:p>
            <w:pPr>
              <w:pStyle w:val="null3"/>
            </w:pPr>
            <w:r>
              <w:rPr>
                <w:rFonts w:ascii="仿宋_GB2312" w:hAnsi="仿宋_GB2312" w:cs="仿宋_GB2312" w:eastAsia="仿宋_GB2312"/>
              </w:rPr>
              <w:t>商务应答表 投标文件封面</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应满足招标文件中要求的服务期限。</w:t>
            </w:r>
          </w:p>
        </w:tc>
        <w:tc>
          <w:tcPr>
            <w:tcW w:type="dxa" w:w="1661"/>
          </w:tcPr>
          <w:p>
            <w:pPr>
              <w:pStyle w:val="null3"/>
            </w:pPr>
            <w:r>
              <w:rPr>
                <w:rFonts w:ascii="仿宋_GB2312" w:hAnsi="仿宋_GB2312" w:cs="仿宋_GB2312" w:eastAsia="仿宋_GB2312"/>
              </w:rPr>
              <w:t>服务内容及服务邀请应答表 商务应答表 投标文件封面</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完全理解并接受法律法规和采购文件对供应商合法经营的各类规约和责任义务要求，没有出现法律法规或采购文件规定的其他无效情形。</w:t>
            </w:r>
          </w:p>
        </w:tc>
        <w:tc>
          <w:tcPr>
            <w:tcW w:type="dxa" w:w="1661"/>
          </w:tcPr>
          <w:p>
            <w:pPr>
              <w:pStyle w:val="null3"/>
            </w:pPr>
            <w:r>
              <w:rPr>
                <w:rFonts w:ascii="仿宋_GB2312" w:hAnsi="仿宋_GB2312" w:cs="仿宋_GB2312" w:eastAsia="仿宋_GB2312"/>
              </w:rPr>
              <w:t>开标一览表 服务内容及服务邀请应答表 投标函 中小企业声明函 残疾人福利性单位声明函 商务应答表 服务方案 标的清单 投标文件封面 监狱企业的证明文件 投标人应提交的相关资格证明材料</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w:t>
            </w:r>
          </w:p>
        </w:tc>
        <w:tc>
          <w:tcPr>
            <w:tcW w:type="dxa" w:w="2492"/>
          </w:tcPr>
          <w:p>
            <w:pPr>
              <w:pStyle w:val="null3"/>
            </w:pPr>
            <w:r>
              <w:rPr>
                <w:rFonts w:ascii="仿宋_GB2312" w:hAnsi="仿宋_GB2312" w:cs="仿宋_GB2312" w:eastAsia="仿宋_GB2312"/>
              </w:rPr>
              <w:t>从项目的实施背景、工作目的、目标理解进行编制。 ①内容符合本项目实际情况及实施要求，内容详尽，合理性和可行性强的得 6 分； ②内容基本符合本项目实际情况及实施要求，基本合理、可行的得 4 分； ③内容简单，针对性及可行性均较差的得 2 分； ④未提供的得 0 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1.前期准备；2.问题分析；3.报告编制；4.形成成果（每小项 5 分，满分 20 分） ①实施方案内容完整全面、无漏项，专业性、可操作强得 5 分； ②实施方案内容不够周全，无缺漏项，专业性、可操作性可行性一般得 3 分； ③实施方案内容不全，有明显漏项，专业性、可操作可行性差得 1 分； ④未提供的得 0 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进度控制措施</w:t>
            </w:r>
          </w:p>
        </w:tc>
        <w:tc>
          <w:tcPr>
            <w:tcW w:type="dxa" w:w="2492"/>
          </w:tcPr>
          <w:p>
            <w:pPr>
              <w:pStyle w:val="null3"/>
            </w:pPr>
            <w:r>
              <w:rPr>
                <w:rFonts w:ascii="仿宋_GB2312" w:hAnsi="仿宋_GB2312" w:cs="仿宋_GB2312" w:eastAsia="仿宋_GB2312"/>
              </w:rPr>
              <w:t>1.进度保障措施；2.工作进度计划。（每小项 5 分，满分 10 分） ①服务进度保障体系完整，节点细节详细得 5 分； ②服务进度保障体系基本完整，节点细节一般得 3分； ③服务进度保障体系较差，节点细节不清晰得 1 分； ④未提供的得 0 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服务质量保障措施</w:t>
            </w:r>
          </w:p>
        </w:tc>
        <w:tc>
          <w:tcPr>
            <w:tcW w:type="dxa" w:w="2492"/>
          </w:tcPr>
          <w:p>
            <w:pPr>
              <w:pStyle w:val="null3"/>
            </w:pPr>
            <w:r>
              <w:rPr>
                <w:rFonts w:ascii="仿宋_GB2312" w:hAnsi="仿宋_GB2312" w:cs="仿宋_GB2312" w:eastAsia="仿宋_GB2312"/>
              </w:rPr>
              <w:t>1.质量保证措施；2.质量保障体系；3.内部管控流程。（每小项 5 分，满分 15 分） ①质量保障体系完整、措施切实可行得 5 分； ②质量保障体系较完整、措施一般得 3 分； ③质量保障体系及措施较差得 1 分； ④未提供的得 0 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项目负责人具有相关高级及以上职称得 4 分，中级职称得 2 分，以证书复印件为准，没有不得分。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人员团队</w:t>
            </w:r>
          </w:p>
        </w:tc>
        <w:tc>
          <w:tcPr>
            <w:tcW w:type="dxa" w:w="2492"/>
          </w:tcPr>
          <w:p>
            <w:pPr>
              <w:pStyle w:val="null3"/>
            </w:pPr>
            <w:r>
              <w:rPr>
                <w:rFonts w:ascii="仿宋_GB2312" w:hAnsi="仿宋_GB2312" w:cs="仿宋_GB2312" w:eastAsia="仿宋_GB2312"/>
              </w:rPr>
              <w:t>1.拟派团队配备方案；2.团队人员管理制度。（每小项 6 分，满分 12 分） ①拟投入本项目人员数量充足，专业人员配置齐全、针对性强、分工明确，能够满足采购人项目需求的得 6分； ②人员配备数量一般，专业人员配备能够基本满足项目实施需要，分工有一定的合理性，基本能满足项目需求的得 3 分； ③人员配备数量较少，专业人员配备不齐全的得 1分； ④未提供的得 0 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1.服务保证及工作效率承诺；2.无条件修改调整方案承诺。（每小项 5 分，满分 10 分） ①服务承诺内容详尽、描述清晰得 5 分； ②服务承诺内容完整、有基本描述得 3 分； ③服务承诺内容简单、无详细描述得 1 分； ④未提供的得 0 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①针对本项目的合理化建议专业、全面、切实可行得 3 分； ②合理化建议基本满足本项目要求的得 2 分； ③合理化建议不符合本项目要求的得 1 分； ④未提供的得 0 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 2023 年 1 月起至今类似项目业绩（以合同为准）每提供一份得 2 分，满分 10 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价格分统一采用低价优先法计算，即满足招标文件要求且投标价格最低的投标报价为投标基准价，其价格 分为满分。其他供应商的价格分统一按照下列公式计算： 投标报价得分=(投标基准价／投标报价)×10 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详见附件：技术服务合同.docx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