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6B0E7">
      <w:pPr>
        <w:pStyle w:val="2"/>
        <w:spacing w:before="0" w:after="312" w:afterLines="100" w:line="360" w:lineRule="auto"/>
        <w:jc w:val="center"/>
        <w:rPr>
          <w:rFonts w:ascii="宋体" w:hAnsi="宋体" w:cs="宋体"/>
        </w:rPr>
      </w:pPr>
      <w:r>
        <w:rPr>
          <w:rFonts w:hint="eastAsia" w:ascii="宋体" w:hAnsi="宋体" w:cs="宋体"/>
        </w:rPr>
        <w:t>合同条款及格式</w:t>
      </w:r>
    </w:p>
    <w:p w14:paraId="720C3B8F">
      <w:pPr>
        <w:spacing w:line="360" w:lineRule="auto"/>
        <w:jc w:val="center"/>
        <w:rPr>
          <w:rFonts w:ascii="宋体" w:hAnsi="宋体" w:cs="宋体"/>
          <w:b/>
          <w:sz w:val="44"/>
          <w:szCs w:val="44"/>
        </w:rPr>
      </w:pPr>
    </w:p>
    <w:p w14:paraId="2E867765">
      <w:pPr>
        <w:spacing w:line="360" w:lineRule="auto"/>
        <w:jc w:val="center"/>
        <w:rPr>
          <w:rFonts w:ascii="宋体" w:hAnsi="宋体" w:cs="宋体"/>
        </w:rPr>
      </w:pPr>
      <w:r>
        <w:rPr>
          <w:rFonts w:hint="eastAsia" w:ascii="宋体" w:hAnsi="宋体" w:eastAsia="宋体" w:cs="宋体"/>
          <w:b/>
          <w:bCs/>
          <w:kern w:val="44"/>
          <w:sz w:val="48"/>
          <w:szCs w:val="48"/>
        </w:rPr>
        <w:t>2026年食品安全检验检测</w:t>
      </w:r>
    </w:p>
    <w:p w14:paraId="48A808D1">
      <w:pPr>
        <w:adjustRightInd w:val="0"/>
        <w:snapToGrid w:val="0"/>
        <w:spacing w:line="360" w:lineRule="auto"/>
        <w:jc w:val="center"/>
        <w:rPr>
          <w:rFonts w:ascii="宋体" w:hAnsi="宋体" w:cs="宋体"/>
          <w:b/>
          <w:bCs/>
          <w:sz w:val="36"/>
          <w:szCs w:val="36"/>
        </w:rPr>
      </w:pPr>
    </w:p>
    <w:p w14:paraId="668DF4EE">
      <w:pPr>
        <w:adjustRightInd w:val="0"/>
        <w:snapToGrid w:val="0"/>
        <w:spacing w:line="360" w:lineRule="auto"/>
        <w:jc w:val="center"/>
        <w:rPr>
          <w:rFonts w:ascii="宋体" w:hAnsi="宋体" w:cs="宋体"/>
          <w:b/>
          <w:bCs/>
          <w:sz w:val="36"/>
          <w:szCs w:val="36"/>
        </w:rPr>
      </w:pPr>
    </w:p>
    <w:p w14:paraId="1C5F9A17">
      <w:pPr>
        <w:adjustRightInd w:val="0"/>
        <w:snapToGrid w:val="0"/>
        <w:spacing w:line="360" w:lineRule="auto"/>
        <w:jc w:val="center"/>
        <w:rPr>
          <w:rFonts w:ascii="宋体" w:hAnsi="宋体" w:cs="宋体"/>
          <w:b/>
          <w:bCs/>
          <w:sz w:val="36"/>
          <w:szCs w:val="36"/>
        </w:rPr>
      </w:pPr>
    </w:p>
    <w:p w14:paraId="6ED70B99">
      <w:pPr>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t>（示范文本，最终已签订为准）</w:t>
      </w:r>
    </w:p>
    <w:p w14:paraId="288F6C9F">
      <w:pPr>
        <w:spacing w:line="360" w:lineRule="auto"/>
        <w:ind w:firstLine="480"/>
        <w:rPr>
          <w:rFonts w:ascii="宋体" w:hAnsi="宋体" w:cs="宋体"/>
        </w:rPr>
      </w:pPr>
    </w:p>
    <w:p w14:paraId="059B6063">
      <w:pPr>
        <w:spacing w:line="360" w:lineRule="auto"/>
        <w:ind w:firstLine="480"/>
        <w:rPr>
          <w:rFonts w:ascii="宋体" w:hAnsi="宋体" w:cs="宋体"/>
        </w:rPr>
      </w:pPr>
    </w:p>
    <w:p w14:paraId="0DBD2F99">
      <w:pPr>
        <w:spacing w:line="360" w:lineRule="auto"/>
        <w:ind w:firstLine="480"/>
        <w:rPr>
          <w:rFonts w:ascii="宋体" w:hAnsi="宋体" w:cs="宋体"/>
        </w:rPr>
      </w:pPr>
    </w:p>
    <w:p w14:paraId="2F5E7D70">
      <w:pPr>
        <w:spacing w:line="360" w:lineRule="auto"/>
        <w:ind w:firstLine="480"/>
        <w:rPr>
          <w:rFonts w:ascii="宋体" w:hAnsi="宋体" w:cs="宋体"/>
        </w:rPr>
      </w:pPr>
    </w:p>
    <w:p w14:paraId="000D6F9C">
      <w:pPr>
        <w:pStyle w:val="4"/>
        <w:spacing w:line="360" w:lineRule="auto"/>
        <w:rPr>
          <w:rFonts w:ascii="宋体" w:hAnsi="宋体" w:cs="宋体"/>
        </w:rPr>
      </w:pPr>
    </w:p>
    <w:p w14:paraId="37416ACA">
      <w:pPr>
        <w:spacing w:line="360" w:lineRule="auto"/>
        <w:rPr>
          <w:rFonts w:ascii="宋体" w:hAnsi="宋体" w:cs="宋体"/>
        </w:rPr>
      </w:pPr>
    </w:p>
    <w:p w14:paraId="72516257">
      <w:pPr>
        <w:spacing w:line="360" w:lineRule="auto"/>
        <w:rPr>
          <w:rFonts w:ascii="宋体" w:hAnsi="宋体" w:cs="宋体"/>
        </w:rPr>
      </w:pPr>
    </w:p>
    <w:p w14:paraId="3D78B607">
      <w:pPr>
        <w:pStyle w:val="4"/>
        <w:spacing w:line="360" w:lineRule="auto"/>
        <w:rPr>
          <w:rFonts w:ascii="宋体" w:hAnsi="宋体" w:cs="宋体"/>
        </w:rPr>
      </w:pPr>
    </w:p>
    <w:p w14:paraId="2E95FA7C">
      <w:pPr>
        <w:spacing w:line="360" w:lineRule="auto"/>
        <w:rPr>
          <w:rFonts w:ascii="宋体" w:hAnsi="宋体" w:cs="宋体"/>
        </w:rPr>
      </w:pPr>
    </w:p>
    <w:p w14:paraId="3EC7F06D">
      <w:pPr>
        <w:spacing w:line="360" w:lineRule="auto"/>
        <w:rPr>
          <w:rFonts w:ascii="宋体" w:hAnsi="宋体" w:cs="宋体"/>
        </w:rPr>
      </w:pPr>
    </w:p>
    <w:p w14:paraId="4904305B">
      <w:pPr>
        <w:spacing w:line="360" w:lineRule="auto"/>
        <w:ind w:firstLine="964" w:firstLineChars="300"/>
        <w:jc w:val="left"/>
        <w:rPr>
          <w:rFonts w:ascii="宋体" w:hAnsi="宋体" w:cs="宋体"/>
          <w:b/>
          <w:kern w:val="0"/>
          <w:sz w:val="32"/>
          <w:szCs w:val="32"/>
          <w:u w:val="single"/>
        </w:rPr>
      </w:pPr>
      <w:r>
        <w:rPr>
          <w:rFonts w:hint="eastAsia" w:ascii="宋体" w:hAnsi="宋体" w:cs="宋体"/>
          <w:b/>
          <w:kern w:val="0"/>
          <w:sz w:val="32"/>
          <w:szCs w:val="32"/>
        </w:rPr>
        <w:t>甲方：</w:t>
      </w:r>
      <w:r>
        <w:rPr>
          <w:rFonts w:hint="eastAsia" w:ascii="宋体" w:hAnsi="宋体" w:cs="宋体"/>
          <w:b/>
          <w:kern w:val="0"/>
          <w:sz w:val="32"/>
          <w:szCs w:val="32"/>
          <w:u w:val="single"/>
        </w:rPr>
        <w:t xml:space="preserve">                              </w:t>
      </w:r>
    </w:p>
    <w:p w14:paraId="1304EE39">
      <w:pPr>
        <w:spacing w:line="360" w:lineRule="auto"/>
        <w:ind w:firstLine="964" w:firstLineChars="300"/>
        <w:jc w:val="left"/>
        <w:rPr>
          <w:rFonts w:ascii="宋体" w:hAnsi="宋体" w:cs="宋体"/>
          <w:b/>
          <w:kern w:val="0"/>
          <w:sz w:val="32"/>
          <w:szCs w:val="32"/>
        </w:rPr>
      </w:pPr>
      <w:r>
        <w:rPr>
          <w:rFonts w:hint="eastAsia" w:ascii="宋体" w:hAnsi="宋体" w:cs="宋体"/>
          <w:b/>
          <w:kern w:val="0"/>
          <w:sz w:val="32"/>
          <w:szCs w:val="32"/>
        </w:rPr>
        <w:t>乙方：</w:t>
      </w:r>
      <w:r>
        <w:rPr>
          <w:rFonts w:hint="eastAsia" w:ascii="宋体" w:hAnsi="宋体" w:cs="宋体"/>
          <w:b/>
          <w:kern w:val="0"/>
          <w:sz w:val="32"/>
          <w:szCs w:val="32"/>
          <w:u w:val="single"/>
        </w:rPr>
        <w:t xml:space="preserve">                              </w:t>
      </w:r>
    </w:p>
    <w:p w14:paraId="26685FC1">
      <w:pPr>
        <w:spacing w:line="360" w:lineRule="auto"/>
        <w:jc w:val="center"/>
        <w:rPr>
          <w:rFonts w:ascii="宋体" w:hAnsi="宋体" w:cs="宋体"/>
          <w:b/>
          <w:kern w:val="0"/>
          <w:sz w:val="32"/>
          <w:szCs w:val="32"/>
        </w:rPr>
      </w:pPr>
      <w:r>
        <w:rPr>
          <w:rFonts w:hint="eastAsia" w:ascii="宋体" w:hAnsi="宋体" w:cs="宋体"/>
          <w:b/>
          <w:kern w:val="0"/>
          <w:sz w:val="32"/>
          <w:szCs w:val="32"/>
        </w:rPr>
        <w:t>二〇二</w:t>
      </w:r>
      <w:r>
        <w:rPr>
          <w:rFonts w:hint="eastAsia" w:ascii="宋体" w:hAnsi="宋体" w:cs="宋体"/>
          <w:b/>
          <w:kern w:val="0"/>
          <w:sz w:val="32"/>
          <w:szCs w:val="32"/>
          <w:lang w:val="en-US" w:eastAsia="zh-CN"/>
        </w:rPr>
        <w:t>六</w:t>
      </w:r>
      <w:r>
        <w:rPr>
          <w:rFonts w:hint="eastAsia" w:ascii="宋体" w:hAnsi="宋体" w:cs="宋体"/>
          <w:b/>
          <w:kern w:val="0"/>
          <w:sz w:val="32"/>
          <w:szCs w:val="32"/>
        </w:rPr>
        <w:t>年</w:t>
      </w:r>
      <w:r>
        <w:rPr>
          <w:rFonts w:hint="eastAsia" w:ascii="宋体" w:hAnsi="宋体" w:cs="宋体"/>
          <w:b/>
          <w:kern w:val="0"/>
          <w:sz w:val="32"/>
          <w:szCs w:val="32"/>
          <w:u w:val="single"/>
        </w:rPr>
        <w:t xml:space="preserve">   </w:t>
      </w:r>
      <w:r>
        <w:rPr>
          <w:rFonts w:hint="eastAsia" w:ascii="宋体" w:hAnsi="宋体" w:cs="宋体"/>
          <w:b/>
          <w:kern w:val="0"/>
          <w:sz w:val="32"/>
          <w:szCs w:val="32"/>
        </w:rPr>
        <w:t>月</w:t>
      </w:r>
    </w:p>
    <w:p w14:paraId="57C9F569">
      <w:pPr>
        <w:jc w:val="center"/>
        <w:rPr>
          <w:rFonts w:ascii="宋体" w:hAnsi="宋体" w:eastAsia="宋体" w:cs="宋体"/>
        </w:rPr>
      </w:pPr>
    </w:p>
    <w:p w14:paraId="2A6D5D99">
      <w:pPr>
        <w:pStyle w:val="4"/>
        <w:jc w:val="center"/>
        <w:rPr>
          <w:rFonts w:ascii="宋体" w:hAnsi="宋体" w:eastAsia="宋体" w:cs="宋体"/>
        </w:rPr>
        <w:sectPr>
          <w:pgSz w:w="11906" w:h="16838"/>
          <w:pgMar w:top="1440" w:right="1576" w:bottom="1440" w:left="1576" w:header="851" w:footer="992" w:gutter="0"/>
          <w:pgNumType w:fmt="decimal"/>
          <w:cols w:space="425" w:num="1"/>
          <w:docGrid w:type="lines" w:linePitch="312" w:charSpace="0"/>
        </w:sectPr>
      </w:pPr>
    </w:p>
    <w:p w14:paraId="0A1CF474">
      <w:pPr>
        <w:autoSpaceDE w:val="0"/>
        <w:autoSpaceDN w:val="0"/>
        <w:adjustRightInd w:val="0"/>
        <w:snapToGrid w:val="0"/>
        <w:spacing w:line="360" w:lineRule="auto"/>
        <w:ind w:firstLine="480" w:firstLineChars="200"/>
        <w:rPr>
          <w:rFonts w:ascii="宋体" w:hAnsi="宋体" w:eastAsia="宋体" w:cs="宋体"/>
          <w:bCs/>
          <w:sz w:val="24"/>
          <w:szCs w:val="24"/>
        </w:rPr>
      </w:pPr>
    </w:p>
    <w:p w14:paraId="7665D88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甲方（采购人）：</w:t>
      </w:r>
      <w:r>
        <w:rPr>
          <w:rFonts w:hint="eastAsia" w:ascii="宋体" w:hAnsi="宋体" w:eastAsia="宋体" w:cs="宋体"/>
          <w:bCs/>
          <w:sz w:val="24"/>
          <w:szCs w:val="24"/>
          <w:u w:val="single"/>
        </w:rPr>
        <w:t xml:space="preserve">                                  </w:t>
      </w:r>
    </w:p>
    <w:p w14:paraId="6F15B53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乙方（供应商）：</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6ACB1B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依据《中华人民共和国民法典》和《中华人民共和国政府采购法》，经双方在平等、自愿、互利的基础上，签订本合同，共同信守。</w:t>
      </w:r>
    </w:p>
    <w:p w14:paraId="01C866A2">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一、项目概况</w:t>
      </w:r>
    </w:p>
    <w:p w14:paraId="7EA353A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p>
    <w:p w14:paraId="4150527D">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2.合同履</w:t>
      </w:r>
      <w:r>
        <w:rPr>
          <w:rFonts w:hint="eastAsia" w:ascii="宋体" w:hAnsi="宋体" w:eastAsia="宋体" w:cs="宋体"/>
          <w:sz w:val="24"/>
          <w:szCs w:val="24"/>
          <w:lang w:eastAsia="zh-CN"/>
        </w:rPr>
        <w:t>行</w:t>
      </w:r>
      <w:r>
        <w:rPr>
          <w:rFonts w:hint="eastAsia" w:ascii="宋体" w:hAnsi="宋体" w:eastAsia="宋体" w:cs="宋体"/>
          <w:sz w:val="24"/>
          <w:szCs w:val="24"/>
        </w:rPr>
        <w:t>期限：</w:t>
      </w:r>
      <w:r>
        <w:rPr>
          <w:rFonts w:hint="eastAsia" w:ascii="宋体" w:hAnsi="宋体" w:eastAsia="宋体" w:cs="宋体"/>
          <w:bCs/>
          <w:sz w:val="24"/>
          <w:szCs w:val="24"/>
          <w:u w:val="single"/>
        </w:rPr>
        <w:t xml:space="preserve">                                    </w:t>
      </w:r>
    </w:p>
    <w:p w14:paraId="27F9BD50">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3.项目地点：</w:t>
      </w:r>
      <w:r>
        <w:rPr>
          <w:rFonts w:hint="eastAsia" w:ascii="宋体" w:hAnsi="宋体" w:eastAsia="宋体" w:cs="宋体"/>
          <w:sz w:val="24"/>
          <w:szCs w:val="24"/>
          <w:u w:val="single"/>
        </w:rPr>
        <w:t xml:space="preserve">                                        </w:t>
      </w:r>
    </w:p>
    <w:p w14:paraId="2F5BAD2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二、合同价款</w:t>
      </w:r>
    </w:p>
    <w:p w14:paraId="42EE44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（一）</w:t>
      </w:r>
      <w:r>
        <w:rPr>
          <w:rFonts w:hint="eastAsia" w:ascii="宋体" w:hAnsi="宋体" w:eastAsia="宋体" w:cs="宋体"/>
          <w:bCs/>
          <w:sz w:val="24"/>
          <w:szCs w:val="24"/>
        </w:rPr>
        <w:t>合同价款为人民币（大写）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3D238D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（二）</w:t>
      </w:r>
      <w:r>
        <w:rPr>
          <w:rFonts w:hint="eastAsia" w:ascii="宋体" w:hAnsi="宋体" w:eastAsia="宋体" w:cs="宋体"/>
          <w:bCs/>
          <w:sz w:val="24"/>
          <w:szCs w:val="24"/>
        </w:rPr>
        <w:t>固定总价合同，固定</w:t>
      </w:r>
      <w:r>
        <w:rPr>
          <w:rFonts w:hint="eastAsia" w:ascii="宋体" w:hAnsi="宋体" w:eastAsia="宋体" w:cs="宋体"/>
          <w:sz w:val="24"/>
          <w:szCs w:val="24"/>
        </w:rPr>
        <w:t>总价合同是指本次</w:t>
      </w:r>
      <w:r>
        <w:rPr>
          <w:rFonts w:hint="eastAsia" w:ascii="宋体" w:hAnsi="宋体" w:eastAsia="宋体" w:cs="宋体"/>
          <w:sz w:val="24"/>
          <w:szCs w:val="24"/>
          <w:lang w:val="zh-CN"/>
        </w:rPr>
        <w:t>服务内容所需的全部费用,</w:t>
      </w:r>
      <w:r>
        <w:rPr>
          <w:rFonts w:hint="eastAsia" w:ascii="宋体" w:hAnsi="宋体" w:eastAsia="宋体" w:cs="宋体"/>
          <w:sz w:val="24"/>
          <w:szCs w:val="24"/>
        </w:rPr>
        <w:t>包括但不限于</w:t>
      </w:r>
      <w:r>
        <w:rPr>
          <w:rFonts w:hint="eastAsia" w:ascii="宋体" w:hAnsi="宋体" w:eastAsia="宋体" w:cs="宋体"/>
          <w:sz w:val="24"/>
          <w:szCs w:val="24"/>
          <w:lang w:val="zh-CN"/>
        </w:rPr>
        <w:t>管理费、利润、风险、各种税金等一切费用</w:t>
      </w:r>
      <w:r>
        <w:rPr>
          <w:rFonts w:hint="eastAsia" w:ascii="宋体" w:hAnsi="宋体" w:eastAsia="宋体" w:cs="宋体"/>
          <w:bCs/>
          <w:sz w:val="24"/>
          <w:szCs w:val="24"/>
        </w:rPr>
        <w:t>。</w:t>
      </w:r>
    </w:p>
    <w:p w14:paraId="62CE34F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（三）合同价款一次性包死，不受市场价格变化因素的影响。</w:t>
      </w:r>
    </w:p>
    <w:p w14:paraId="127301E9">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三、款项结算</w:t>
      </w:r>
    </w:p>
    <w:p w14:paraId="5D48D3D8">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（一）支付方式：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3594729">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（二）结算方式：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01E684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（三）结算单位：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23E520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四、内容及要求</w:t>
      </w:r>
    </w:p>
    <w:p w14:paraId="203FCA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 xml:space="preserve">即交付的服务内容与响应文件、磋商文件等所指明的，或者与本合同所指明的服务内容相一致。（附清单） </w:t>
      </w:r>
    </w:p>
    <w:p w14:paraId="16B28A75">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五、双方的权利和义务</w:t>
      </w:r>
    </w:p>
    <w:p w14:paraId="2107DCD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（一）甲方的权利与义务</w:t>
      </w:r>
    </w:p>
    <w:p w14:paraId="581999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（1）甲方负责配合本次项目服务工作；（2）甲方应按本合同的约定向乙方支付合同价款；（3）甲方有权对乙方的工作进行监督和考核；（4）甲方安排的有利于本项目实施的其他事项。</w:t>
      </w:r>
    </w:p>
    <w:p w14:paraId="12B04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（二）乙方的权利与义务</w:t>
      </w:r>
    </w:p>
    <w:p w14:paraId="41277AB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乙方的工作人员必须严格遵守甲方的规章制度，以良好的形象和积极的工作态度，按甲方要求开展工作；（2）乙方应服从甲方统筹管理并按流程开展工作；（3）乙方保证安排的相关人员需按照指定时间到达指定地点进行服务，乙方在活动时间内不得迟到早退，如有特殊情况，必须事先通知并征得甲方同意；（4）乙方提交的方案等应得到甲方确认再予以实施；（5）乙方在服务期间发布的任何涉及有关甲方的相关信息，需经甲方确认无误后方可发布；（6）乙方负责解决所需要的工作条件及相应的工作配合，甲方有义务提供必要的便利条件。</w:t>
      </w:r>
    </w:p>
    <w:p w14:paraId="2178FB67">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六、服务质量保证</w:t>
      </w:r>
    </w:p>
    <w:p w14:paraId="36F9D91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176B4E7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6327F5F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12D6E3B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（四）乙方需建立高效的服务团队，项目团队组成合理。</w:t>
      </w:r>
    </w:p>
    <w:p w14:paraId="4700526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1EC82623">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七、知识产权</w:t>
      </w:r>
    </w:p>
    <w:p w14:paraId="60896F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（一）本项目知识产权归乙方所有。</w:t>
      </w:r>
    </w:p>
    <w:p w14:paraId="4D166E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（二）乙方无论出于任何目的如</w:t>
      </w:r>
      <w:bookmarkStart w:id="0" w:name="_GoBack"/>
      <w:bookmarkEnd w:id="0"/>
      <w:r>
        <w:rPr>
          <w:rFonts w:hint="eastAsia" w:ascii="宋体" w:hAnsi="宋体" w:eastAsia="宋体" w:cs="宋体"/>
          <w:sz w:val="24"/>
          <w:szCs w:val="24"/>
        </w:rPr>
        <w:t xml:space="preserve">在其他地方使用该成果，必须经甲方同意方可使用。否则，贵甲方有权要求终止涉及到该中标知识产权的任何使用活动并保留追究卖方相应的法律责任的权利。 </w:t>
      </w:r>
    </w:p>
    <w:p w14:paraId="130766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（三）乙方为执行本合同而提供的技术资料使用权归甲方所有。</w:t>
      </w:r>
    </w:p>
    <w:p w14:paraId="393953C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八、保密规定</w:t>
      </w:r>
    </w:p>
    <w:p w14:paraId="40A4895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3E099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九、其他事项</w:t>
      </w:r>
    </w:p>
    <w:p w14:paraId="338088F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（一）合同执行中发生争议的，当事人双方应协商解决，协商达不成一致时，双方同意向采购人所在地仲裁委员会申请仲裁或向采购人所在地人民法院提请诉讼。   </w:t>
      </w:r>
    </w:p>
    <w:p w14:paraId="201AE97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十、验收</w:t>
      </w:r>
    </w:p>
    <w:p w14:paraId="52250B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（一）本项目验收费用，由乙方自行承担。</w:t>
      </w:r>
    </w:p>
    <w:p w14:paraId="2E34E1F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（二）项目建设完成后，成交供应商应配合采购人进行项目验收工作，并按照采购人要求提供验收资料。（必要时采购人可委托具有相关资质的第三方检测机构/技术专家对本次服务进行系统验收）。</w:t>
      </w:r>
    </w:p>
    <w:p w14:paraId="75D1352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（三）验收依据：</w:t>
      </w:r>
    </w:p>
    <w:p w14:paraId="44B310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1.本合同及附加文本；</w:t>
      </w:r>
    </w:p>
    <w:p w14:paraId="2368C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2.磋商文件、响应文件等；</w:t>
      </w:r>
    </w:p>
    <w:p w14:paraId="4324613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3.国家相应的标准、规范；</w:t>
      </w:r>
    </w:p>
    <w:p w14:paraId="2B08C11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4.甲方规定的相关项目资料。</w:t>
      </w:r>
    </w:p>
    <w:p w14:paraId="513124E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十一、违约责任</w:t>
      </w:r>
    </w:p>
    <w:p w14:paraId="44DCA0C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（一）按《</w:t>
      </w:r>
      <w:r>
        <w:rPr>
          <w:rFonts w:hint="eastAsia" w:ascii="宋体" w:hAnsi="宋体" w:eastAsia="宋体" w:cs="宋体"/>
          <w:bCs/>
          <w:sz w:val="24"/>
          <w:szCs w:val="24"/>
        </w:rPr>
        <w:t>中华人民共和国民法典</w:t>
      </w:r>
      <w:r>
        <w:rPr>
          <w:rFonts w:hint="eastAsia" w:ascii="宋体" w:hAnsi="宋体" w:eastAsia="宋体" w:cs="宋体"/>
          <w:sz w:val="24"/>
          <w:szCs w:val="24"/>
        </w:rPr>
        <w:t>》中的相关条款执行。</w:t>
      </w:r>
    </w:p>
    <w:p w14:paraId="7AF7D3E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（二）未按合同要求提供服务或服务质量不能满足本次采购要求，采购人会同监督机构、采购代理机构有权终止合同和对中标供应商违约行为进行追究，同时按政府采购法的有关规定进行相应的处罚。</w:t>
      </w:r>
    </w:p>
    <w:p w14:paraId="7EF297DE">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十二、合同生效</w:t>
      </w:r>
    </w:p>
    <w:p w14:paraId="0A1E456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（一）本合同须经甲、乙双方的法定代表人（被授权代表）在合同书上签字并加盖本单位公章后正式生效。</w:t>
      </w:r>
    </w:p>
    <w:p w14:paraId="17F25C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1F6E59A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tbl>
      <w:tblPr>
        <w:tblStyle w:val="5"/>
        <w:tblpPr w:leftFromText="180" w:rightFromText="180" w:vertAnchor="text" w:horzAnchor="page" w:tblpX="1870" w:tblpY="737"/>
        <w:tblOverlap w:val="never"/>
        <w:tblW w:w="0" w:type="auto"/>
        <w:tblInd w:w="0" w:type="dxa"/>
        <w:tblLayout w:type="fixed"/>
        <w:tblCellMar>
          <w:top w:w="0" w:type="dxa"/>
          <w:left w:w="108" w:type="dxa"/>
          <w:bottom w:w="0" w:type="dxa"/>
          <w:right w:w="108" w:type="dxa"/>
        </w:tblCellMar>
      </w:tblPr>
      <w:tblGrid>
        <w:gridCol w:w="4149"/>
        <w:gridCol w:w="4150"/>
      </w:tblGrid>
      <w:tr w14:paraId="04A2E03C">
        <w:tblPrEx>
          <w:tblCellMar>
            <w:top w:w="0" w:type="dxa"/>
            <w:left w:w="108" w:type="dxa"/>
            <w:bottom w:w="0" w:type="dxa"/>
            <w:right w:w="108" w:type="dxa"/>
          </w:tblCellMar>
        </w:tblPrEx>
        <w:trPr>
          <w:trHeight w:val="1045" w:hRule="exact"/>
        </w:trPr>
        <w:tc>
          <w:tcPr>
            <w:tcW w:w="4149" w:type="dxa"/>
            <w:vAlign w:val="center"/>
          </w:tcPr>
          <w:p w14:paraId="72EAC03D">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甲方（盖章）</w:t>
            </w:r>
            <w:r>
              <w:rPr>
                <w:rFonts w:hint="eastAsia" w:ascii="宋体" w:hAnsi="宋体" w:eastAsia="宋体" w:cs="宋体"/>
                <w:spacing w:val="-20"/>
                <w:kern w:val="0"/>
                <w:sz w:val="24"/>
                <w:szCs w:val="24"/>
                <w:u w:val="single"/>
              </w:rPr>
              <w:t xml:space="preserve">                     </w:t>
            </w:r>
          </w:p>
          <w:p w14:paraId="3F86F5E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 xml:space="preserve">地址： </w:t>
            </w:r>
            <w:r>
              <w:rPr>
                <w:rFonts w:hint="eastAsia" w:ascii="宋体" w:hAnsi="宋体" w:eastAsia="宋体" w:cs="宋体"/>
                <w:spacing w:val="-20"/>
                <w:kern w:val="0"/>
                <w:sz w:val="24"/>
                <w:szCs w:val="24"/>
                <w:u w:val="single"/>
              </w:rPr>
              <w:t xml:space="preserve">                           </w:t>
            </w:r>
          </w:p>
        </w:tc>
        <w:tc>
          <w:tcPr>
            <w:tcW w:w="4150" w:type="dxa"/>
            <w:vAlign w:val="center"/>
          </w:tcPr>
          <w:p w14:paraId="7DACEF44">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乙方（盖章）</w:t>
            </w:r>
            <w:r>
              <w:rPr>
                <w:rFonts w:hint="eastAsia" w:ascii="宋体" w:hAnsi="宋体" w:eastAsia="宋体" w:cs="宋体"/>
                <w:spacing w:val="-20"/>
                <w:kern w:val="0"/>
                <w:sz w:val="24"/>
                <w:szCs w:val="24"/>
                <w:u w:val="single"/>
              </w:rPr>
              <w:t xml:space="preserve">                    </w:t>
            </w:r>
          </w:p>
          <w:p w14:paraId="1695FA2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地址：</w:t>
            </w:r>
            <w:r>
              <w:rPr>
                <w:rFonts w:hint="eastAsia" w:ascii="宋体" w:hAnsi="宋体" w:eastAsia="宋体" w:cs="宋体"/>
                <w:spacing w:val="-20"/>
                <w:kern w:val="0"/>
                <w:sz w:val="24"/>
                <w:szCs w:val="24"/>
                <w:u w:val="single"/>
              </w:rPr>
              <w:t xml:space="preserve">                            </w:t>
            </w:r>
          </w:p>
        </w:tc>
      </w:tr>
      <w:tr w14:paraId="1992E84C">
        <w:tblPrEx>
          <w:tblCellMar>
            <w:top w:w="0" w:type="dxa"/>
            <w:left w:w="108" w:type="dxa"/>
            <w:bottom w:w="0" w:type="dxa"/>
            <w:right w:w="108" w:type="dxa"/>
          </w:tblCellMar>
        </w:tblPrEx>
        <w:trPr>
          <w:trHeight w:val="528" w:hRule="exact"/>
        </w:trPr>
        <w:tc>
          <w:tcPr>
            <w:tcW w:w="4149" w:type="dxa"/>
            <w:vAlign w:val="center"/>
          </w:tcPr>
          <w:p w14:paraId="1DFC63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c>
          <w:tcPr>
            <w:tcW w:w="4150" w:type="dxa"/>
            <w:vAlign w:val="center"/>
          </w:tcPr>
          <w:p w14:paraId="0452AF4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r>
      <w:tr w14:paraId="1B207F58">
        <w:tblPrEx>
          <w:tblCellMar>
            <w:top w:w="0" w:type="dxa"/>
            <w:left w:w="108" w:type="dxa"/>
            <w:bottom w:w="0" w:type="dxa"/>
            <w:right w:w="108" w:type="dxa"/>
          </w:tblCellMar>
        </w:tblPrEx>
        <w:trPr>
          <w:trHeight w:val="528" w:hRule="exact"/>
        </w:trPr>
        <w:tc>
          <w:tcPr>
            <w:tcW w:w="4149" w:type="dxa"/>
            <w:vAlign w:val="center"/>
          </w:tcPr>
          <w:p w14:paraId="2F93BBC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r>
              <w:rPr>
                <w:rFonts w:hint="eastAsia" w:ascii="宋体" w:hAnsi="宋体" w:eastAsia="宋体" w:cs="宋体"/>
                <w:spacing w:val="-20"/>
                <w:kern w:val="0"/>
                <w:sz w:val="24"/>
                <w:szCs w:val="24"/>
              </w:rPr>
              <w:t xml:space="preserve"> </w:t>
            </w:r>
          </w:p>
        </w:tc>
        <w:tc>
          <w:tcPr>
            <w:tcW w:w="4150" w:type="dxa"/>
            <w:vAlign w:val="center"/>
          </w:tcPr>
          <w:p w14:paraId="27F2F891">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p>
        </w:tc>
      </w:tr>
      <w:tr w14:paraId="53932DD1">
        <w:tblPrEx>
          <w:tblCellMar>
            <w:top w:w="0" w:type="dxa"/>
            <w:left w:w="108" w:type="dxa"/>
            <w:bottom w:w="0" w:type="dxa"/>
            <w:right w:w="108" w:type="dxa"/>
          </w:tblCellMar>
        </w:tblPrEx>
        <w:trPr>
          <w:trHeight w:val="528" w:hRule="exact"/>
        </w:trPr>
        <w:tc>
          <w:tcPr>
            <w:tcW w:w="4149" w:type="dxa"/>
            <w:vAlign w:val="center"/>
          </w:tcPr>
          <w:p w14:paraId="4F5A805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c>
          <w:tcPr>
            <w:tcW w:w="4150" w:type="dxa"/>
            <w:vAlign w:val="center"/>
          </w:tcPr>
          <w:p w14:paraId="080B0BE2">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r>
      <w:tr w14:paraId="60CA1647">
        <w:tblPrEx>
          <w:tblCellMar>
            <w:top w:w="0" w:type="dxa"/>
            <w:left w:w="108" w:type="dxa"/>
            <w:bottom w:w="0" w:type="dxa"/>
            <w:right w:w="108" w:type="dxa"/>
          </w:tblCellMar>
        </w:tblPrEx>
        <w:trPr>
          <w:trHeight w:val="528" w:hRule="exact"/>
        </w:trPr>
        <w:tc>
          <w:tcPr>
            <w:tcW w:w="4149" w:type="dxa"/>
            <w:vAlign w:val="center"/>
          </w:tcPr>
          <w:p w14:paraId="30D4DF7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c>
          <w:tcPr>
            <w:tcW w:w="4150" w:type="dxa"/>
            <w:vAlign w:val="center"/>
          </w:tcPr>
          <w:p w14:paraId="4905C3CE">
            <w:pPr>
              <w:autoSpaceDE w:val="0"/>
              <w:autoSpaceDN w:val="0"/>
              <w:snapToGrid w:val="0"/>
              <w:spacing w:line="360" w:lineRule="auto"/>
              <w:ind w:left="600" w:hanging="600" w:hangingChars="300"/>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r>
      <w:tr w14:paraId="111F32EB">
        <w:tblPrEx>
          <w:tblCellMar>
            <w:top w:w="0" w:type="dxa"/>
            <w:left w:w="108" w:type="dxa"/>
            <w:bottom w:w="0" w:type="dxa"/>
            <w:right w:w="108" w:type="dxa"/>
          </w:tblCellMar>
        </w:tblPrEx>
        <w:trPr>
          <w:trHeight w:val="528" w:hRule="exact"/>
        </w:trPr>
        <w:tc>
          <w:tcPr>
            <w:tcW w:w="4149" w:type="dxa"/>
            <w:vAlign w:val="center"/>
          </w:tcPr>
          <w:p w14:paraId="68E962F3">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c>
          <w:tcPr>
            <w:tcW w:w="4150" w:type="dxa"/>
            <w:vAlign w:val="center"/>
          </w:tcPr>
          <w:p w14:paraId="18FE12AE">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r>
      <w:tr w14:paraId="6102F97E">
        <w:tblPrEx>
          <w:tblCellMar>
            <w:top w:w="0" w:type="dxa"/>
            <w:left w:w="108" w:type="dxa"/>
            <w:bottom w:w="0" w:type="dxa"/>
            <w:right w:w="108" w:type="dxa"/>
          </w:tblCellMar>
        </w:tblPrEx>
        <w:trPr>
          <w:trHeight w:val="528" w:hRule="exact"/>
        </w:trPr>
        <w:tc>
          <w:tcPr>
            <w:tcW w:w="4149" w:type="dxa"/>
            <w:vAlign w:val="center"/>
          </w:tcPr>
          <w:p w14:paraId="627D47E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c>
          <w:tcPr>
            <w:tcW w:w="4150" w:type="dxa"/>
            <w:vAlign w:val="center"/>
          </w:tcPr>
          <w:p w14:paraId="02FEA139">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r>
      <w:tr w14:paraId="3B69E2A8">
        <w:tblPrEx>
          <w:tblCellMar>
            <w:top w:w="0" w:type="dxa"/>
            <w:left w:w="108" w:type="dxa"/>
            <w:bottom w:w="0" w:type="dxa"/>
            <w:right w:w="108" w:type="dxa"/>
          </w:tblCellMar>
        </w:tblPrEx>
        <w:trPr>
          <w:trHeight w:val="528" w:hRule="exact"/>
        </w:trPr>
        <w:tc>
          <w:tcPr>
            <w:tcW w:w="4149" w:type="dxa"/>
            <w:vAlign w:val="center"/>
          </w:tcPr>
          <w:p w14:paraId="25C4CEF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c>
          <w:tcPr>
            <w:tcW w:w="4150" w:type="dxa"/>
            <w:vAlign w:val="center"/>
          </w:tcPr>
          <w:p w14:paraId="68B6EA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r>
    </w:tbl>
    <w:p w14:paraId="47AF85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095D3636"/>
    <w:rsid w:val="10575AEF"/>
    <w:rsid w:val="2283002B"/>
    <w:rsid w:val="2AED4D95"/>
    <w:rsid w:val="414E759F"/>
    <w:rsid w:val="7D385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outlineLvl w:val="0"/>
    </w:pPr>
    <w:rPr>
      <w:rFonts w:cstheme="majorBidi"/>
      <w:b/>
      <w:bCs/>
      <w:sz w:val="32"/>
      <w:szCs w:val="32"/>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1741</Words>
  <Characters>1748</Characters>
  <Lines>0</Lines>
  <Paragraphs>0</Paragraphs>
  <TotalTime>12</TotalTime>
  <ScaleCrop>false</ScaleCrop>
  <LinksUpToDate>false</LinksUpToDate>
  <CharactersWithSpaces>2581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2026-05-09T06:34:43Z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