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4C01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36"/>
          <w:szCs w:val="36"/>
          <w:lang w:val="en-US" w:eastAsia="zh-CN"/>
        </w:rPr>
      </w:pPr>
    </w:p>
    <w:p w14:paraId="349A905B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jc w:val="center"/>
        <w:textAlignment w:val="auto"/>
        <w:rPr>
          <w:rFonts w:hint="default" w:ascii="仿宋" w:hAnsi="仿宋" w:eastAsia="仿宋" w:cs="仿宋"/>
          <w:color w:val="auto"/>
          <w:sz w:val="44"/>
          <w:szCs w:val="44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lang w:val="en-US" w:eastAsia="zh-CN"/>
        </w:rPr>
        <w:t>孤山镇污水拉运项目</w:t>
      </w:r>
      <w:r>
        <w:rPr>
          <w:rFonts w:hint="eastAsia" w:ascii="仿宋" w:hAnsi="仿宋" w:eastAsia="仿宋" w:cs="仿宋"/>
          <w:b/>
          <w:bCs/>
          <w:color w:val="auto"/>
          <w:sz w:val="44"/>
          <w:szCs w:val="44"/>
        </w:rPr>
        <w:t>采购</w:t>
      </w: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lang w:val="en-US" w:eastAsia="zh-CN"/>
        </w:rPr>
        <w:t>计划附件</w:t>
      </w:r>
    </w:p>
    <w:p w14:paraId="6ACDBD5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lang w:val="en-US" w:eastAsia="zh-CN" w:bidi="ar-SA"/>
        </w:rPr>
      </w:pPr>
    </w:p>
    <w:p w14:paraId="5D280E4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采购项目名称</w:t>
      </w:r>
    </w:p>
    <w:p w14:paraId="54F08C4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孤山镇污水拉运项目</w:t>
      </w:r>
    </w:p>
    <w:p w14:paraId="1C685193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采购项目预算、资金构成和采购方式</w:t>
      </w:r>
    </w:p>
    <w:p w14:paraId="467DAD60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1、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采购项目预算：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563390元。</w:t>
      </w:r>
    </w:p>
    <w:p w14:paraId="3AD3549F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2、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资金来源：其他财政资金</w:t>
      </w:r>
    </w:p>
    <w:p w14:paraId="7B2960CC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3、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采购方式：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竞</w:t>
      </w:r>
      <w:bookmarkStart w:id="5" w:name="_GoBack"/>
      <w:bookmarkEnd w:id="5"/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争性谈判</w:t>
      </w:r>
    </w:p>
    <w:p w14:paraId="5F93D535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具体采购需求</w:t>
      </w:r>
    </w:p>
    <w:p w14:paraId="7EB0D9AC">
      <w:pPr>
        <w:pageBreakBefore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/>
        </w:rPr>
      </w:pP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服务期限：本项目服务期采用“1+2”模式：首期服务合同期限为1年（自合同签订之日起计算）；合同期满且经甲方考核乙方服务质量合格的，双方可在本合同有效期届满前1个月内协商续签2年服务合同。</w:t>
      </w:r>
    </w:p>
    <w:p w14:paraId="6357EEAE">
      <w:pPr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bidi w:val="0"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项目地址：府谷县。</w:t>
      </w:r>
    </w:p>
    <w:p w14:paraId="5ECC9E72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ind w:leftChars="0"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3、采购需求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孤山镇污水拉运项目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 w14:paraId="1E063B91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32"/>
          <w:szCs w:val="32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合同模板：</w:t>
      </w:r>
    </w:p>
    <w:p w14:paraId="7ED662FD">
      <w:pPr>
        <w:pStyle w:val="10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仿宋" w:hAnsi="仿宋" w:eastAsia="仿宋" w:cs="仿宋"/>
          <w:b/>
          <w:bCs/>
          <w:color w:val="auto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</w:rPr>
        <w:t>合同格式（参考）</w:t>
      </w:r>
    </w:p>
    <w:p w14:paraId="3AB2EF3E">
      <w:pPr>
        <w:pStyle w:val="11"/>
      </w:pPr>
      <w:r>
        <w:t>孤山镇污水拉运服务合同</w:t>
      </w:r>
    </w:p>
    <w:p w14:paraId="3C1CB5C7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</w:p>
    <w:p w14:paraId="0D074CF7">
      <w:pPr>
        <w:pStyle w:val="6"/>
        <w:ind w:left="0" w:leftChars="0" w:firstLine="0"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甲方（委托方）：府谷县住房和城乡建设局</w:t>
      </w:r>
    </w:p>
    <w:p w14:paraId="09E12706">
      <w:pPr>
        <w:pStyle w:val="6"/>
        <w:ind w:left="0" w:leftChars="0" w:firstLine="0" w:firstLineChars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乙方（服务方）：\\\\\\\\\\\\\\\\\\\\\\\\</w:t>
      </w:r>
    </w:p>
    <w:p w14:paraId="2B3F6E62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根据《中华人民共和国民法典》《中华人民共和国环境保护法》《城镇排水与污水处理条例》《陕西省城镇排水与污水处理管理办法》及相关法律法规，甲乙双方本着平等自愿、公平公正、诚实信用的原则，就乙方为甲方提供孤山镇污水拉运服务事宜，经充分协商，达成如下协议，以资共同遵守。</w:t>
      </w:r>
    </w:p>
    <w:p w14:paraId="06B42ED5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项目概况与服务内容</w:t>
      </w:r>
    </w:p>
    <w:p w14:paraId="672C81ED">
      <w:pPr>
        <w:pStyle w:val="6"/>
        <w:numPr>
          <w:ilvl w:val="0"/>
          <w:numId w:val="3"/>
        </w:numPr>
        <w:bidi w:val="0"/>
        <w:rPr>
          <w:rFonts w:hint="eastAsia"/>
        </w:rPr>
      </w:pPr>
      <w:r>
        <w:t>项目基本信息</w:t>
      </w:r>
    </w:p>
    <w:p w14:paraId="231EA5F9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项目名称：孤山镇污水拉运项目</w:t>
      </w:r>
    </w:p>
    <w:p w14:paraId="2E44A404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服务地点：孤山镇污水处理厂、野芦沟污水收集点（共3个收集点6个收集池</w:t>
      </w:r>
    </w:p>
    <w:p w14:paraId="7C07ADBA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运输目的地：新民镇污水处理厂；特殊情况运输至温李河污水检查井或府谷新区污水处理厂</w:t>
      </w:r>
    </w:p>
    <w:p w14:paraId="373DFCAA">
      <w:pPr>
        <w:pStyle w:val="6"/>
        <w:numPr>
          <w:ilvl w:val="0"/>
          <w:numId w:val="3"/>
        </w:numPr>
        <w:bidi w:val="0"/>
        <w:rPr>
          <w:rFonts w:hint="eastAsia"/>
        </w:rPr>
      </w:pPr>
      <w:r>
        <w:t>核心服务内容</w:t>
      </w:r>
    </w:p>
    <w:p w14:paraId="10B750B4">
      <w:pPr>
        <w:pStyle w:val="6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乙方负责上述收集点污水的日常拉运、装卸作业，确保各收集池液位不超过警戒水位，杜绝污水外溢。</w:t>
      </w:r>
    </w:p>
    <w:p w14:paraId="0FF3897B">
      <w:pPr>
        <w:pStyle w:val="6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采用密闭罐车进行运输，运输过程全程密闭，严禁污水泄漏、滴漏、外溢。</w:t>
      </w:r>
    </w:p>
    <w:p w14:paraId="29AC0FDA">
      <w:pPr>
        <w:pStyle w:val="6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负责拉运过程中的污水计量工作，每日填写《污水拉运记录表》，经甲方现场管理人员签字确认后作为月度结算依据。</w:t>
      </w:r>
    </w:p>
    <w:p w14:paraId="7E65DE37">
      <w:pPr>
        <w:pStyle w:val="6"/>
        <w:numPr>
          <w:ilvl w:val="0"/>
          <w:numId w:val="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特殊情况处理：</w:t>
      </w:r>
    </w:p>
    <w:p w14:paraId="4C4F299F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￮下雨天或道路受阻无法通行至新民镇污水处理厂时，乙方应立即暂停原定线路运输，并通知甲方，按甲方通知要求将污水拉运至指定备用地点；</w:t>
      </w:r>
    </w:p>
    <w:p w14:paraId="6F8F62F6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￮极端天气（暴雨、暴雪、橙色及以上预警）导致无法作业的，乙方应提前12小时书面通知甲方，并在预警解除后24小时内完成积压污水的拉运；</w:t>
      </w:r>
    </w:p>
    <w:p w14:paraId="3A5A8CE4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￮甲方临时应急拉运需求，乙方应在接到通知后1小时内安排车辆到位。</w:t>
      </w:r>
    </w:p>
    <w:p w14:paraId="0D2DC85A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服务期限与合同续签</w:t>
      </w:r>
    </w:p>
    <w:p w14:paraId="249F16BB">
      <w:pPr>
        <w:pStyle w:val="6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本项目服务期采用"1+2"固定期限+续签模式，首期服务期限为1年，自\\\\年\\\\月\\\\日起至\\\\年\\\\月\\__日止。</w:t>
      </w:r>
    </w:p>
    <w:p w14:paraId="303078C8">
      <w:pPr>
        <w:pStyle w:val="6"/>
        <w:numPr>
          <w:ilvl w:val="0"/>
          <w:numId w:val="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合同期满前30日，甲方对乙方首期服务质量进行综合考核。考核合格的，双方可在本合同有效期届满前15日内协商续签2年服务合同；考核不合格的，甲方有权不予续签，合同到期自动终止。</w:t>
      </w:r>
    </w:p>
    <w:p w14:paraId="766AB131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服务费用与支付方式</w:t>
      </w:r>
    </w:p>
    <w:p w14:paraId="684AA3D8">
      <w:pPr>
        <w:pStyle w:val="6"/>
        <w:numPr>
          <w:ilvl w:val="0"/>
          <w:numId w:val="6"/>
        </w:numPr>
        <w:bidi w:val="0"/>
        <w:rPr>
          <w:rFonts w:hint="eastAsia"/>
        </w:rPr>
      </w:pPr>
      <w:r>
        <w:t>服务费用标准</w:t>
      </w:r>
    </w:p>
    <w:p w14:paraId="7B31B890">
      <w:pPr>
        <w:pStyle w:val="6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本合同首期年度含税总费用为人民币</w:t>
      </w:r>
      <w:r>
        <w:rPr>
          <w:rFonts w:hint="eastAsia" w:cs="Times New Roman"/>
          <w:sz w:val="24"/>
          <w:lang w:val="en-US" w:eastAsia="zh-CN"/>
        </w:rPr>
        <w:t>xxxx</w:t>
      </w:r>
      <w:r>
        <w:rPr>
          <w:rFonts w:ascii="Times New Roman" w:hAnsi="Times New Roman" w:eastAsia="宋体" w:cs="Times New Roman"/>
          <w:sz w:val="24"/>
        </w:rPr>
        <w:t>（¥</w:t>
      </w:r>
      <w:r>
        <w:rPr>
          <w:rFonts w:hint="eastAsia" w:cs="Times New Roman"/>
          <w:sz w:val="24"/>
          <w:lang w:val="en-US" w:eastAsia="zh-CN"/>
        </w:rPr>
        <w:t>xxx</w:t>
      </w:r>
      <w:r>
        <w:rPr>
          <w:rFonts w:ascii="Times New Roman" w:hAnsi="Times New Roman" w:eastAsia="宋体" w:cs="Times New Roman"/>
          <w:sz w:val="24"/>
        </w:rPr>
        <w:t>.</w:t>
      </w:r>
      <w:r>
        <w:rPr>
          <w:rFonts w:hint="eastAsia" w:cs="Times New Roman"/>
          <w:sz w:val="24"/>
          <w:lang w:val="en-US" w:eastAsia="zh-CN"/>
        </w:rPr>
        <w:t>xx</w:t>
      </w:r>
      <w:r>
        <w:rPr>
          <w:rFonts w:ascii="Times New Roman" w:hAnsi="Times New Roman" w:eastAsia="宋体" w:cs="Times New Roman"/>
          <w:sz w:val="24"/>
        </w:rPr>
        <w:t>）。该费用为包干价，包含乙方履行本合同全部义务所需的一切费用，包括但不限于：</w:t>
      </w:r>
    </w:p>
    <w:p w14:paraId="3BC66DFA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￮人员费用：司机工资、社保、福利、培训费用；</w:t>
      </w:r>
    </w:p>
    <w:p w14:paraId="0973E8CE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￮车辆费用：燃油费、保养维修费、保险费、过路费、年检费、洗车费；</w:t>
      </w:r>
    </w:p>
    <w:p w14:paraId="686F78ED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￮管理费用：办公费、差旅费、安全环保投入；</w:t>
      </w:r>
    </w:p>
    <w:p w14:paraId="0E624318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￮税费及其他不可预见费用。</w:t>
      </w:r>
    </w:p>
    <w:p w14:paraId="391327EA">
      <w:pPr>
        <w:pStyle w:val="6"/>
        <w:numPr>
          <w:ilvl w:val="0"/>
          <w:numId w:val="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若因甲方要求变更拉运线路导致运输距离增加超过20%，超出部分的费用按</w:t>
      </w:r>
      <w:r>
        <w:rPr>
          <w:rFonts w:hint="eastAsia" w:cs="Times New Roman"/>
          <w:sz w:val="24"/>
          <w:lang w:val="en-US" w:eastAsia="zh-CN"/>
        </w:rPr>
        <w:t>实际产生费用</w:t>
      </w:r>
      <w:r>
        <w:rPr>
          <w:rFonts w:ascii="Times New Roman" w:hAnsi="Times New Roman" w:eastAsia="宋体" w:cs="Times New Roman"/>
          <w:sz w:val="24"/>
        </w:rPr>
        <w:t>计算，双方另行签订补充协议确认。</w:t>
      </w:r>
    </w:p>
    <w:p w14:paraId="2B159D2F">
      <w:pPr>
        <w:pStyle w:val="6"/>
        <w:numPr>
          <w:ilvl w:val="0"/>
          <w:numId w:val="6"/>
        </w:numPr>
        <w:bidi w:val="0"/>
        <w:rPr>
          <w:rFonts w:hint="eastAsia"/>
        </w:rPr>
      </w:pPr>
      <w:r>
        <w:t>付款方式</w:t>
      </w:r>
    </w:p>
    <w:p w14:paraId="68736E48">
      <w:pPr>
        <w:pStyle w:val="6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本合同服务费按季度支付。甲方在当季服务结束后，根据季度考核结果一次性支付（考核不合格的，扣除相应保证金）。</w:t>
      </w:r>
    </w:p>
    <w:p w14:paraId="79666366">
      <w:pPr>
        <w:pStyle w:val="6"/>
        <w:numPr>
          <w:ilvl w:val="0"/>
          <w:numId w:val="8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甲方付款以财政资金拨付到位为前提。因财政资金未按时拨付导致付款延迟的，甲方不承担逾期付款违约责任，但应及时向乙方说明情况；财政资金拨付到位后，甲方应在10个工作日内完成支付。</w:t>
      </w:r>
    </w:p>
    <w:p w14:paraId="70C30A1D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双方权利与义务</w:t>
      </w:r>
    </w:p>
    <w:p w14:paraId="47A6ABDA">
      <w:pPr>
        <w:pStyle w:val="6"/>
        <w:numPr>
          <w:ilvl w:val="0"/>
          <w:numId w:val="9"/>
        </w:numPr>
        <w:bidi w:val="0"/>
        <w:rPr>
          <w:rFonts w:hint="eastAsia"/>
        </w:rPr>
      </w:pPr>
      <w:r>
        <w:t>甲方权利与义务</w:t>
      </w:r>
    </w:p>
    <w:p w14:paraId="55C30188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有权对乙方的服务过程进行全程监督、检查和考核，对不符合要求的服务行为提出整改意见，乙方应在规定期限内整改完毕。</w:t>
      </w:r>
    </w:p>
    <w:p w14:paraId="6DE6E77D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负责协调拉运点至主干路的道路通行，处理因村民阻拦、土地纠纷等引发的矛盾，确保乙方车辆正常进出作业区域。</w:t>
      </w:r>
    </w:p>
    <w:p w14:paraId="75E2B4C2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向乙方提供各收集点的基本信息、警戒水位标识及污水处理厂的接收要求。</w:t>
      </w:r>
    </w:p>
    <w:p w14:paraId="38FA668E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指派专人作为现场联络人，负责日常工作对接、《污水拉运记录表》签字确认及应急事项处理。</w:t>
      </w:r>
    </w:p>
    <w:p w14:paraId="644BAF79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按本合同约定及时支付服务费用。</w:t>
      </w:r>
    </w:p>
    <w:p w14:paraId="7A9C5987">
      <w:pPr>
        <w:pStyle w:val="6"/>
        <w:numPr>
          <w:ilvl w:val="0"/>
          <w:numId w:val="10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因甲方原因导致乙方无法正常作业的，应相应顺延服务期限或减免相应费用。</w:t>
      </w:r>
    </w:p>
    <w:p w14:paraId="29BB6D96">
      <w:pPr>
        <w:pStyle w:val="6"/>
        <w:numPr>
          <w:ilvl w:val="0"/>
          <w:numId w:val="9"/>
        </w:numPr>
        <w:bidi w:val="0"/>
        <w:rPr>
          <w:rFonts w:hint="eastAsia"/>
        </w:rPr>
      </w:pPr>
      <w:r>
        <w:t>乙方权利与义务</w:t>
      </w:r>
    </w:p>
    <w:p w14:paraId="5D2E9001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有权要求甲方按合同约定支付服务费用，有权拒绝甲方超出合同范围的不合理要求。</w:t>
      </w:r>
    </w:p>
    <w:p w14:paraId="3FB7D136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提供符合国家及行业标准的密闭罐车，确保车辆证件齐全、性能完好、密闭性达标，并在车辆显著位置喷涂"污水运输"标识。</w:t>
      </w:r>
    </w:p>
    <w:p w14:paraId="4094BC70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配备持有B2及以上机动车驾驶证、道路运输从业人员资格证且身体健康的司机，司机应经过安全环保培训合格后方可上岗，并将相关资质复印件报甲方备案。</w:t>
      </w:r>
    </w:p>
    <w:p w14:paraId="7F62B8BA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严格遵守环境保护法律法规和甲方的管理规定，运输过程中采取有效防渗漏措施，严禁沿途洒漏、随意倾倒污水。</w:t>
      </w:r>
    </w:p>
    <w:p w14:paraId="6CBADD91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建立健全安全生产管理制度，落实安全生产主体责任，定期对车辆进行安全检查和维护保养，对司机进行安全教育培训。</w:t>
      </w:r>
    </w:p>
    <w:p w14:paraId="7B313B15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自行承担运输过程中的全部安全责任，包括但不限于车辆交通事故、人员伤亡、财产损失等；若因乙方原因造成甲方或第三方损失的，乙方应全额赔偿。</w:t>
      </w:r>
    </w:p>
    <w:p w14:paraId="6FAA02C7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制定《污水泄漏应急预案》和《安全生产应急预案》，报甲方备案；发生安全事故或环境污染事故时，应立即启动应急预案，采取有效措施防止损失扩大，并在1小时内书面通知甲方。</w:t>
      </w:r>
    </w:p>
    <w:p w14:paraId="430B9170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若车辆因故障停运超过24小时，乙方应立即提供同等规格的备用车辆，确保服务不受影响；备用车辆到位时间不得超过12小时。</w:t>
      </w:r>
    </w:p>
    <w:p w14:paraId="269200F3">
      <w:pPr>
        <w:pStyle w:val="6"/>
        <w:numPr>
          <w:ilvl w:val="0"/>
          <w:numId w:val="11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每月5日前向甲方提交上月《污水拉运月报》，包括拉运量、车辆运行情况、问题整改情况等。</w:t>
      </w:r>
    </w:p>
    <w:p w14:paraId="4012E5E6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车辆与保险管理</w:t>
      </w:r>
    </w:p>
    <w:p w14:paraId="6CC8E0D5">
      <w:pPr>
        <w:pStyle w:val="6"/>
        <w:numPr>
          <w:ilvl w:val="0"/>
          <w:numId w:val="1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乙方负责车辆的日常维护、保养和维修，确保车辆始终处于良好运行状态，相关费用由乙方承担。</w:t>
      </w:r>
    </w:p>
    <w:p w14:paraId="14B56A25">
      <w:pPr>
        <w:pStyle w:val="6"/>
        <w:numPr>
          <w:ilvl w:val="0"/>
          <w:numId w:val="1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乙方应为所有运输车辆购买足额保险，险种及保额要求如下：</w:t>
      </w:r>
    </w:p>
    <w:p w14:paraId="4BC14DAC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￮机动车交通事故责任强制保险；</w:t>
      </w:r>
    </w:p>
    <w:p w14:paraId="428FA54F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￮机动车第三者责任保险，保额不低于200万元；</w:t>
      </w:r>
    </w:p>
    <w:p w14:paraId="4D9A4B58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￮机动车损失保险；</w:t>
      </w:r>
    </w:p>
    <w:p w14:paraId="4220E2BE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￮车上人员责任险（司机），每座保额不低于50万元；</w:t>
      </w:r>
    </w:p>
    <w:p w14:paraId="0488AD13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￮环境污染责任保险，每次事故保额不低于100万元。</w:t>
      </w:r>
    </w:p>
    <w:p w14:paraId="63B7D28A">
      <w:pPr>
        <w:pStyle w:val="6"/>
        <w:numPr>
          <w:ilvl w:val="0"/>
          <w:numId w:val="12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乙方应在保险到期前15日完成续保，并将新的保险单复印件报甲方备案；未按要求购买保险或保险到期未续保的，甲方有权暂停支付服务费，直至乙方补齐保险手续。</w:t>
      </w:r>
    </w:p>
    <w:p w14:paraId="431B2231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服务质量考核与验收</w:t>
      </w:r>
    </w:p>
    <w:p w14:paraId="501872F8">
      <w:pPr>
        <w:pStyle w:val="6"/>
        <w:numPr>
          <w:ilvl w:val="0"/>
          <w:numId w:val="13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甲方成立考核小组，按《孤山镇污水拉运服务质量考核标准》对乙方服务质量进行月度抽查、季度考核、年度综合评定。</w:t>
      </w:r>
    </w:p>
    <w:p w14:paraId="36287163">
      <w:pPr>
        <w:pStyle w:val="6"/>
        <w:numPr>
          <w:ilvl w:val="0"/>
          <w:numId w:val="13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季度考核实行百分制，考核得分90分及以上为优秀，全额支付当季质量保证金；80-89分为合格，支付90%质量保证金；70-79分为基本合格，支付70%质量保证金；70分以下为不合格，扣除全部当季质量保证金。</w:t>
      </w:r>
    </w:p>
    <w:p w14:paraId="7E29106C">
      <w:pPr>
        <w:pStyle w:val="6"/>
        <w:numPr>
          <w:ilvl w:val="0"/>
          <w:numId w:val="13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年度综合评定以季度考核平均分为依据，年度平均分80分及以上为合格，具备续签资格；年度平均分低于80分为不合格，甲方有权不予续签合同。</w:t>
      </w:r>
    </w:p>
    <w:p w14:paraId="26A4EE5B">
      <w:pPr>
        <w:pStyle w:val="6"/>
        <w:numPr>
          <w:ilvl w:val="0"/>
          <w:numId w:val="13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乙方对考核结果有异议的，可在收到考核结果之日起3个工作日内向甲方提出书面复核申请，甲方应在5个工作日内作出复核决定。</w:t>
      </w:r>
    </w:p>
    <w:p w14:paraId="1D5839D1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违约责任</w:t>
      </w:r>
    </w:p>
    <w:p w14:paraId="4FA78210">
      <w:pPr>
        <w:pStyle w:val="6"/>
        <w:numPr>
          <w:ilvl w:val="0"/>
          <w:numId w:val="1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若乙方未按约定频次和数量拉运导致污水外溢，每发生一次，乙方应向甲方支付违约金10,000元，并承担全部清理费用及第三方损失；累计发生3次及以上的，甲方有权解除合同，并要求乙方支付合同总额20%的违约金。</w:t>
      </w:r>
    </w:p>
    <w:p w14:paraId="54E6B57E">
      <w:pPr>
        <w:pStyle w:val="6"/>
        <w:numPr>
          <w:ilvl w:val="0"/>
          <w:numId w:val="1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乙方运输过程中发生污水泄漏、滴漏的，每发现一次支付违约金5,000元；造成环境污染事故的，乙方除承担全部治理费用和赔偿责任外，甲方有权解除合同。</w:t>
      </w:r>
    </w:p>
    <w:p w14:paraId="425D071D">
      <w:pPr>
        <w:pStyle w:val="6"/>
        <w:numPr>
          <w:ilvl w:val="0"/>
          <w:numId w:val="1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乙方车辆故障未在规定时间内提供备用车辆导致服务中断的，每中断1天支付违约金2,000元；中断超过3天的，甲方有权解除合同。</w:t>
      </w:r>
    </w:p>
    <w:p w14:paraId="12763D27">
      <w:pPr>
        <w:pStyle w:val="6"/>
        <w:numPr>
          <w:ilvl w:val="0"/>
          <w:numId w:val="1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乙方使用不符合要求的车辆或人员上岗的，甲方有权要求乙方立即更换，并处以每次3,000元的违约金；拒不更换的，甲方有权解除合同。</w:t>
      </w:r>
    </w:p>
    <w:p w14:paraId="6ACC7539">
      <w:pPr>
        <w:pStyle w:val="6"/>
        <w:numPr>
          <w:ilvl w:val="0"/>
          <w:numId w:val="14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任何一方擅自解除合同的，应向对方支付合同总额20%的违约金；给对方造成损失的，还应赔偿相应损失。</w:t>
      </w:r>
    </w:p>
    <w:p w14:paraId="734E871B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不可抗力</w:t>
      </w:r>
    </w:p>
    <w:p w14:paraId="29888EDC">
      <w:pPr>
        <w:pStyle w:val="6"/>
        <w:numPr>
          <w:ilvl w:val="0"/>
          <w:numId w:val="1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因地震、洪水、台风、战争、政府政策调整等不可抗力导致本合同无法履行的，受影响一方应在事件发生后7日内书面通知对方，并提供有效证明。</w:t>
      </w:r>
    </w:p>
    <w:p w14:paraId="51C3D346">
      <w:pPr>
        <w:pStyle w:val="6"/>
        <w:numPr>
          <w:ilvl w:val="0"/>
          <w:numId w:val="15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根据不可抗力的影响程度，双方可协商决定部分履行、延期履行或解除合同，互不承担违约责任。</w:t>
      </w:r>
    </w:p>
    <w:p w14:paraId="1ED5CCD0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争议解决</w:t>
      </w:r>
    </w:p>
    <w:p w14:paraId="49B1050F">
      <w:pPr>
        <w:pStyle w:val="6"/>
        <w:ind w:left="0" w:leftChars="0"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因本合同产生的任何争议，双方应首先友好协商解决；协商不成的，任何一方均有权向府谷县人民法院提起诉讼。</w:t>
      </w:r>
    </w:p>
    <w:p w14:paraId="2E760B8E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保密与知识产权</w:t>
      </w:r>
    </w:p>
    <w:p w14:paraId="00BBDEAE">
      <w:pPr>
        <w:pStyle w:val="6"/>
        <w:numPr>
          <w:ilvl w:val="0"/>
          <w:numId w:val="1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双方应对在合同履行过程中知悉的对方商业秘密、技术资料、政府工作信息等承担保密义务，未经对方书面同意，不得向任何第三方泄露。</w:t>
      </w:r>
    </w:p>
    <w:p w14:paraId="410B1261">
      <w:pPr>
        <w:pStyle w:val="6"/>
        <w:numPr>
          <w:ilvl w:val="0"/>
          <w:numId w:val="16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本合同履行过程中产生的所有数据、资料、报告等知识产权归甲方所有，乙方不得擅自使用或向第三方提供。</w:t>
      </w:r>
    </w:p>
    <w:p w14:paraId="72BDE656">
      <w:pPr>
        <w:pStyle w:val="2"/>
        <w:numPr>
          <w:ilvl w:val="0"/>
          <w:numId w:val="2"/>
        </w:numPr>
        <w:tabs>
          <w:tab w:val="left" w:pos="901"/>
        </w:tabs>
        <w:topLinePunct w:val="0"/>
        <w:ind w:left="0" w:leftChars="0" w:firstLine="482" w:firstLineChars="200"/>
        <w:rPr>
          <w:b/>
        </w:rPr>
      </w:pPr>
      <w:r>
        <w:t>其他条款</w:t>
      </w:r>
    </w:p>
    <w:p w14:paraId="6E784D6C">
      <w:pPr>
        <w:pStyle w:val="6"/>
        <w:numPr>
          <w:ilvl w:val="0"/>
          <w:numId w:val="1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本合同未尽事宜，双方可签订补充协议，补充协议与本合同具有同等法律效力。</w:t>
      </w:r>
    </w:p>
    <w:p w14:paraId="5BC58C82">
      <w:pPr>
        <w:pStyle w:val="6"/>
        <w:numPr>
          <w:ilvl w:val="0"/>
          <w:numId w:val="17"/>
        </w:numPr>
        <w:tabs>
          <w:tab w:val="left" w:pos="780"/>
          <w:tab w:val="clear" w:pos="210"/>
        </w:tabs>
        <w:ind w:left="0" w:leftChars="0" w:firstLine="480" w:firstLineChars="200"/>
        <w:rPr>
          <w:rFonts w:ascii="Times New Roman" w:hAnsi="Times New Roman" w:eastAsia="宋体" w:cs="Times New Roman"/>
          <w:b w:val="0"/>
          <w:sz w:val="24"/>
        </w:rPr>
      </w:pPr>
      <w:r>
        <w:rPr>
          <w:rFonts w:ascii="Times New Roman" w:hAnsi="Times New Roman" w:eastAsia="宋体" w:cs="Times New Roman"/>
          <w:sz w:val="24"/>
        </w:rPr>
        <w:t>本合同一式肆份，甲乙双方各执贰份，自双方签字盖章之日起生效。</w:t>
      </w:r>
    </w:p>
    <w:p w14:paraId="1CD89AAD">
      <w:pPr>
        <w:pStyle w:val="6"/>
        <w:numPr>
          <w:numId w:val="0"/>
        </w:numPr>
        <w:tabs>
          <w:tab w:val="left" w:pos="780"/>
        </w:tabs>
        <w:ind w:leftChars="200"/>
        <w:rPr>
          <w:rFonts w:hint="eastAsia" w:ascii="Times New Roman" w:hAnsi="Times New Roman" w:eastAsia="宋体" w:cs="Times New Roman"/>
          <w:sz w:val="32"/>
          <w:szCs w:val="22"/>
          <w:lang w:val="en-US" w:eastAsia="zh-CN"/>
        </w:rPr>
      </w:pPr>
      <w:r>
        <w:rPr>
          <w:rFonts w:hint="eastAsia" w:ascii="Times New Roman" w:hAnsi="Times New Roman" w:eastAsia="宋体" w:cs="Times New Roman"/>
          <w:sz w:val="32"/>
          <w:szCs w:val="22"/>
          <w:lang w:val="en-US" w:eastAsia="zh-CN"/>
        </w:rPr>
        <w:t>附件：</w:t>
      </w:r>
    </w:p>
    <w:p w14:paraId="3C0013A8">
      <w:pPr>
        <w:spacing w:before="480" w:after="480" w:line="288" w:lineRule="auto"/>
        <w:ind w:left="0"/>
        <w:jc w:val="center"/>
        <w:rPr>
          <w:color w:val="auto"/>
          <w:sz w:val="44"/>
          <w:szCs w:val="44"/>
        </w:rPr>
      </w:pPr>
      <w:r>
        <w:rPr>
          <w:rFonts w:ascii="Arial" w:hAnsi="Arial" w:eastAsia="等线" w:cs="Arial"/>
          <w:b/>
          <w:color w:val="auto"/>
          <w:sz w:val="44"/>
          <w:szCs w:val="44"/>
        </w:rPr>
        <w:t>孤山镇污水拉运服务质量考核标准</w:t>
      </w:r>
    </w:p>
    <w:p w14:paraId="46D99F4C">
      <w:pPr>
        <w:spacing w:before="320" w:after="120" w:line="288" w:lineRule="auto"/>
        <w:ind w:left="0"/>
        <w:jc w:val="left"/>
        <w:outlineLvl w:val="1"/>
        <w:rPr>
          <w:color w:val="auto"/>
        </w:rPr>
      </w:pPr>
      <w:bookmarkStart w:id="0" w:name="heading_0"/>
      <w:r>
        <w:rPr>
          <w:rFonts w:ascii="Arial" w:hAnsi="Arial" w:eastAsia="等线" w:cs="Arial"/>
          <w:b/>
          <w:color w:val="auto"/>
          <w:sz w:val="32"/>
        </w:rPr>
        <w:t>一、考核总则</w:t>
      </w:r>
      <w:bookmarkEnd w:id="0"/>
    </w:p>
    <w:p w14:paraId="3397B1C0">
      <w:pPr>
        <w:numPr>
          <w:ilvl w:val="0"/>
          <w:numId w:val="18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本标准适用于孤山镇污水拉运项目</w:t>
      </w:r>
      <w:r>
        <w:rPr>
          <w:rFonts w:ascii="Arial" w:hAnsi="Arial" w:eastAsia="等线" w:cs="Arial"/>
          <w:b/>
          <w:color w:val="auto"/>
          <w:sz w:val="22"/>
        </w:rPr>
        <w:t>月度抽查、季度考核及年度综合评定</w:t>
      </w:r>
      <w:r>
        <w:rPr>
          <w:rFonts w:ascii="Arial" w:hAnsi="Arial" w:eastAsia="等线" w:cs="Arial"/>
          <w:color w:val="auto"/>
          <w:sz w:val="22"/>
        </w:rPr>
        <w:t>，考核结果直接与服务质量保证金支付、合同续签挂钩。</w:t>
      </w:r>
    </w:p>
    <w:p w14:paraId="50A991AD">
      <w:pPr>
        <w:numPr>
          <w:ilvl w:val="0"/>
          <w:numId w:val="19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考核实行</w:t>
      </w:r>
      <w:r>
        <w:rPr>
          <w:rFonts w:ascii="Arial" w:hAnsi="Arial" w:eastAsia="等线" w:cs="Arial"/>
          <w:b/>
          <w:color w:val="auto"/>
          <w:sz w:val="22"/>
        </w:rPr>
        <w:t>百分制</w:t>
      </w:r>
      <w:r>
        <w:rPr>
          <w:rFonts w:ascii="Arial" w:hAnsi="Arial" w:eastAsia="等线" w:cs="Arial"/>
          <w:color w:val="auto"/>
          <w:sz w:val="22"/>
        </w:rPr>
        <w:t>，由甲方考核小组负责实施，考核过程全程留痕，考核结果需双方签字确认。</w:t>
      </w:r>
    </w:p>
    <w:p w14:paraId="0512A042">
      <w:pPr>
        <w:numPr>
          <w:ilvl w:val="0"/>
          <w:numId w:val="20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考核周期：月度抽查每季度不少于2次，季度考核于每季度结束后5个工作日内完成，年度综合评定于合同期满前15个工作日内完成。</w:t>
      </w:r>
    </w:p>
    <w:p w14:paraId="1B3CD3D6">
      <w:pPr>
        <w:spacing w:before="320" w:after="120" w:line="288" w:lineRule="auto"/>
        <w:ind w:left="0"/>
        <w:jc w:val="left"/>
        <w:outlineLvl w:val="1"/>
        <w:rPr>
          <w:color w:val="auto"/>
        </w:rPr>
      </w:pPr>
      <w:bookmarkStart w:id="1" w:name="heading_1"/>
      <w:r>
        <w:rPr>
          <w:rFonts w:ascii="Arial" w:hAnsi="Arial" w:eastAsia="等线" w:cs="Arial"/>
          <w:b/>
          <w:color w:val="auto"/>
          <w:sz w:val="32"/>
        </w:rPr>
        <w:t>二、考核评分细则表</w:t>
      </w:r>
      <w:bookmarkEnd w:id="1"/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13"/>
        <w:gridCol w:w="510"/>
        <w:gridCol w:w="508"/>
        <w:gridCol w:w="2721"/>
        <w:gridCol w:w="2418"/>
        <w:gridCol w:w="1354"/>
      </w:tblGrid>
      <w:tr w14:paraId="6FA14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98197E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考核维度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4ABB2F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分值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5998F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序号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1D27BA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考核内容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B09DA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扣分标准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76EDE0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考核方式</w:t>
            </w:r>
          </w:p>
        </w:tc>
      </w:tr>
      <w:tr w14:paraId="6D663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E2BF2E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一、日常服务质量（40分）</w:t>
            </w:r>
          </w:p>
        </w:tc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DA0A6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40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01D77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3753C2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按约定频次和数量拉运，确保各收集池液位不超过警戒水位，无污水外溢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6C4BD6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1.收集池液位超过警戒水位未及时处理，每次扣10分；</w:t>
            </w:r>
            <w:r>
              <w:rPr>
                <w:color w:val="auto"/>
              </w:rPr>
              <w:br w:type="textWrapping"/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color w:val="auto"/>
              </w:rPr>
              <w:t>.发生污水外溢，本项不得分，且按合同约定追究违约责任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673BF1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现场检查、查看拉运记录表</w:t>
            </w:r>
          </w:p>
        </w:tc>
      </w:tr>
      <w:tr w14:paraId="5D491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25476E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7A09D6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0690F9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4A4E7D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使用符合要求的密闭罐车，车辆密闭性良好，喷涂"污水运输"标识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04B18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1.使用不符合规格车辆，每辆次扣10分；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2.车辆密闭性不合格存在滴漏隐患，每次扣5分；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3.未按要求喷涂标识，每辆次扣3分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C2CE66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现场检查、车辆资质备案</w:t>
            </w:r>
          </w:p>
        </w:tc>
      </w:tr>
      <w:tr w14:paraId="37AC5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D7C7E2E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7FCD7F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DF08A0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1589B5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司机持证上岗（B2驾照+道路运输从业资格证），着装规范，服从甲方现场管理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444C07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1.司机无证上岗或证件过期，每人次扣10分；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2.不服从甲方合理管理，每次扣5分；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3.作业期间违规操作，每次扣3分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A62404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现场核查证件、人员备案</w:t>
            </w:r>
          </w:p>
        </w:tc>
      </w:tr>
      <w:tr w14:paraId="65FB46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2811BB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A0C6D8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0CDCF8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32D79C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准确记录每日拉运量，《污水拉运记录表》填写规范，经甲方现场人员签字确认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C98799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1.拉运记录弄虚作假，每次扣10分；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2.记录不完整、不规范，每次扣2分；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3.未经甲方签字确认的记录无效，每次扣3分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5C164A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查阅台账、现场核对</w:t>
            </w:r>
          </w:p>
        </w:tc>
      </w:tr>
      <w:tr w14:paraId="63BE0D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F53C04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二、安全生产管理（20分）</w:t>
            </w:r>
          </w:p>
        </w:tc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7B3E8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20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3634B8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4891BF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建立安全生产管理制度，定期对车辆进行安全检查和维护保养，留存检查记录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C10CF9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1.未建立安全管理制度，扣5分；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2.车辆未按规定保养，每辆次扣3分；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3.无车辆安全检查记录，扣5分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DA9E13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查阅台账、现场检查车辆状况</w:t>
            </w:r>
          </w:p>
        </w:tc>
      </w:tr>
      <w:tr w14:paraId="63825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D583C7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69B567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4FD3A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777344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定期对司机进行安全教育培训，留存培训记录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6AE363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1.未开展安全教育培训，扣5分；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2.培训记录不完整，每次扣2分；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3.司机未掌握安全操作规范，每人次扣3分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3E3D7E4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查阅培训记录、现场提问</w:t>
            </w:r>
          </w:p>
        </w:tc>
      </w:tr>
      <w:tr w14:paraId="4EFDF1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FD8357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0ABF7F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5F2E1E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15C619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按要求购买车辆保险并及时续保，保险单据报甲方备案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6865CA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1.未按要求购买足额保险，本项不得分；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2.保险到期未及时续保，每逾期1天扣2分；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3.保险单据未备案，扣3分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79E6EE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核查保险单、备案记录</w:t>
            </w:r>
          </w:p>
        </w:tc>
      </w:tr>
      <w:tr w14:paraId="0F1FCD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3D71CB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E800B4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F0788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F7BC37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运输过程中无安全事故发生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69FDBA1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1.发生一般安全事故（无人员伤亡、财产损失≤1万元），扣10分；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2.发生较大及以上安全事故，本项不得分，且按合同约定追究责任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194EDE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事故报告、现场核实</w:t>
            </w:r>
          </w:p>
        </w:tc>
      </w:tr>
      <w:tr w14:paraId="02A1A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5CF02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三、环保合规管理（15分）</w:t>
            </w:r>
          </w:p>
        </w:tc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D9E599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2CDF0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4F68BD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运输过程全程密闭，无污水泄漏、滴漏、沿途洒漏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CB2C2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1.发现污水滴漏、洒漏，每次扣5分；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2.发生污水泄漏造成环境污染，本项不得分，且按合同约定追究责任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8508FB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现场巡查、群众举报核实</w:t>
            </w:r>
          </w:p>
        </w:tc>
      </w:tr>
      <w:tr w14:paraId="0D7706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BB6AB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B443D2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E10FE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CE6584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严格按指定地点倾倒污水，无随意倾倒行为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A780E7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1.未按甲方指定地点倾倒，每次扣10分；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2.随意倾倒污水造成污染，本项不得分，移交环保部门处理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9C97B4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污水处理厂接收记录、现场核实</w:t>
            </w:r>
          </w:p>
        </w:tc>
      </w:tr>
      <w:tr w14:paraId="45276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4775C9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1F2687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E310DC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009CE3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车辆外观整洁，作业后及时清理作业现场，无遗留污染物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25E21E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1.车辆脏乱差，每辆次扣2分；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2.作业现场未清理，每次扣3分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951D10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现场检查</w:t>
            </w:r>
          </w:p>
        </w:tc>
      </w:tr>
      <w:tr w14:paraId="52ECB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50805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四、应急响应能力（15分）</w:t>
            </w:r>
          </w:p>
        </w:tc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0BBEF0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15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62F707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6BE10D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制定完善的《污水泄漏应急预案》和《安全生产应急预案》并报甲方备案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B41C85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1.未制定应急预案，本项不得分；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2.应急预案不完善，扣3-5分；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3.未报甲方备案，扣3分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30A15C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查阅应急预案、备案记录</w:t>
            </w:r>
          </w:p>
        </w:tc>
      </w:tr>
      <w:tr w14:paraId="096F4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6B22B3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D18650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FAD3A2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1608A3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特殊情况响应及时：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1.甲方临时应急需求1小时内车辆到位；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2.道路受阻立即通知甲方并按要求转运；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3.极端天气后24小时内完成积压污水拉运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1C8FE1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1.应急响应超时，每次扣5分；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2.未及时通知甲方导致损失扩大，扣10分；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3.未按时完成积压污水拉运，扣5-10分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021F1A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通话记录、拉运记录、现场核实</w:t>
            </w:r>
          </w:p>
        </w:tc>
      </w:tr>
      <w:tr w14:paraId="2048F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53C53C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91D8AF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699801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934E4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车辆故障停运超过24小时，12小时内提供同等规格备用车辆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215D036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1.未按要求提供备用车辆，每延误1天扣5分；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2.备用车辆不符合要求，扣5分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618F32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现场核实、车辆调度记录</w:t>
            </w:r>
          </w:p>
        </w:tc>
      </w:tr>
      <w:tr w14:paraId="3A506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D65D66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五、台账与资料管理（10分）</w:t>
            </w:r>
          </w:p>
        </w:tc>
        <w:tc>
          <w:tcPr>
            <w:tcW w:w="0" w:type="auto"/>
            <w:vMerge w:val="restart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54B4AD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760098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305DF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每月5日前按时提交上月《污水拉运月报》，内容完整准确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D01CC8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1.月报逾期提交，每逾期1天扣2分；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2.月报内容不完整、不准确，每次扣3分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11E4C6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查阅月报台账</w:t>
            </w:r>
          </w:p>
        </w:tc>
      </w:tr>
      <w:tr w14:paraId="010C0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C50334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vMerge w:val="continue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9EC7CA">
            <w:pPr>
              <w:jc w:val="center"/>
              <w:rPr>
                <w:color w:val="auto"/>
              </w:rPr>
            </w:pP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CE1BC9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786403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妥善保管各类资质文件、记录资料，便于甲方查阅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03E083D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1.资料丢失、损毁，每次扣5分；</w:t>
            </w:r>
            <w:r>
              <w:rPr>
                <w:color w:val="auto"/>
              </w:rPr>
              <w:br w:type="textWrapping"/>
            </w:r>
            <w:r>
              <w:rPr>
                <w:color w:val="auto"/>
              </w:rPr>
              <w:t>2.拒绝甲方查阅资料，每次扣3分</w:t>
            </w:r>
          </w:p>
        </w:tc>
        <w:tc>
          <w:tcPr>
            <w:tcW w:w="0" w:type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4C2ACA">
            <w:pPr>
              <w:jc w:val="left"/>
              <w:rPr>
                <w:color w:val="auto"/>
              </w:rPr>
            </w:pPr>
            <w:r>
              <w:rPr>
                <w:color w:val="auto"/>
              </w:rPr>
              <w:t>现场查阅资料</w:t>
            </w:r>
          </w:p>
        </w:tc>
      </w:tr>
    </w:tbl>
    <w:p w14:paraId="090F8B06">
      <w:pPr>
        <w:spacing w:before="320" w:after="120" w:line="288" w:lineRule="auto"/>
        <w:ind w:left="0"/>
        <w:jc w:val="left"/>
        <w:outlineLvl w:val="1"/>
        <w:rPr>
          <w:color w:val="auto"/>
        </w:rPr>
      </w:pPr>
      <w:bookmarkStart w:id="2" w:name="heading_2"/>
      <w:r>
        <w:rPr>
          <w:rFonts w:ascii="Arial" w:hAnsi="Arial" w:eastAsia="等线" w:cs="Arial"/>
          <w:b/>
          <w:color w:val="auto"/>
          <w:sz w:val="32"/>
        </w:rPr>
        <w:t>三、加分项（最高加10分）</w:t>
      </w:r>
      <w:bookmarkEnd w:id="2"/>
    </w:p>
    <w:p w14:paraId="5421B620">
      <w:pPr>
        <w:numPr>
          <w:ilvl w:val="0"/>
          <w:numId w:val="21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季度内无任何安全事故、环保事故及服务投诉，加3分；</w:t>
      </w:r>
    </w:p>
    <w:p w14:paraId="009BE98B">
      <w:pPr>
        <w:numPr>
          <w:ilvl w:val="0"/>
          <w:numId w:val="22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全年累计拉运量超出合同约定10%以上，且服务质量达标，加5分；</w:t>
      </w:r>
    </w:p>
    <w:p w14:paraId="1DB3DA65">
      <w:pPr>
        <w:numPr>
          <w:ilvl w:val="0"/>
          <w:numId w:val="23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积极配合甲方完成应急抢险、重大活动保障等额外任务，每次加2-5分；</w:t>
      </w:r>
    </w:p>
    <w:p w14:paraId="36E26057">
      <w:pPr>
        <w:numPr>
          <w:ilvl w:val="0"/>
          <w:numId w:val="24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提出合理化建议被甲方采纳并取得良好效果，每次加2-3分。</w:t>
      </w:r>
    </w:p>
    <w:p w14:paraId="767B37CE">
      <w:pPr>
        <w:spacing w:before="320" w:after="120" w:line="288" w:lineRule="auto"/>
        <w:ind w:left="0"/>
        <w:jc w:val="left"/>
        <w:outlineLvl w:val="1"/>
        <w:rPr>
          <w:color w:val="auto"/>
        </w:rPr>
      </w:pPr>
      <w:bookmarkStart w:id="3" w:name="heading_3"/>
      <w:r>
        <w:rPr>
          <w:rFonts w:ascii="Arial" w:hAnsi="Arial" w:eastAsia="等线" w:cs="Arial"/>
          <w:b/>
          <w:color w:val="auto"/>
          <w:sz w:val="32"/>
        </w:rPr>
        <w:t>四、考核结果应用</w:t>
      </w:r>
      <w:bookmarkEnd w:id="3"/>
    </w:p>
    <w:p w14:paraId="1CD2B25E">
      <w:pPr>
        <w:numPr>
          <w:ilvl w:val="0"/>
          <w:numId w:val="25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b/>
          <w:color w:val="auto"/>
          <w:sz w:val="22"/>
        </w:rPr>
        <w:t>季度考核结果应用</w:t>
      </w:r>
      <w:r>
        <w:rPr>
          <w:rFonts w:ascii="Arial" w:hAnsi="Arial" w:eastAsia="等线" w:cs="Arial"/>
          <w:color w:val="auto"/>
          <w:sz w:val="22"/>
        </w:rPr>
        <w:t>：</w:t>
      </w:r>
    </w:p>
    <w:p w14:paraId="573B41F4">
      <w:pPr>
        <w:numPr>
          <w:ilvl w:val="0"/>
          <w:numId w:val="26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90分及以上（优秀）：全额支付当季20%服务质量保证金；</w:t>
      </w:r>
    </w:p>
    <w:p w14:paraId="08E71AA7">
      <w:pPr>
        <w:numPr>
          <w:ilvl w:val="0"/>
          <w:numId w:val="27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80-89分（合格）：支付当季90%服务质量保证金；</w:t>
      </w:r>
    </w:p>
    <w:p w14:paraId="65ECA967">
      <w:pPr>
        <w:numPr>
          <w:ilvl w:val="0"/>
          <w:numId w:val="28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70-79分（基本合格）：支付当季70%服务质量保证金，甲方下达整改通知书，限期3日内整改；</w:t>
      </w:r>
    </w:p>
    <w:p w14:paraId="2D8CB135">
      <w:pPr>
        <w:numPr>
          <w:ilvl w:val="0"/>
          <w:numId w:val="29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70分以下（不合格）：扣除当季全部服务质量保证金，甲方约谈乙方负责人，限期7日内整改；整改后仍不合格的，甲方有权暂停支付后续服务费。</w:t>
      </w:r>
    </w:p>
    <w:p w14:paraId="69519141">
      <w:pPr>
        <w:numPr>
          <w:ilvl w:val="0"/>
          <w:numId w:val="30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b/>
          <w:color w:val="auto"/>
          <w:sz w:val="22"/>
        </w:rPr>
        <w:t>年度综合评定结果应用</w:t>
      </w:r>
      <w:r>
        <w:rPr>
          <w:rFonts w:ascii="Arial" w:hAnsi="Arial" w:eastAsia="等线" w:cs="Arial"/>
          <w:color w:val="auto"/>
          <w:sz w:val="22"/>
        </w:rPr>
        <w:t>：</w:t>
      </w:r>
    </w:p>
    <w:p w14:paraId="72096096">
      <w:pPr>
        <w:numPr>
          <w:ilvl w:val="0"/>
          <w:numId w:val="31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年度平均分90分及以上：优先续签下一期合同；</w:t>
      </w:r>
    </w:p>
    <w:p w14:paraId="3D0AF4E2">
      <w:pPr>
        <w:numPr>
          <w:ilvl w:val="0"/>
          <w:numId w:val="32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年度平均分80-89分：具备续签资格，续签费用按原合同标准执行；</w:t>
      </w:r>
    </w:p>
    <w:p w14:paraId="691861DC">
      <w:pPr>
        <w:numPr>
          <w:ilvl w:val="0"/>
          <w:numId w:val="33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年度平均分70-79分：甲方有权决定是否续签，若续签需重新协商服务费用及条款；</w:t>
      </w:r>
    </w:p>
    <w:p w14:paraId="1C128CB2">
      <w:pPr>
        <w:numPr>
          <w:ilvl w:val="0"/>
          <w:numId w:val="34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年度平均分70分以下：甲方不予续签合同，合同到期自动终止。</w:t>
      </w:r>
    </w:p>
    <w:p w14:paraId="3740BE8A">
      <w:pPr>
        <w:numPr>
          <w:ilvl w:val="0"/>
          <w:numId w:val="35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b/>
          <w:color w:val="auto"/>
          <w:sz w:val="22"/>
        </w:rPr>
        <w:t>一票否决项</w:t>
      </w:r>
      <w:r>
        <w:rPr>
          <w:rFonts w:ascii="Arial" w:hAnsi="Arial" w:eastAsia="等线" w:cs="Arial"/>
          <w:color w:val="auto"/>
          <w:sz w:val="22"/>
        </w:rPr>
        <w:t>：</w:t>
      </w:r>
      <w:r>
        <w:rPr>
          <w:rFonts w:ascii="Arial" w:hAnsi="Arial" w:eastAsia="等线" w:cs="Arial"/>
          <w:color w:val="auto"/>
          <w:sz w:val="22"/>
        </w:rPr>
        <w:br w:type="textWrapping"/>
      </w:r>
      <w:r>
        <w:rPr>
          <w:rFonts w:ascii="Arial" w:hAnsi="Arial" w:eastAsia="等线" w:cs="Arial"/>
          <w:color w:val="auto"/>
          <w:sz w:val="22"/>
        </w:rPr>
        <w:t>出现以下任一情况，当季考核直接判定为不合格，且甲方有权单方面解除合同：</w:t>
      </w:r>
    </w:p>
    <w:p w14:paraId="58467599">
      <w:pPr>
        <w:numPr>
          <w:ilvl w:val="0"/>
          <w:numId w:val="36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发生重大及以上安全事故或环境污染事故，造成恶劣影响的；</w:t>
      </w:r>
    </w:p>
    <w:p w14:paraId="1F70BA60">
      <w:pPr>
        <w:numPr>
          <w:ilvl w:val="0"/>
          <w:numId w:val="37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累计发生3次及以上污水外溢事故的；</w:t>
      </w:r>
    </w:p>
    <w:p w14:paraId="3412CCE0">
      <w:pPr>
        <w:numPr>
          <w:ilvl w:val="0"/>
          <w:numId w:val="38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存在随意倾倒污水行为，被环保部门处罚的；</w:t>
      </w:r>
    </w:p>
    <w:p w14:paraId="3B430EBC">
      <w:pPr>
        <w:numPr>
          <w:ilvl w:val="0"/>
          <w:numId w:val="39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提供虚假资质文件或拉运记录，弄虚作假的；</w:t>
      </w:r>
    </w:p>
    <w:p w14:paraId="74D69B8A">
      <w:pPr>
        <w:numPr>
          <w:ilvl w:val="0"/>
          <w:numId w:val="40"/>
        </w:numPr>
        <w:spacing w:before="120" w:after="120" w:line="288" w:lineRule="auto"/>
        <w:ind w:left="453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擅自转包、分包本项目服务的。</w:t>
      </w:r>
    </w:p>
    <w:p w14:paraId="3458A092">
      <w:pPr>
        <w:spacing w:before="320" w:after="120" w:line="288" w:lineRule="auto"/>
        <w:ind w:left="0"/>
        <w:jc w:val="left"/>
        <w:outlineLvl w:val="1"/>
        <w:rPr>
          <w:color w:val="auto"/>
        </w:rPr>
      </w:pPr>
      <w:bookmarkStart w:id="4" w:name="heading_4"/>
      <w:r>
        <w:rPr>
          <w:rFonts w:ascii="Arial" w:hAnsi="Arial" w:eastAsia="等线" w:cs="Arial"/>
          <w:b/>
          <w:color w:val="auto"/>
          <w:sz w:val="32"/>
        </w:rPr>
        <w:t>五、附则</w:t>
      </w:r>
      <w:bookmarkEnd w:id="4"/>
    </w:p>
    <w:p w14:paraId="4BA042A4">
      <w:pPr>
        <w:numPr>
          <w:ilvl w:val="0"/>
          <w:numId w:val="41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乙方对考核结果有异议的，可在收到考核结果之日起3个工作日内向甲方提出书面复核申请，并提供相关证明材料。甲方应在收到申请后5个工作日内组织复核，并出具复核意见，复核意见为最终结果。</w:t>
      </w:r>
    </w:p>
    <w:p w14:paraId="3204F1A1">
      <w:pPr>
        <w:numPr>
          <w:ilvl w:val="0"/>
          <w:numId w:val="42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本考核标准未尽事宜，由甲乙双方协商确定，可作为补充条款纳入本合同。</w:t>
      </w:r>
    </w:p>
    <w:p w14:paraId="7C4C33A8">
      <w:pPr>
        <w:numPr>
          <w:ilvl w:val="0"/>
          <w:numId w:val="43"/>
        </w:numPr>
        <w:spacing w:before="120" w:after="120" w:line="288" w:lineRule="auto"/>
        <w:ind w:left="0"/>
        <w:jc w:val="left"/>
        <w:rPr>
          <w:color w:val="auto"/>
        </w:rPr>
      </w:pPr>
      <w:r>
        <w:rPr>
          <w:rFonts w:ascii="Arial" w:hAnsi="Arial" w:eastAsia="等线" w:cs="Arial"/>
          <w:color w:val="auto"/>
          <w:sz w:val="22"/>
        </w:rPr>
        <w:t>本考核标准自合同生效之日起执行，由府谷县住房和城乡建设局负责解释。</w:t>
      </w:r>
    </w:p>
    <w:p w14:paraId="39E507C7">
      <w:pPr>
        <w:pStyle w:val="6"/>
        <w:numPr>
          <w:numId w:val="0"/>
        </w:numPr>
        <w:tabs>
          <w:tab w:val="left" w:pos="780"/>
        </w:tabs>
        <w:ind w:leftChars="200"/>
        <w:rPr>
          <w:rFonts w:hint="eastAsia" w:ascii="Times New Roman" w:hAnsi="Times New Roman" w:eastAsia="宋体" w:cs="Times New Roman"/>
          <w:sz w:val="24"/>
          <w:lang w:val="en-US" w:eastAsia="zh-CN"/>
        </w:rPr>
      </w:pPr>
    </w:p>
    <w:p w14:paraId="0A908FBE">
      <w:pPr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jc w:val="center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------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－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以下无正文------</w:t>
      </w:r>
    </w:p>
    <w:p w14:paraId="160849E7">
      <w:pPr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color w:val="FF0000"/>
          <w:sz w:val="32"/>
          <w:szCs w:val="32"/>
        </w:rPr>
      </w:pPr>
      <w:r>
        <w:rPr>
          <w:rFonts w:hint="eastAsia" w:ascii="仿宋" w:hAnsi="仿宋" w:eastAsia="仿宋" w:cs="仿宋"/>
          <w:b/>
          <w:color w:val="FF0000"/>
          <w:sz w:val="32"/>
          <w:szCs w:val="32"/>
        </w:rPr>
        <w:t>注：本合同为简易版本</w:t>
      </w:r>
      <w:r>
        <w:rPr>
          <w:rFonts w:hint="eastAsia" w:ascii="仿宋" w:hAnsi="仿宋" w:eastAsia="仿宋" w:cs="仿宋"/>
          <w:b/>
          <w:color w:val="FF0000"/>
          <w:sz w:val="32"/>
          <w:szCs w:val="32"/>
          <w:lang w:eastAsia="zh-CN"/>
        </w:rPr>
        <w:t>，仅供参考</w:t>
      </w:r>
      <w:r>
        <w:rPr>
          <w:rFonts w:hint="eastAsia" w:ascii="仿宋" w:hAnsi="仿宋" w:eastAsia="仿宋" w:cs="仿宋"/>
          <w:b/>
          <w:color w:val="FF0000"/>
          <w:sz w:val="32"/>
          <w:szCs w:val="32"/>
        </w:rPr>
        <w:t>，使用过程中，请结合具体项目，充实细化</w:t>
      </w:r>
      <w:r>
        <w:rPr>
          <w:rFonts w:hint="eastAsia" w:ascii="仿宋" w:hAnsi="仿宋" w:eastAsia="仿宋" w:cs="仿宋"/>
          <w:b/>
          <w:color w:val="FF000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/>
          <w:color w:val="FF0000"/>
          <w:sz w:val="32"/>
          <w:szCs w:val="32"/>
          <w:lang w:val="en-US" w:eastAsia="zh-CN"/>
        </w:rPr>
        <w:t>修改</w:t>
      </w:r>
      <w:r>
        <w:rPr>
          <w:rFonts w:hint="eastAsia" w:ascii="仿宋" w:hAnsi="仿宋" w:eastAsia="仿宋" w:cs="仿宋"/>
          <w:b/>
          <w:color w:val="FF0000"/>
          <w:sz w:val="32"/>
          <w:szCs w:val="32"/>
        </w:rPr>
        <w:t>。</w:t>
      </w:r>
    </w:p>
    <w:p w14:paraId="7DCFD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32"/>
          <w:szCs w:val="32"/>
          <w:u w:val="single"/>
        </w:rPr>
      </w:pPr>
    </w:p>
    <w:p w14:paraId="40CFA8DB">
      <w:pPr>
        <w:pageBreakBefore w:val="0"/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履约验收标准和方法</w:t>
      </w:r>
    </w:p>
    <w:p w14:paraId="24551355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（一）履约验收时间：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服务期结束后15个工作日内。</w:t>
      </w:r>
    </w:p>
    <w:p w14:paraId="6C57285F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（二）履约验收主体及内容：</w:t>
      </w:r>
    </w:p>
    <w:p w14:paraId="4E4903CF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验收主体：府谷县住房和城乡建设局</w:t>
      </w:r>
    </w:p>
    <w:p w14:paraId="780CF254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验收内容：采购人根据合同要求，对项目所包含的审查内容进行验收。</w:t>
      </w:r>
    </w:p>
    <w:p w14:paraId="15A1144F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（三）验收依据：</w:t>
      </w:r>
    </w:p>
    <w:p w14:paraId="5C01743C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1.招标文件、投标文件、澄清表（函）；</w:t>
      </w:r>
    </w:p>
    <w:p w14:paraId="32DA4A4D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2.验收合格证、质检报告；</w:t>
      </w:r>
    </w:p>
    <w:p w14:paraId="270FE5B8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3.合同及附件文本；</w:t>
      </w:r>
    </w:p>
    <w:p w14:paraId="0EFCDA46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4.合同签订时国家及行业现行的标准和技术规范。</w:t>
      </w:r>
    </w:p>
    <w:p w14:paraId="04B73A38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（四）验收标准：</w:t>
      </w:r>
    </w:p>
    <w:p w14:paraId="02178602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1.编制的服务方案应符合国家、省、市现行有关标准、规范的规定，并对检测成果承担相应的法律责任；</w:t>
      </w:r>
    </w:p>
    <w:p w14:paraId="5DE17BDE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（五）验收方法：</w:t>
      </w:r>
    </w:p>
    <w:p w14:paraId="2CBC0F88">
      <w:pPr>
        <w:pStyle w:val="14"/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采购人组织验收人员，按照相关验收标准对采购项目的履约结果进行验收。</w:t>
      </w:r>
    </w:p>
    <w:p w14:paraId="740B756A">
      <w:pPr>
        <w:pageBreakBefore w:val="0"/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六、支付方式：</w:t>
      </w:r>
    </w:p>
    <w:p w14:paraId="6638A493">
      <w:pPr>
        <w:pageBreakBefore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付款方式：见合同。</w:t>
      </w:r>
    </w:p>
    <w:p w14:paraId="0AD8181E">
      <w:pPr>
        <w:pageBreakBefore w:val="0"/>
        <w:kinsoku/>
        <w:wordWrap/>
        <w:overflowPunct/>
        <w:topLinePunct w:val="0"/>
        <w:autoSpaceDE/>
        <w:bidi w:val="0"/>
        <w:spacing w:line="560" w:lineRule="exact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七、采购单位、采购单位地址、项目联系人及联系电话</w:t>
      </w:r>
    </w:p>
    <w:p w14:paraId="6AF67D10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1、采购单位：府谷县住房和城乡建设局</w:t>
      </w:r>
    </w:p>
    <w:p w14:paraId="659B26B9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2、采购单位地址：陕西省榆林市府谷县金世纪大楼东辅楼B座</w:t>
      </w:r>
    </w:p>
    <w:p w14:paraId="3C341384">
      <w:pPr>
        <w:pStyle w:val="1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bidi w:val="0"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3、项目联系人：温工     联系电话：0912-8720593</w:t>
      </w:r>
    </w:p>
    <w:p w14:paraId="08C65E04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</w:p>
    <w:p w14:paraId="56F1A491">
      <w:pPr>
        <w:keepNext w:val="0"/>
        <w:keepLines w:val="0"/>
        <w:pageBreakBefore w:val="0"/>
        <w:widowControl w:val="0"/>
        <w:tabs>
          <w:tab w:val="left" w:pos="756"/>
        </w:tabs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府谷县住房和城乡建设局</w:t>
      </w:r>
    </w:p>
    <w:p w14:paraId="4C013EB6">
      <w:pPr>
        <w:pageBreakBefore w:val="0"/>
        <w:kinsoku/>
        <w:wordWrap w:val="0"/>
        <w:overflowPunct/>
        <w:topLinePunct w:val="0"/>
        <w:autoSpaceDE/>
        <w:bidi w:val="0"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kern w:val="2"/>
          <w:sz w:val="32"/>
          <w:szCs w:val="32"/>
          <w:shd w:val="clear"/>
          <w:lang w:val="en-US" w:eastAsia="zh-CN" w:bidi="ar-SA"/>
        </w:rPr>
        <w:t>2026年6月18日</w:t>
      </w:r>
    </w:p>
    <w:sectPr>
      <w:footerReference r:id="rId3" w:type="default"/>
      <w:pgSz w:w="11906" w:h="16838"/>
      <w:pgMar w:top="1440" w:right="1689" w:bottom="1440" w:left="1633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368B6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9AFD6A">
                          <w:pPr>
                            <w:pStyle w:val="7"/>
                          </w:pPr>
                          <w:r>
                            <w:t>第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页共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t>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9AFD6A">
                    <w:pPr>
                      <w:pStyle w:val="7"/>
                    </w:pPr>
                    <w:r>
                      <w:t>第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页共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43F966"/>
    <w:multiLevelType w:val="singleLevel"/>
    <w:tmpl w:val="8243F966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">
    <w:nsid w:val="894E73B1"/>
    <w:multiLevelType w:val="singleLevel"/>
    <w:tmpl w:val="894E73B1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2">
    <w:nsid w:val="8C4C8596"/>
    <w:multiLevelType w:val="singleLevel"/>
    <w:tmpl w:val="8C4C8596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3">
    <w:nsid w:val="9239341B"/>
    <w:multiLevelType w:val="singleLevel"/>
    <w:tmpl w:val="9239341B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4">
    <w:nsid w:val="9666F3DF"/>
    <w:multiLevelType w:val="singleLevel"/>
    <w:tmpl w:val="9666F3DF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5">
    <w:nsid w:val="9AC9811A"/>
    <w:multiLevelType w:val="singleLevel"/>
    <w:tmpl w:val="9AC9811A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6">
    <w:nsid w:val="9C8AC8EF"/>
    <w:multiLevelType w:val="singleLevel"/>
    <w:tmpl w:val="9C8AC8EF"/>
    <w:lvl w:ilvl="0" w:tentative="0">
      <w:start w:val="1"/>
      <w:numFmt w:val="lowerLetter"/>
      <w:lvlText w:val="%1."/>
      <w:lvlJc w:val="left"/>
      <w:rPr>
        <w:color w:val="3370FF"/>
      </w:rPr>
    </w:lvl>
  </w:abstractNum>
  <w:abstractNum w:abstractNumId="7">
    <w:nsid w:val="B0F1ACD9"/>
    <w:multiLevelType w:val="singleLevel"/>
    <w:tmpl w:val="B0F1ACD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8">
    <w:nsid w:val="B5E306ED"/>
    <w:multiLevelType w:val="singleLevel"/>
    <w:tmpl w:val="B5E306ED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9">
    <w:nsid w:val="BF205925"/>
    <w:multiLevelType w:val="singleLevel"/>
    <w:tmpl w:val="BF205925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0">
    <w:nsid w:val="C8879AEF"/>
    <w:multiLevelType w:val="singleLevel"/>
    <w:tmpl w:val="C8879AEF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1">
    <w:nsid w:val="CAEAE78F"/>
    <w:multiLevelType w:val="singleLevel"/>
    <w:tmpl w:val="CAEAE78F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2">
    <w:nsid w:val="CBED4849"/>
    <w:multiLevelType w:val="singleLevel"/>
    <w:tmpl w:val="CBED4849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3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4">
    <w:nsid w:val="D2423C99"/>
    <w:multiLevelType w:val="singleLevel"/>
    <w:tmpl w:val="D2423C99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5">
    <w:nsid w:val="D7F9FE59"/>
    <w:multiLevelType w:val="singleLevel"/>
    <w:tmpl w:val="D7F9FE5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6">
    <w:nsid w:val="DC952D0F"/>
    <w:multiLevelType w:val="singleLevel"/>
    <w:tmpl w:val="DC952D0F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17">
    <w:nsid w:val="DCBA6B53"/>
    <w:multiLevelType w:val="singleLevel"/>
    <w:tmpl w:val="DCBA6B53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18">
    <w:nsid w:val="DF028757"/>
    <w:multiLevelType w:val="singleLevel"/>
    <w:tmpl w:val="DF02875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abstractNum w:abstractNumId="19">
    <w:nsid w:val="F13C632D"/>
    <w:multiLevelType w:val="singleLevel"/>
    <w:tmpl w:val="F13C632D"/>
    <w:lvl w:ilvl="0" w:tentative="0">
      <w:start w:val="1"/>
      <w:numFmt w:val="decimal"/>
      <w:suff w:val="nothing"/>
      <w:lvlText w:val="%1、"/>
      <w:lvlJc w:val="left"/>
    </w:lvl>
  </w:abstractNum>
  <w:abstractNum w:abstractNumId="20">
    <w:nsid w:val="F2AB8826"/>
    <w:multiLevelType w:val="singleLevel"/>
    <w:tmpl w:val="F2AB8826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21">
    <w:nsid w:val="F4B5D9F5"/>
    <w:multiLevelType w:val="singleLevel"/>
    <w:tmpl w:val="F4B5D9F5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2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3">
    <w:nsid w:val="0248C179"/>
    <w:multiLevelType w:val="singleLevel"/>
    <w:tmpl w:val="0248C179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4">
    <w:nsid w:val="03D62ECE"/>
    <w:multiLevelType w:val="singleLevel"/>
    <w:tmpl w:val="03D62ECE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25">
    <w:nsid w:val="073F21CE"/>
    <w:multiLevelType w:val="singleLevel"/>
    <w:tmpl w:val="073F21CE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26">
    <w:nsid w:val="0E640482"/>
    <w:multiLevelType w:val="singleLevel"/>
    <w:tmpl w:val="0E640482"/>
    <w:lvl w:ilvl="0" w:tentative="0">
      <w:start w:val="4"/>
      <w:numFmt w:val="lowerLetter"/>
      <w:lvlText w:val="%1."/>
      <w:lvlJc w:val="left"/>
      <w:rPr>
        <w:color w:val="3370FF"/>
      </w:rPr>
    </w:lvl>
  </w:abstractNum>
  <w:abstractNum w:abstractNumId="27">
    <w:nsid w:val="2470EC97"/>
    <w:multiLevelType w:val="singleLevel"/>
    <w:tmpl w:val="2470EC97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28">
    <w:nsid w:val="25B654F3"/>
    <w:multiLevelType w:val="singleLevel"/>
    <w:tmpl w:val="25B654F3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29">
    <w:nsid w:val="2A8F537B"/>
    <w:multiLevelType w:val="singleLevel"/>
    <w:tmpl w:val="2A8F537B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30">
    <w:nsid w:val="32034AE1"/>
    <w:multiLevelType w:val="singleLevel"/>
    <w:tmpl w:val="32034AE1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31">
    <w:nsid w:val="3EB1A7FA"/>
    <w:multiLevelType w:val="singleLevel"/>
    <w:tmpl w:val="3EB1A7FA"/>
    <w:lvl w:ilvl="0" w:tentative="0">
      <w:start w:val="1"/>
      <w:numFmt w:val="decimal"/>
      <w:lvlText w:val="%1."/>
      <w:lvlJc w:val="left"/>
      <w:pPr>
        <w:tabs>
          <w:tab w:val="left" w:pos="210"/>
        </w:tabs>
        <w:ind w:left="0" w:firstLine="480"/>
      </w:pPr>
      <w:rPr>
        <w:rFonts w:hint="default"/>
      </w:rPr>
    </w:lvl>
  </w:abstractNum>
  <w:abstractNum w:abstractNumId="32">
    <w:nsid w:val="46A08BB8"/>
    <w:multiLevelType w:val="singleLevel"/>
    <w:tmpl w:val="46A08BB8"/>
    <w:lvl w:ilvl="0" w:tentative="0">
      <w:start w:val="5"/>
      <w:numFmt w:val="lowerLetter"/>
      <w:lvlText w:val="%1."/>
      <w:lvlJc w:val="left"/>
      <w:rPr>
        <w:color w:val="3370FF"/>
      </w:rPr>
    </w:lvl>
  </w:abstractNum>
  <w:abstractNum w:abstractNumId="33">
    <w:nsid w:val="4C1BAE26"/>
    <w:multiLevelType w:val="singleLevel"/>
    <w:tmpl w:val="4C1BAE26"/>
    <w:lvl w:ilvl="0" w:tentative="0">
      <w:start w:val="2"/>
      <w:numFmt w:val="lowerLetter"/>
      <w:lvlText w:val="%1."/>
      <w:lvlJc w:val="left"/>
      <w:rPr>
        <w:color w:val="3370FF"/>
      </w:rPr>
    </w:lvl>
  </w:abstractNum>
  <w:abstractNum w:abstractNumId="34">
    <w:nsid w:val="4C350E94"/>
    <w:multiLevelType w:val="singleLevel"/>
    <w:tmpl w:val="4C350E94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35">
    <w:nsid w:val="4D4DC07F"/>
    <w:multiLevelType w:val="singleLevel"/>
    <w:tmpl w:val="4D4DC07F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36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37">
    <w:nsid w:val="5A241D34"/>
    <w:multiLevelType w:val="singleLevel"/>
    <w:tmpl w:val="5A241D34"/>
    <w:lvl w:ilvl="0" w:tentative="0">
      <w:start w:val="0"/>
      <w:numFmt w:val="bullet"/>
      <w:lvlText w:val="￮"/>
      <w:lvlJc w:val="left"/>
      <w:rPr>
        <w:color w:val="3370FF"/>
      </w:rPr>
    </w:lvl>
  </w:abstractNum>
  <w:abstractNum w:abstractNumId="38">
    <w:nsid w:val="60382F6E"/>
    <w:multiLevelType w:val="singleLevel"/>
    <w:tmpl w:val="60382F6E"/>
    <w:lvl w:ilvl="0" w:tentative="0">
      <w:start w:val="3"/>
      <w:numFmt w:val="lowerLetter"/>
      <w:lvlText w:val="%1."/>
      <w:lvlJc w:val="left"/>
      <w:rPr>
        <w:color w:val="3370FF"/>
      </w:rPr>
    </w:lvl>
  </w:abstractNum>
  <w:abstractNum w:abstractNumId="39">
    <w:nsid w:val="72183CF9"/>
    <w:multiLevelType w:val="singleLevel"/>
    <w:tmpl w:val="72183CF9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40">
    <w:nsid w:val="77ECEA79"/>
    <w:multiLevelType w:val="singleLevel"/>
    <w:tmpl w:val="77ECEA79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41">
    <w:nsid w:val="7C246926"/>
    <w:multiLevelType w:val="singleLevel"/>
    <w:tmpl w:val="7C246926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2">
    <w:nsid w:val="7E7F2977"/>
    <w:multiLevelType w:val="singleLevel"/>
    <w:tmpl w:val="7E7F2977"/>
    <w:lvl w:ilvl="0" w:tentative="0">
      <w:start w:val="1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num w:numId="1">
    <w:abstractNumId w:val="19"/>
  </w:num>
  <w:num w:numId="2">
    <w:abstractNumId w:val="18"/>
  </w:num>
  <w:num w:numId="3">
    <w:abstractNumId w:val="34"/>
  </w:num>
  <w:num w:numId="4">
    <w:abstractNumId w:val="2"/>
  </w:num>
  <w:num w:numId="5">
    <w:abstractNumId w:val="5"/>
  </w:num>
  <w:num w:numId="6">
    <w:abstractNumId w:val="25"/>
  </w:num>
  <w:num w:numId="7">
    <w:abstractNumId w:val="16"/>
  </w:num>
  <w:num w:numId="8">
    <w:abstractNumId w:val="1"/>
  </w:num>
  <w:num w:numId="9">
    <w:abstractNumId w:val="42"/>
  </w:num>
  <w:num w:numId="10">
    <w:abstractNumId w:val="31"/>
  </w:num>
  <w:num w:numId="11">
    <w:abstractNumId w:val="20"/>
  </w:num>
  <w:num w:numId="12">
    <w:abstractNumId w:val="0"/>
  </w:num>
  <w:num w:numId="13">
    <w:abstractNumId w:val="12"/>
  </w:num>
  <w:num w:numId="14">
    <w:abstractNumId w:val="14"/>
  </w:num>
  <w:num w:numId="15">
    <w:abstractNumId w:val="30"/>
  </w:num>
  <w:num w:numId="16">
    <w:abstractNumId w:val="4"/>
  </w:num>
  <w:num w:numId="17">
    <w:abstractNumId w:val="11"/>
  </w:num>
  <w:num w:numId="18">
    <w:abstractNumId w:val="22"/>
  </w:num>
  <w:num w:numId="19">
    <w:abstractNumId w:val="13"/>
  </w:num>
  <w:num w:numId="20">
    <w:abstractNumId w:val="36"/>
  </w:num>
  <w:num w:numId="21">
    <w:abstractNumId w:val="9"/>
  </w:num>
  <w:num w:numId="22">
    <w:abstractNumId w:val="8"/>
  </w:num>
  <w:num w:numId="23">
    <w:abstractNumId w:val="24"/>
  </w:num>
  <w:num w:numId="24">
    <w:abstractNumId w:val="28"/>
  </w:num>
  <w:num w:numId="25">
    <w:abstractNumId w:val="39"/>
  </w:num>
  <w:num w:numId="26">
    <w:abstractNumId w:val="23"/>
  </w:num>
  <w:num w:numId="27">
    <w:abstractNumId w:val="3"/>
  </w:num>
  <w:num w:numId="28">
    <w:abstractNumId w:val="29"/>
  </w:num>
  <w:num w:numId="29">
    <w:abstractNumId w:val="37"/>
  </w:num>
  <w:num w:numId="30">
    <w:abstractNumId w:val="10"/>
  </w:num>
  <w:num w:numId="31">
    <w:abstractNumId w:val="35"/>
  </w:num>
  <w:num w:numId="32">
    <w:abstractNumId w:val="21"/>
  </w:num>
  <w:num w:numId="33">
    <w:abstractNumId w:val="27"/>
  </w:num>
  <w:num w:numId="34">
    <w:abstractNumId w:val="17"/>
  </w:num>
  <w:num w:numId="35">
    <w:abstractNumId w:val="15"/>
  </w:num>
  <w:num w:numId="36">
    <w:abstractNumId w:val="6"/>
  </w:num>
  <w:num w:numId="37">
    <w:abstractNumId w:val="33"/>
  </w:num>
  <w:num w:numId="38">
    <w:abstractNumId w:val="38"/>
  </w:num>
  <w:num w:numId="39">
    <w:abstractNumId w:val="26"/>
  </w:num>
  <w:num w:numId="40">
    <w:abstractNumId w:val="32"/>
  </w:num>
  <w:num w:numId="41">
    <w:abstractNumId w:val="7"/>
  </w:num>
  <w:num w:numId="42">
    <w:abstractNumId w:val="41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5MmM3OGRkYWFjYmFjN2U0ZWRjMTNhMmYxMTNmYWMifQ=="/>
  </w:docVars>
  <w:rsids>
    <w:rsidRoot w:val="488F75B9"/>
    <w:rsid w:val="02022E75"/>
    <w:rsid w:val="12007BF7"/>
    <w:rsid w:val="1AF030CB"/>
    <w:rsid w:val="1BEA4891"/>
    <w:rsid w:val="1F995A35"/>
    <w:rsid w:val="220655BF"/>
    <w:rsid w:val="238332ED"/>
    <w:rsid w:val="249F74AC"/>
    <w:rsid w:val="29D87A35"/>
    <w:rsid w:val="2CE22B34"/>
    <w:rsid w:val="321502BA"/>
    <w:rsid w:val="3C5B5F74"/>
    <w:rsid w:val="3F9C53F9"/>
    <w:rsid w:val="41E329D7"/>
    <w:rsid w:val="452E22C6"/>
    <w:rsid w:val="46A03964"/>
    <w:rsid w:val="488F75B9"/>
    <w:rsid w:val="4ABC3F6B"/>
    <w:rsid w:val="4AC805A9"/>
    <w:rsid w:val="4D7729E2"/>
    <w:rsid w:val="51B22A95"/>
    <w:rsid w:val="5E433C68"/>
    <w:rsid w:val="603832E9"/>
    <w:rsid w:val="62CA278D"/>
    <w:rsid w:val="660A5C05"/>
    <w:rsid w:val="68E73C8D"/>
    <w:rsid w:val="69723126"/>
    <w:rsid w:val="6B45261C"/>
    <w:rsid w:val="6C7A43BD"/>
    <w:rsid w:val="6D34466B"/>
    <w:rsid w:val="6E6C7AB6"/>
    <w:rsid w:val="6F035B3D"/>
    <w:rsid w:val="750B6188"/>
    <w:rsid w:val="75DB7A59"/>
    <w:rsid w:val="78FE6611"/>
    <w:rsid w:val="7EC9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qFormat="1" w:uiPriority="39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 w:val="0"/>
      <w:keepLines w:val="0"/>
      <w:widowControl w:val="0"/>
      <w:spacing w:before="240" w:beforeLines="0" w:after="120" w:afterLines="0" w:line="360" w:lineRule="auto"/>
      <w:jc w:val="left"/>
      <w:outlineLvl w:val="0"/>
    </w:pPr>
    <w:rPr>
      <w:rFonts w:ascii="宋体" w:hAnsi="宋体" w:eastAsia="宋体" w:cs="宋体"/>
      <w:b/>
      <w:bCs/>
      <w:kern w:val="44"/>
      <w:sz w:val="24"/>
      <w:szCs w:val="30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spacing w:line="360" w:lineRule="auto"/>
      <w:outlineLvl w:val="3"/>
    </w:pPr>
    <w:rPr>
      <w:rFonts w:ascii="Arial" w:hAnsi="Arial"/>
      <w:b/>
      <w:bCs/>
      <w:szCs w:val="28"/>
    </w:rPr>
  </w:style>
  <w:style w:type="character" w:default="1" w:styleId="13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ind w:firstLine="420"/>
    </w:pPr>
    <w:rPr>
      <w:szCs w:val="20"/>
    </w:rPr>
  </w:style>
  <w:style w:type="paragraph" w:styleId="6">
    <w:name w:val="Body Text"/>
    <w:qFormat/>
    <w:uiPriority w:val="0"/>
    <w:pPr>
      <w:spacing w:after="120" w:afterAutospacing="0" w:line="300" w:lineRule="auto"/>
      <w:ind w:firstLine="420" w:firstLineChars="200"/>
    </w:pPr>
    <w:rPr>
      <w:rFonts w:ascii="Times New Roman" w:hAnsi="Times New Roman" w:eastAsia="宋体" w:cs="Times New Roman"/>
      <w:sz w:val="24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10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  <w:szCs w:val="24"/>
    </w:rPr>
  </w:style>
  <w:style w:type="paragraph" w:styleId="11">
    <w:name w:val="Title"/>
    <w:qFormat/>
    <w:uiPriority w:val="0"/>
    <w:pPr>
      <w:widowControl w:val="0"/>
      <w:spacing w:beforeAutospacing="0" w:afterAutospacing="0" w:line="360" w:lineRule="auto"/>
      <w:jc w:val="center"/>
      <w:outlineLvl w:val="9"/>
    </w:pPr>
    <w:rPr>
      <w:rFonts w:ascii="Times New Roman" w:hAnsi="Times New Roman" w:eastAsia="黑体" w:cs="Times New Roman"/>
      <w:sz w:val="44"/>
    </w:rPr>
  </w:style>
  <w:style w:type="paragraph" w:customStyle="1" w:styleId="14">
    <w:name w:val="正文缩进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3880</Words>
  <Characters>4039</Characters>
  <Lines>0</Lines>
  <Paragraphs>0</Paragraphs>
  <TotalTime>1</TotalTime>
  <ScaleCrop>false</ScaleCrop>
  <LinksUpToDate>false</LinksUpToDate>
  <CharactersWithSpaces>4039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2024-05-14T09:29:00Z</dcterms:created>
  <dc:creator>从何说起</dc:creator>
  <cp:lastModifiedBy>组织</cp:lastModifiedBy>
  <dcterms:modified xsi:type="dcterms:W3CDTF">2026-06-18T08:34:48Z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A20702492DD34B3CAB9F2F67EA0DA95A_13</vt:lpwstr>
  </property>
  <property fmtid="{D5CDD505-2E9C-101B-9397-08002B2CF9AE}" pid="4" name="KSOTemplateDocerSaveRecord">
    <vt:lpwstr>eyJoZGlkIjoiMmZhMDIxOTUyYmZlZTdlMDQyNzdhYThlMDE3MTdhOTQiLCJ1c2VySWQiOiIxNzg4MTMxOSJ9</vt:lpwstr>
  </property>
</Properties>
</file>