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版本号：HBZB2026-036.1B120260827001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招录类考试网上报名技术服务(二次)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HBZB2026-036.1B1</w:t>
      </w:r>
      <w:r>
        <w:br/>
      </w:r>
      <w:r>
        <w:br/>
      </w:r>
      <w:r>
        <w:br/>
      </w:r>
    </w:p>
    <w:p>
      <w:pPr>
        <w:pStyle w:val="null3"/>
        <w:jc w:val="center"/>
        <w:outlineLvl w:val="2"/>
      </w:pPr>
      <w:r>
        <w:rPr>
          <w:rFonts w:ascii="仿宋_GB2312" w:hAnsi="仿宋_GB2312" w:cs="仿宋_GB2312" w:eastAsia="仿宋_GB2312"/>
          <w:sz w:val="28"/>
          <w:b/>
        </w:rPr>
        <w:t>省人事考试中心</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省人事考试中心</w:t>
      </w:r>
      <w:r>
        <w:rPr>
          <w:rFonts w:ascii="仿宋_GB2312" w:hAnsi="仿宋_GB2312" w:cs="仿宋_GB2312" w:eastAsia="仿宋_GB2312"/>
        </w:rPr>
        <w:t>委托，拟对</w:t>
      </w:r>
      <w:r>
        <w:rPr>
          <w:rFonts w:ascii="仿宋_GB2312" w:hAnsi="仿宋_GB2312" w:cs="仿宋_GB2312" w:eastAsia="仿宋_GB2312"/>
        </w:rPr>
        <w:t>招录类考试网上报名技术服务(二次)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HBZB2026-036.1B1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招录类考试网上报名技术服务(二次)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人事考试中心招录考试网报系统服务项目，旨在为陕西省各类公务员录用考试、事业单位招聘考试等省级招录考试采购网报系统服务，为我中心提供招录考试网报技术服务（含系统及运行环境），以期完成招录考试网上报名、网上审核、网上缴费、考场编排、准考证打印、成绩发布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采购包1（招录类考试网上报名技术服务）：属于专门面向中小企业采购。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11、中小企业声明函：提供中小企业声明函。(本项目专门面向中小企业采购项目)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省人事考试中心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任向梅、曹军军、祁静、任言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 参照《国家计委关于印发〈招标代理服务收费管理暂行办法〉的通知》（计价格[2002]1980号）和《关于招标代理服务收费有关问题的通知》（发改办价格[2003]857号）规定标准收取。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转账事由：HBZB2026-036项目代理服务费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省人事考试中心</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省人事考试中心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省人事考试中心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联系人：任向梅、曹军军、任言</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事考试中心招录考试网报系统服务项目，旨在为陕西省各类公务员录用考试、事业单位招聘考试等省级招录考试采购网报系统服务，为我中心提供招录考试网报技术服务（含系统及运行环境），以期完成招录考试网上报名、网上审核、网上缴费、考场编排、准考证打印、成绩发布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招录类考试网上报名技术服务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标的名称：招录类考试网上报名技术服务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6"/>
                <w:b/>
              </w:rPr>
              <w:t>采购内容及要求</w:t>
            </w:r>
          </w:p>
          <w:p>
            <w:pPr>
              <w:pStyle w:val="null3"/>
              <w:jc w:val="both"/>
            </w:pPr>
            <w:r>
              <w:rPr>
                <w:rFonts w:ascii="仿宋_GB2312" w:hAnsi="仿宋_GB2312" w:cs="仿宋_GB2312" w:eastAsia="仿宋_GB2312"/>
                <w:sz w:val="32"/>
                <w:b/>
              </w:rPr>
              <w:t>一、</w:t>
            </w:r>
            <w:r>
              <w:rPr>
                <w:rFonts w:ascii="仿宋_GB2312" w:hAnsi="仿宋_GB2312" w:cs="仿宋_GB2312" w:eastAsia="仿宋_GB2312"/>
                <w:sz w:val="32"/>
                <w:b/>
              </w:rPr>
              <w:t>项目背景</w:t>
            </w:r>
          </w:p>
          <w:p>
            <w:pPr>
              <w:pStyle w:val="null3"/>
              <w:ind w:firstLine="640"/>
              <w:jc w:val="both"/>
            </w:pPr>
            <w:r>
              <w:rPr>
                <w:rFonts w:ascii="仿宋_GB2312" w:hAnsi="仿宋_GB2312" w:cs="仿宋_GB2312" w:eastAsia="仿宋_GB2312"/>
                <w:sz w:val="32"/>
              </w:rPr>
              <w:t>陕西省人事考试中心招录考试网报系统服务项目，旨在为陕西省各类公务员录用考试、事业单位招聘考试等省级招录考试采购网报系统服务，为我中心提供招录考试网报技术服务（含系统</w:t>
            </w:r>
            <w:r>
              <w:rPr>
                <w:rFonts w:ascii="仿宋_GB2312" w:hAnsi="仿宋_GB2312" w:cs="仿宋_GB2312" w:eastAsia="仿宋_GB2312"/>
                <w:sz w:val="32"/>
              </w:rPr>
              <w:t>及</w:t>
            </w:r>
            <w:r>
              <w:rPr>
                <w:rFonts w:ascii="仿宋_GB2312" w:hAnsi="仿宋_GB2312" w:cs="仿宋_GB2312" w:eastAsia="仿宋_GB2312"/>
                <w:sz w:val="32"/>
              </w:rPr>
              <w:t>运行环境），以期完成招录考试网上报名、网上审核、网上缴费、考场编排、准考证打印、成绩发布等工作</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b/>
              </w:rPr>
              <w:t>二</w:t>
            </w:r>
            <w:r>
              <w:rPr>
                <w:rFonts w:ascii="仿宋_GB2312" w:hAnsi="仿宋_GB2312" w:cs="仿宋_GB2312" w:eastAsia="仿宋_GB2312"/>
                <w:sz w:val="32"/>
                <w:b/>
              </w:rPr>
              <w:t>、招标参数</w:t>
            </w:r>
          </w:p>
          <w:tbl>
            <w:tblPr>
              <w:tblInd w:type="dxa" w:w="120"/>
              <w:tblBorders>
                <w:top w:val="none" w:color="000000" w:sz="4"/>
                <w:left w:val="none" w:color="000000" w:sz="4"/>
                <w:bottom w:val="none" w:color="000000" w:sz="4"/>
                <w:right w:val="none" w:color="000000" w:sz="4"/>
                <w:insideH w:val="none"/>
                <w:insideV w:val="none"/>
              </w:tblBorders>
            </w:tblPr>
            <w:tblGrid>
              <w:gridCol w:w="292"/>
              <w:gridCol w:w="2261"/>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序号</w:t>
                  </w:r>
                </w:p>
              </w:tc>
              <w:tc>
                <w:tcPr>
                  <w:tcW w:type="dxa" w:w="2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技术参数与性能指标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系统须采用</w:t>
                  </w:r>
                  <w:r>
                    <w:rPr>
                      <w:rFonts w:ascii="仿宋_GB2312" w:hAnsi="仿宋_GB2312" w:cs="仿宋_GB2312" w:eastAsia="仿宋_GB2312"/>
                      <w:sz w:val="28"/>
                    </w:rPr>
                    <w:t>B/S 架构。</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考生报名端：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具备考生注册登录、报考说明、信息填报、职位选择、信息确认、信息保存、提交审核、网上支付、信息查看、打印报名表、打印承诺书、打印准考证、成绩查询等功能。系统须具备敏感信息加解密功能。管理员可通过系统进行配置，实现不同时间段开启不同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考生报名填表界面，须实现对考生信息校验、报考部门和报考职位级联选择、标准化信息下拉列表选择等功能。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提供考生资料的上传功能，如上传考生报名表、证明材料等</w:t>
                  </w:r>
                  <w:r>
                    <w:rPr>
                      <w:rFonts w:ascii="仿宋_GB2312" w:hAnsi="仿宋_GB2312" w:cs="仿宋_GB2312" w:eastAsia="仿宋_GB2312"/>
                      <w:sz w:val="28"/>
                    </w:rPr>
                    <w:t>JPG 格式的文件。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支持移动端智能报名服务功能，可通过微信小程序等移动应用实现招录考试网上报名。考生无需下载安装独立应用，即可完成注册登录、考试公告查看、职位查询、信息填报、材料上传、报名确认、缴费、状态查询等全过程操作。移动端与网上报名系统后台实现数据实时同步，并支持消息提醒、报名进度查询等功能，提高考生报名便利性和系统服务能力。</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资格审核</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系统可提供辅助审核功能，对报名条件中单一、明确的条件实现自动过滤，提示不符合条件的考生不得选报。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对已提交审核的考生按提交时间、职位或其它条件进行资格审核；</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审核工作人员可根据实际情况进行审核状态的变更。对误审的考生，提供申请重置的功能，可查询重置日志。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资格审核时，系统可根据职位条件给出特定提示；可多维度查询报考本单位的考生信息。</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管理功能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权限管理：管理员后台可根据角色不同分配用户及权限，进行审核用户导入等功能。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考试管理：管理员可在后台实现考试参数设置、设置考试文件、考生承诺书发布、职位导入、支付平台设置等操作。支付平台设置可根据各考区实际使用情况设置相应的支付接口。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报名管理：管理员可查询考生的报考日志，可对考生状态进行设置，可后台打印考生报名表信息。可对报考人员信息进行编辑，如基本信息、照片等。可实现支付平台对账单与报名系统支付记录信息的对账，提示对账差异详细信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查询统计：管理员可根据所分配权限查询报考数据及考生报考信息。可按需求进行数据的导出。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考场编排：管理员可实现对考生进行编场操作。编场完成后，可导出考生信息表、座次表、桌贴、门贴等信息。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准考证管理：可实现准考证模板的导入操作。可根据需要设置准考证打印须知，设置准考证打印起止时间。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日志审计管理：支持考试网上报名全过程电子审计管理功能，对系统用户登录、操作时间、操作内容、考生信息修改、审核状态调整等关键业务行为进行全过程记录，支持操作日志查询、追溯及异常操作分析，确保网上报名系统操作全过程记录完整、准确无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综合监控界面：系统提供综合查询界面，可集中显示当前报名人数、审核通过人数、待审核人数、缴费人数、</w:t>
                  </w:r>
                  <w:r>
                    <w:rPr>
                      <w:rFonts w:ascii="仿宋_GB2312" w:hAnsi="仿宋_GB2312" w:cs="仿宋_GB2312" w:eastAsia="仿宋_GB2312"/>
                      <w:sz w:val="28"/>
                    </w:rPr>
                    <w:t>待</w:t>
                  </w:r>
                  <w:r>
                    <w:rPr>
                      <w:rFonts w:ascii="仿宋_GB2312" w:hAnsi="仿宋_GB2312" w:cs="仿宋_GB2312" w:eastAsia="仿宋_GB2312"/>
                      <w:sz w:val="28"/>
                    </w:rPr>
                    <w:t>缴费人数、报名人数排行前十的岗位等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成绩发布：可导入成绩，按照预定模板发布考试成绩；提供加密技术，确保成绩数据安全。</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具有</w:t>
                  </w:r>
                  <w:r>
                    <w:rPr>
                      <w:rFonts w:ascii="仿宋_GB2312" w:hAnsi="仿宋_GB2312" w:cs="仿宋_GB2312" w:eastAsia="仿宋_GB2312"/>
                      <w:sz w:val="28"/>
                    </w:rPr>
                    <w:t>“实名实人信息校验能力”，用“人脸核身”进行认证，与公安部大数据平台联网，符合公安部“互联网+”可信身份认证服务平台标准；使用支付宝、微信等第三方身份认证均可。</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信息系统安全等级保护三级</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采用国密算法对考生关键信息进行加密</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考生在报名过程中可查看各岗位的实时报考人数</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系统响应时间为</w:t>
                  </w:r>
                  <w:r>
                    <w:rPr>
                      <w:rFonts w:ascii="仿宋_GB2312" w:hAnsi="仿宋_GB2312" w:cs="仿宋_GB2312" w:eastAsia="仿宋_GB2312"/>
                      <w:sz w:val="28"/>
                    </w:rPr>
                    <w:t>3秒以内</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w:t>
                  </w:r>
                  <w:r>
                    <w:rPr>
                      <w:rFonts w:ascii="仿宋_GB2312" w:hAnsi="仿宋_GB2312" w:cs="仿宋_GB2312" w:eastAsia="仿宋_GB2312"/>
                      <w:sz w:val="28"/>
                    </w:rPr>
                    <w:t>12小时备份一次，关键节点即时备份</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站点出入口最大支持</w:t>
                  </w:r>
                  <w:r>
                    <w:rPr>
                      <w:rFonts w:ascii="仿宋_GB2312" w:hAnsi="仿宋_GB2312" w:cs="仿宋_GB2312" w:eastAsia="仿宋_GB2312"/>
                      <w:sz w:val="28"/>
                    </w:rPr>
                    <w:t>5120M带宽，带宽需超过报名峰值10倍</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服务器安全采用多重校验机制，包括</w:t>
                  </w:r>
                  <w:r>
                    <w:rPr>
                      <w:rFonts w:ascii="仿宋_GB2312" w:hAnsi="仿宋_GB2312" w:cs="仿宋_GB2312" w:eastAsia="仿宋_GB2312"/>
                      <w:sz w:val="28"/>
                    </w:rPr>
                    <w:t>Ip白名单配置、端口限制</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提供服务器资源实时监控：包括</w:t>
                  </w:r>
                  <w:r>
                    <w:rPr>
                      <w:rFonts w:ascii="仿宋_GB2312" w:hAnsi="仿宋_GB2312" w:cs="仿宋_GB2312" w:eastAsia="仿宋_GB2312"/>
                      <w:sz w:val="28"/>
                    </w:rPr>
                    <w:t>CPU、内存、磁盘、带宽、在线连接数、性能指标。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提供弹性资源配置：包括</w:t>
                  </w:r>
                  <w:r>
                    <w:rPr>
                      <w:rFonts w:ascii="仿宋_GB2312" w:hAnsi="仿宋_GB2312" w:cs="仿宋_GB2312" w:eastAsia="仿宋_GB2312"/>
                      <w:sz w:val="28"/>
                    </w:rPr>
                    <w:t>CPU、内存、带宽，按需动态调配资源，随时提供足够的硬件性能。</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2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对网络攻击、病毒攻击有实时监测防护。</w:t>
                  </w:r>
                </w:p>
              </w:tc>
            </w:tr>
          </w:tbl>
          <w:p>
            <w:pPr>
              <w:pStyle w:val="null3"/>
              <w:jc w:val="both"/>
            </w:pPr>
            <w:r>
              <w:rPr>
                <w:rFonts w:ascii="仿宋_GB2312" w:hAnsi="仿宋_GB2312" w:cs="仿宋_GB2312" w:eastAsia="仿宋_GB2312"/>
                <w:sz w:val="32"/>
                <w:b/>
              </w:rPr>
              <w:t>三</w:t>
            </w:r>
            <w:r>
              <w:rPr>
                <w:rFonts w:ascii="仿宋_GB2312" w:hAnsi="仿宋_GB2312" w:cs="仿宋_GB2312" w:eastAsia="仿宋_GB2312"/>
                <w:sz w:val="32"/>
                <w:b/>
              </w:rPr>
              <w:t>、服务质量要求</w:t>
            </w:r>
          </w:p>
          <w:p>
            <w:pPr>
              <w:pStyle w:val="null3"/>
              <w:ind w:firstLine="560"/>
              <w:jc w:val="both"/>
            </w:pPr>
            <w:r>
              <w:rPr>
                <w:rFonts w:ascii="仿宋_GB2312" w:hAnsi="仿宋_GB2312" w:cs="仿宋_GB2312" w:eastAsia="仿宋_GB2312"/>
                <w:sz w:val="28"/>
              </w:rPr>
              <w:t>1.技术人员应对</w:t>
            </w:r>
            <w:r>
              <w:rPr>
                <w:rFonts w:ascii="仿宋_GB2312" w:hAnsi="仿宋_GB2312" w:cs="仿宋_GB2312" w:eastAsia="仿宋_GB2312"/>
                <w:sz w:val="28"/>
              </w:rPr>
              <w:t>采购人</w:t>
            </w:r>
            <w:r>
              <w:rPr>
                <w:rFonts w:ascii="仿宋_GB2312" w:hAnsi="仿宋_GB2312" w:cs="仿宋_GB2312" w:eastAsia="仿宋_GB2312"/>
                <w:sz w:val="28"/>
              </w:rPr>
              <w:t>工作人员进行相应的系统功能培训，提醒其报名期</w:t>
            </w:r>
            <w:r>
              <w:rPr>
                <w:rFonts w:ascii="仿宋_GB2312" w:hAnsi="仿宋_GB2312" w:cs="仿宋_GB2312" w:eastAsia="仿宋_GB2312"/>
                <w:sz w:val="28"/>
              </w:rPr>
              <w:t>间的注意事项，解答其技术疑问。</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报名准备阶段，配备专业报名平台技术人员解答用户提出的问题，并能根据实际情况快速实现系统优化和改进。</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.需提供7×24小时的现场或远程技术服务，报名期间系统访问顺畅，对网络状况进行监测，及时发现处理异常情况，技术服务人员应迅速响应，及时汇报。</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.报名期间，根据</w:t>
            </w:r>
            <w:r>
              <w:rPr>
                <w:rFonts w:ascii="仿宋_GB2312" w:hAnsi="仿宋_GB2312" w:cs="仿宋_GB2312" w:eastAsia="仿宋_GB2312"/>
                <w:sz w:val="28"/>
              </w:rPr>
              <w:t>采购人</w:t>
            </w:r>
            <w:r>
              <w:rPr>
                <w:rFonts w:ascii="仿宋_GB2312" w:hAnsi="仿宋_GB2312" w:cs="仿宋_GB2312" w:eastAsia="仿宋_GB2312"/>
                <w:sz w:val="28"/>
              </w:rPr>
              <w:t>工作安排，对系统功能设置进行微调，适应报名工作需求；配备专业技术人员对用户实际问题进行操作指引和需求解答，并快速调整用户的新需求。</w:t>
            </w:r>
          </w:p>
          <w:p>
            <w:pPr>
              <w:pStyle w:val="null3"/>
              <w:ind w:firstLine="560"/>
              <w:jc w:val="both"/>
            </w:pPr>
            <w:r>
              <w:rPr>
                <w:rFonts w:ascii="仿宋_GB2312" w:hAnsi="仿宋_GB2312" w:cs="仿宋_GB2312" w:eastAsia="仿宋_GB2312"/>
                <w:sz w:val="28"/>
              </w:rPr>
              <w:t>5.可提供不少于2种报名实时技术问题答疑方式。</w:t>
            </w:r>
          </w:p>
          <w:p>
            <w:pPr>
              <w:pStyle w:val="null3"/>
              <w:jc w:val="both"/>
            </w:pPr>
            <w:r>
              <w:rPr>
                <w:rFonts w:ascii="仿宋_GB2312" w:hAnsi="仿宋_GB2312" w:cs="仿宋_GB2312" w:eastAsia="仿宋_GB2312"/>
                <w:sz w:val="32"/>
                <w:b/>
              </w:rPr>
              <w:t>四</w:t>
            </w:r>
            <w:r>
              <w:rPr>
                <w:rFonts w:ascii="仿宋_GB2312" w:hAnsi="仿宋_GB2312" w:cs="仿宋_GB2312" w:eastAsia="仿宋_GB2312"/>
                <w:sz w:val="32"/>
                <w:b/>
              </w:rPr>
              <w:t>、服务安全要求</w:t>
            </w:r>
          </w:p>
          <w:p>
            <w:pPr>
              <w:pStyle w:val="null3"/>
              <w:ind w:firstLine="560"/>
              <w:jc w:val="both"/>
            </w:pPr>
            <w:r>
              <w:rPr>
                <w:rFonts w:ascii="仿宋_GB2312" w:hAnsi="仿宋_GB2312" w:cs="仿宋_GB2312" w:eastAsia="仿宋_GB2312"/>
                <w:sz w:val="28"/>
              </w:rPr>
              <w:t>1.对不同身份的用户赋予不同的权限，且可灵活设置。</w:t>
            </w:r>
          </w:p>
          <w:p>
            <w:pPr>
              <w:pStyle w:val="null3"/>
              <w:ind w:firstLine="560"/>
              <w:jc w:val="both"/>
            </w:pPr>
            <w:r>
              <w:rPr>
                <w:rFonts w:ascii="仿宋_GB2312" w:hAnsi="仿宋_GB2312" w:cs="仿宋_GB2312" w:eastAsia="仿宋_GB2312"/>
                <w:sz w:val="28"/>
              </w:rPr>
              <w:t>2.考生通讯信息加密，对报名数据有相应管理制度。</w:t>
            </w:r>
          </w:p>
          <w:p>
            <w:pPr>
              <w:pStyle w:val="null3"/>
              <w:ind w:firstLine="560"/>
              <w:jc w:val="both"/>
            </w:pPr>
            <w:r>
              <w:rPr>
                <w:rFonts w:ascii="仿宋_GB2312" w:hAnsi="仿宋_GB2312" w:cs="仿宋_GB2312" w:eastAsia="仿宋_GB2312"/>
                <w:sz w:val="28"/>
              </w:rPr>
              <w:t>3.具有信息安全应急响应机制。</w:t>
            </w:r>
          </w:p>
          <w:p>
            <w:pPr>
              <w:pStyle w:val="null3"/>
              <w:jc w:val="both"/>
            </w:pPr>
            <w:r>
              <w:rPr>
                <w:rFonts w:ascii="仿宋_GB2312" w:hAnsi="仿宋_GB2312" w:cs="仿宋_GB2312" w:eastAsia="仿宋_GB2312"/>
                <w:sz w:val="32"/>
                <w:b/>
              </w:rPr>
              <w:t>五、</w:t>
            </w:r>
            <w:r>
              <w:rPr>
                <w:rFonts w:ascii="仿宋_GB2312" w:hAnsi="仿宋_GB2312" w:cs="仿宋_GB2312" w:eastAsia="仿宋_GB2312"/>
                <w:sz w:val="32"/>
                <w:b/>
              </w:rPr>
              <w:t>人员要求</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8"/>
              </w:rPr>
              <w:t>报名期间，提供</w:t>
            </w:r>
            <w:r>
              <w:rPr>
                <w:rFonts w:ascii="仿宋_GB2312" w:hAnsi="仿宋_GB2312" w:cs="仿宋_GB2312" w:eastAsia="仿宋_GB2312"/>
                <w:sz w:val="28"/>
              </w:rPr>
              <w:t>7×24 小时的技术服务，安排专职岗位人员，包括但不限于电话咨询接听岗位、技术服务人员现场驻守岗位、软硬件运维监测岗位（需运维类工程师）、软件程序调整、部署岗位（需软件开发类工程师）及其他完成本项目所需要的岗位人员。供应商需确保人员的稳定性，在服务期内未经采购人同意不得随意更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进度款，每次考试报名服务项目完成后，据实结算，达到付款条件起15个工作日内，支付合同总金额的100.0%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2.服务质量标准：符合国家和行业相关技术标准和规范要求。 3.单价最高限价：0.80元/人 。4.本项目为单价报价，据实结算，支付最高不超过预算金额，若实际超出预算部分由成交供应商承担。5.投标保证金采用电子保函形式缴纳的，应将电子保函扫描件（投标截止时间前）发送至代理机构邮箱272241979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提供中小企业声明函。(本项目专门面向中小企业采购项目)</w:t>
            </w:r>
          </w:p>
        </w:tc>
        <w:tc>
          <w:tcPr>
            <w:tcW w:type="dxa" w:w="1661"/>
          </w:tcPr>
          <w:p>
            <w:pPr>
              <w:pStyle w:val="null3"/>
            </w:pPr>
            <w:r>
              <w:rPr>
                <w:rFonts w:ascii="仿宋_GB2312" w:hAnsi="仿宋_GB2312" w:cs="仿宋_GB2312" w:eastAsia="仿宋_GB2312"/>
              </w:rPr>
              <w:t>供应商应提供的资格证明文件.docx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业绩.docx 供应商应提供的资格证明文件.docx 中小企业声明函 商务应答表 服务内容及服务要求应答表 报价表 响应文件封面 分项报价表.docx 残疾人福利性单位声明函 保证金交纳凭证.docx 服务方案 标的清单 项目管理人员.docx 响应函 监狱企业的证明文件 企业认证.docx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供应商针对本项目提供的服务方案进行综合评分，内容包含： ①系统架构； ②与第三方支付系统对接方案； ③信息校验能力； ④测试方案； ⑤安全防护措施； ⑥软件功能 ； ⑦进度计划； ⑧质量保证方案；⑨管理制度；⑩项目理解分析方案。 以上10点的方案内容全面、详细，完全满足项目需求且有利于项目实施的，得20.0分。每有一项内容缺失的扣2.0分，每有一项存在缺陷扣1.0分，扣完为止。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预案，内容包含但不限于:1.应急预案计划；2.应急预案措施；3.应急保障及响应时间；以上3点的方案内容全面、详细，完全满足项目需求且有利于项目实施的，得6.0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针对本项目特点制定培训方案，内容包含但不限于: 1.培训计划；2.培训人员安排；3.培训方式；以上3点的方案内容全面、详细，完全满足项目需求且有利于项目实施的，得6.0分。每有一项内容缺失的扣2.0分，每有一项存在缺陷扣1.0分，扣完为止。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内容及方式及售后人员信息；2.遇到问题时响应速度及解决方案；3.质保期后的维保计划及售后服务质量保障措施；4.售后回访。以上4点的方案内容全面、详细，完全满足项目需求且有利于项目实施的，得8.0分。每有一项内容缺失扣2.0分，每有一项存在缺陷扣1.0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项目管理人员配置</w:t>
            </w:r>
          </w:p>
        </w:tc>
        <w:tc>
          <w:tcPr>
            <w:tcW w:type="dxa" w:w="2492"/>
          </w:tcPr>
          <w:p>
            <w:pPr>
              <w:pStyle w:val="null3"/>
            </w:pPr>
            <w:r>
              <w:rPr>
                <w:rFonts w:ascii="仿宋_GB2312" w:hAnsi="仿宋_GB2312" w:cs="仿宋_GB2312" w:eastAsia="仿宋_GB2312"/>
              </w:rPr>
              <w:t>项目负责人:具有项目管理专业认证证书或与本项目相关高级职称，得3.0分。 项目管理人员(除项目负责人):具有计算机软件资格考试网络工程师证书或信息安全专业证书或数据安全工程师证书或计算机技术与软件专业技术资格证书或系统集成项目管理工程师证书或与本项目相关中级及以上职称。每提供1人证书得1.0分，最多得6.0分。 注:相同人员不重复计分，须同时提供以上人员相关证书。（提供人员其所在单位2025年1月1日至今任意三个月的缴纳社保证明，未提供或提供不全计0分））。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项目管理人员.docx</w:t>
            </w:r>
          </w:p>
        </w:tc>
      </w:tr>
      <w:tr>
        <w:tc>
          <w:tcPr>
            <w:tcW w:type="dxa" w:w="831"/>
            <w:vMerge/>
          </w:tcPr>
          <w:p/>
        </w:tc>
        <w:tc>
          <w:tcPr>
            <w:tcW w:type="dxa" w:w="1661"/>
          </w:tcPr>
          <w:p>
            <w:pPr>
              <w:pStyle w:val="null3"/>
            </w:pPr>
            <w:r>
              <w:rPr>
                <w:rFonts w:ascii="仿宋_GB2312" w:hAnsi="仿宋_GB2312" w:cs="仿宋_GB2312" w:eastAsia="仿宋_GB2312"/>
              </w:rPr>
              <w:t>企业认证</w:t>
            </w:r>
          </w:p>
        </w:tc>
        <w:tc>
          <w:tcPr>
            <w:tcW w:type="dxa" w:w="2492"/>
          </w:tcPr>
          <w:p>
            <w:pPr>
              <w:pStyle w:val="null3"/>
            </w:pPr>
            <w:r>
              <w:rPr>
                <w:rFonts w:ascii="仿宋_GB2312" w:hAnsi="仿宋_GB2312" w:cs="仿宋_GB2312" w:eastAsia="仿宋_GB2312"/>
              </w:rPr>
              <w:t>1、供应商具有信息安全管理体系认证证书，计1分； 2、供应商具有信息技术服务管理体系认证证书，计1分； 3、具有ISO9001质量管理体系认证证书，计1分。 4、供应商具有考务一体化综合管理平台，并具备信息系统安全等级保护三级及以上备案证明，计2分。 （提供证书复印件加盖供应商公章）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企业认证.docx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供应商提供针对本项目的服务承诺函，内容须涵盖若中标后，有能力完成本项目所涉及的考试服务，若因自身实力不足、失误或过错导致无法在考试前完成工作的，采购人有权指定其他单位接替工作，并且所有费用由中标供应商承担的表述。提供承诺函的计3分，篡改本意、承诺不全、未承诺的不计分。 2.供应商可承诺中标后提供可视数字监控模块，一个集数据整理、分析、展示于一体的综合界面，通过可视化的方式展示报名数据中的关键数据指标和数据分析的结果，覆盖性别比例、学历分布、学位分布、政治面貌、年龄、部门人数、职位人数等全方位的考试信息，旨在帮助考试机构系统管理员更加直观地了解实时报名数据状况，做出更加准确的运维处置决策。提供承诺函的计3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1、提供自2022年1月1日至今每次能同时满足20万人以上人事考试报考规模的业绩，每提供1个年度计4分，最高计20分。 2、连续五年服务同一个单位人事考试工作的，加5分。 注：业绩证明文件合同或者中标通知书，须明确体现服务年度和服务规模。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详见附件：企业认证.docx</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