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版本号：SCZJ2026-CS-1867-00120260818002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安全检查设备采购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SCZJ2026-CS-1867-001</w:t>
      </w:r>
      <w:r>
        <w:br/>
      </w:r>
      <w:r>
        <w:br/>
      </w:r>
      <w:r>
        <w:br/>
      </w:r>
    </w:p>
    <w:p>
      <w:pPr>
        <w:pStyle w:val="null3"/>
        <w:jc w:val="center"/>
        <w:outlineLvl w:val="2"/>
      </w:pPr>
      <w:r>
        <w:rPr>
          <w:rFonts w:ascii="仿宋_GB2312" w:hAnsi="仿宋_GB2312" w:cs="仿宋_GB2312" w:eastAsia="仿宋_GB2312"/>
          <w:sz w:val="28"/>
          <w:b/>
        </w:rPr>
        <w:t>合阳县人民检察院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合阳县人民检察院</w:t>
      </w:r>
      <w:r>
        <w:rPr>
          <w:rFonts w:ascii="仿宋_GB2312" w:hAnsi="仿宋_GB2312" w:cs="仿宋_GB2312" w:eastAsia="仿宋_GB2312"/>
        </w:rPr>
        <w:t>委托，拟对</w:t>
      </w:r>
      <w:r>
        <w:rPr>
          <w:rFonts w:ascii="仿宋_GB2312" w:hAnsi="仿宋_GB2312" w:cs="仿宋_GB2312" w:eastAsia="仿宋_GB2312"/>
        </w:rPr>
        <w:t>安全检查设备采购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SCZJ2026-CS-1867-001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安全检查设备采购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合阳县人民检察院购置智能门禁系统、12309自助查询系统、普法宣传系统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陕西省渭南市合阳县洽川大道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0913-5515869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张蕊花、魏小旖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银行账号：103661183162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代理服务费收费标准：1.代理服务费参照《国家计委关于印发&lt;招标代理服务收费管理暂行办法&gt;的通知》（计价格[2002]1980号）规定标准按标段收取。2.成交单位的代理服务费交纳信息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合阳县人民检察院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合阳县人民检察院购置智能门禁系统、12309自助查询系统、普法宣传系统。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安全检查设备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标的名称：安全检查设备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一、安检系统</w:t>
            </w:r>
          </w:p>
          <w:tbl>
            <w:tblPr>
              <w:tblInd w:type="dxa" w:w="105"/>
              <w:tblBorders>
                <w:top w:val="none" w:color="000000" w:sz="4"/>
                <w:left w:val="none" w:color="000000" w:sz="4"/>
                <w:bottom w:val="none" w:color="000000" w:sz="4"/>
                <w:right w:val="none" w:color="000000" w:sz="4"/>
                <w:insideH w:val="none"/>
                <w:insideV w:val="none"/>
              </w:tblBorders>
            </w:tblPr>
            <w:tblGrid>
              <w:gridCol w:w="317"/>
              <w:gridCol w:w="317"/>
              <w:gridCol w:w="1530"/>
              <w:gridCol w:w="194"/>
              <w:gridCol w:w="194"/>
            </w:tblGrid>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服务名称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b/>
                      <w:color w:val="000000"/>
                    </w:rPr>
                    <w:t>功能描述</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数量</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单位</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人车智能识别服务平台</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人脸智能检测与识别服务</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车辆检测及号牌识别服务</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智能行为分析预警服务</w:t>
                  </w:r>
                  <w:r>
                    <w:rPr>
                      <w:rFonts w:ascii="仿宋_GB2312" w:hAnsi="仿宋_GB2312" w:cs="仿宋_GB2312" w:eastAsia="仿宋_GB2312"/>
                      <w:sz w:val="22"/>
                      <w:color w:val="000000"/>
                    </w:rPr>
                    <w:t>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智能安防运维服务平台</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环境数据监测与超限报警服务</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智能编码与存储优化服务</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声光联动警戒服务</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视频图像增强与高清呈现服务</w:t>
                  </w:r>
                  <w:r>
                    <w:rPr>
                      <w:rFonts w:ascii="仿宋_GB2312" w:hAnsi="仿宋_GB2312" w:cs="仿宋_GB2312" w:eastAsia="仿宋_GB2312"/>
                      <w:sz w:val="22"/>
                      <w:color w:val="000000"/>
                    </w:rPr>
                    <w:t>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部署运维与稳定保障服务平台</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1.具有</w:t>
                  </w:r>
                  <w:r>
                    <w:rPr>
                      <w:rFonts w:ascii="仿宋_GB2312" w:hAnsi="仿宋_GB2312" w:cs="仿宋_GB2312" w:eastAsia="仿宋_GB2312"/>
                      <w:sz w:val="22"/>
                      <w:color w:val="000000"/>
                    </w:rPr>
                    <w:t>系统联动与接口适配服务</w:t>
                  </w:r>
                  <w:r>
                    <w:rPr>
                      <w:rFonts w:ascii="仿宋_GB2312" w:hAnsi="仿宋_GB2312" w:cs="仿宋_GB2312" w:eastAsia="仿宋_GB2312"/>
                      <w:sz w:val="22"/>
                      <w:color w:val="000000"/>
                    </w:rPr>
                    <w:t>功能</w:t>
                  </w:r>
                  <w:r>
                    <w:br/>
                  </w:r>
                  <w:r>
                    <w:rPr>
                      <w:rFonts w:ascii="仿宋_GB2312" w:hAnsi="仿宋_GB2312" w:cs="仿宋_GB2312" w:eastAsia="仿宋_GB2312"/>
                      <w:sz w:val="21"/>
                    </w:rPr>
                    <w:t>2.</w:t>
                  </w:r>
                  <w:r>
                    <w:rPr>
                      <w:rFonts w:ascii="仿宋_GB2312" w:hAnsi="仿宋_GB2312" w:cs="仿宋_GB2312" w:eastAsia="仿宋_GB2312"/>
                      <w:sz w:val="22"/>
                      <w:color w:val="000000"/>
                    </w:rPr>
                    <w:t>具有</w:t>
                  </w:r>
                  <w:r>
                    <w:rPr>
                      <w:rFonts w:ascii="仿宋_GB2312" w:hAnsi="仿宋_GB2312" w:cs="仿宋_GB2312" w:eastAsia="仿宋_GB2312"/>
                      <w:sz w:val="22"/>
                      <w:color w:val="000000"/>
                    </w:rPr>
                    <w:t>部署运维与稳定保障服务</w:t>
                  </w:r>
                  <w:r>
                    <w:rPr>
                      <w:rFonts w:ascii="仿宋_GB2312" w:hAnsi="仿宋_GB2312" w:cs="仿宋_GB2312" w:eastAsia="仿宋_GB2312"/>
                      <w:sz w:val="22"/>
                      <w:color w:val="000000"/>
                    </w:rPr>
                    <w:t>功能</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布设通联</w:t>
                  </w:r>
                  <w:r>
                    <w:rPr>
                      <w:rFonts w:ascii="仿宋_GB2312" w:hAnsi="仿宋_GB2312" w:cs="仿宋_GB2312" w:eastAsia="仿宋_GB2312"/>
                      <w:sz w:val="22"/>
                      <w:color w:val="000000"/>
                    </w:rPr>
                    <w:t>・</w:t>
                  </w:r>
                  <w:r>
                    <w:rPr>
                      <w:rFonts w:ascii="仿宋_GB2312" w:hAnsi="仿宋_GB2312" w:cs="仿宋_GB2312" w:eastAsia="仿宋_GB2312"/>
                      <w:sz w:val="22"/>
                      <w:color w:val="000000"/>
                    </w:rPr>
                    <w:t>双控稳运服务</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1.支持标准通行空间布设服务，采用落地式布设形式，配备高速数据交互接入服务</w:t>
                  </w:r>
                  <w:r>
                    <w:br/>
                  </w:r>
                  <w:r>
                    <w:rPr>
                      <w:rFonts w:ascii="仿宋_GB2312" w:hAnsi="仿宋_GB2312" w:cs="仿宋_GB2312" w:eastAsia="仿宋_GB2312"/>
                      <w:sz w:val="22"/>
                      <w:color w:val="000000"/>
                    </w:rPr>
                    <w:t>2.可通过网页远程及现场本地两种方式完成操作管控，依托稳定系统架构提供运行支撑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视频融合存储与网络通联服务</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1.提供多路视频信号接入与视频存储管控服务，支持多种录制模式，兼容各类主流视频编码格式</w:t>
                  </w:r>
                  <w:r>
                    <w:br/>
                  </w:r>
                  <w:r>
                    <w:rPr>
                      <w:rFonts w:ascii="仿宋_GB2312" w:hAnsi="仿宋_GB2312" w:cs="仿宋_GB2312" w:eastAsia="仿宋_GB2312"/>
                      <w:sz w:val="22"/>
                      <w:color w:val="000000"/>
                    </w:rPr>
                    <w:t>2.可实现高清视频画面分流输出，满足高清晰度高帧率画面使用需求</w:t>
                  </w:r>
                  <w:r>
                    <w:br/>
                  </w:r>
                  <w:r>
                    <w:rPr>
                      <w:rFonts w:ascii="仿宋_GB2312" w:hAnsi="仿宋_GB2312" w:cs="仿宋_GB2312" w:eastAsia="仿宋_GB2312"/>
                      <w:sz w:val="22"/>
                      <w:color w:val="000000"/>
                    </w:rPr>
                    <w:t>3.适配各类通用网络通信协议，完成网络检索、权限管理、数据传输等全类网络对接服务</w:t>
                  </w:r>
                  <w:r>
                    <w:br/>
                  </w:r>
                  <w:r>
                    <w:rPr>
                      <w:rFonts w:ascii="仿宋_GB2312" w:hAnsi="仿宋_GB2312" w:cs="仿宋_GB2312" w:eastAsia="仿宋_GB2312"/>
                      <w:sz w:val="22"/>
                      <w:color w:val="000000"/>
                    </w:rPr>
                    <w:t>4.提供大容量数据存储配套服务，可灵活扩容适配存储需求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智能物检输送风控服务</w:t>
                  </w: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1.提供高精度物件探测检测服务，支持物料平稳输送流转，满足常规承重输送使用需求</w:t>
                  </w:r>
                  <w:r>
                    <w:br/>
                  </w:r>
                  <w:r>
                    <w:rPr>
                      <w:rFonts w:ascii="仿宋_GB2312" w:hAnsi="仿宋_GB2312" w:cs="仿宋_GB2312" w:eastAsia="仿宋_GB2312"/>
                      <w:sz w:val="22"/>
                      <w:color w:val="000000"/>
                    </w:rPr>
                    <w:t>2.具备通行物品智能识别追踪服务，可精准识别各类违禁物品，支持自主划分风险管控等级</w:t>
                  </w:r>
                </w:p>
                <w:p>
                  <w:pPr>
                    <w:pStyle w:val="null3"/>
                    <w:spacing w:before="105" w:after="105"/>
                    <w:jc w:val="left"/>
                  </w:pPr>
                  <w:r>
                    <w:rPr>
                      <w:rFonts w:ascii="仿宋_GB2312" w:hAnsi="仿宋_GB2312" w:cs="仿宋_GB2312" w:eastAsia="仿宋_GB2312"/>
                      <w:sz w:val="22"/>
                      <w:color w:val="000000"/>
                    </w:rPr>
                    <w:t>3.配套设备：</w:t>
                  </w:r>
                  <w:r>
                    <w:rPr>
                      <w:rFonts w:ascii="仿宋_GB2312" w:hAnsi="仿宋_GB2312" w:cs="仿宋_GB2312" w:eastAsia="仿宋_GB2312"/>
                      <w:sz w:val="22"/>
                      <w:color w:val="000000"/>
                    </w:rPr>
                    <w:t>①</w:t>
                  </w:r>
                  <w:r>
                    <w:rPr>
                      <w:rFonts w:ascii="仿宋_GB2312" w:hAnsi="仿宋_GB2312" w:cs="仿宋_GB2312" w:eastAsia="仿宋_GB2312"/>
                      <w:sz w:val="22"/>
                      <w:color w:val="000000"/>
                    </w:rPr>
                    <w:t>防暴头盔</w:t>
                  </w:r>
                  <w:r>
                    <w:rPr>
                      <w:rFonts w:ascii="仿宋_GB2312" w:hAnsi="仿宋_GB2312" w:cs="仿宋_GB2312" w:eastAsia="仿宋_GB2312"/>
                      <w:sz w:val="22"/>
                      <w:color w:val="000000"/>
                    </w:rPr>
                    <w:t>3件：防暴钢盔；②约3.5mm厚防暴盾牌3件；</w:t>
                  </w:r>
                  <w:r>
                    <w:rPr>
                      <w:rFonts w:ascii="仿宋_GB2312" w:hAnsi="仿宋_GB2312" w:cs="仿宋_GB2312" w:eastAsia="仿宋_GB2312"/>
                      <w:sz w:val="22"/>
                      <w:color w:val="000000"/>
                    </w:rPr>
                    <w:t>③</w:t>
                  </w:r>
                  <w:r>
                    <w:rPr>
                      <w:rFonts w:ascii="仿宋_GB2312" w:hAnsi="仿宋_GB2312" w:cs="仿宋_GB2312" w:eastAsia="仿宋_GB2312"/>
                      <w:sz w:val="22"/>
                      <w:color w:val="000000"/>
                    </w:rPr>
                    <w:t>防暴脚叉及防暴钢叉</w:t>
                  </w:r>
                  <w:r>
                    <w:rPr>
                      <w:rFonts w:ascii="仿宋_GB2312" w:hAnsi="仿宋_GB2312" w:cs="仿宋_GB2312" w:eastAsia="仿宋_GB2312"/>
                      <w:sz w:val="22"/>
                      <w:color w:val="000000"/>
                    </w:rPr>
                    <w:t>3套；④防割手套3双；⑤加厚防刺背心3件：钢制防刺服⑥防暴甩棍3件：伸展长度≥50cm；⑦</w:t>
                  </w:r>
                  <w:r>
                    <w:rPr>
                      <w:rFonts w:ascii="仿宋_GB2312" w:hAnsi="仿宋_GB2312" w:cs="仿宋_GB2312" w:eastAsia="仿宋_GB2312"/>
                      <w:sz w:val="22"/>
                      <w:color w:val="000000"/>
                    </w:rPr>
                    <w:t>豪华强光手电</w:t>
                  </w:r>
                  <w:r>
                    <w:rPr>
                      <w:rFonts w:ascii="仿宋_GB2312" w:hAnsi="仿宋_GB2312" w:cs="仿宋_GB2312" w:eastAsia="仿宋_GB2312"/>
                      <w:sz w:val="22"/>
                      <w:color w:val="000000"/>
                    </w:rPr>
                    <w:t>3只：</w:t>
                  </w:r>
                  <w:r>
                    <w:rPr>
                      <w:rFonts w:ascii="仿宋_GB2312" w:hAnsi="仿宋_GB2312" w:cs="仿宋_GB2312" w:eastAsia="仿宋_GB2312"/>
                      <w:sz w:val="22"/>
                      <w:color w:val="000000"/>
                    </w:rPr>
                    <w:t>一档弱光，二档强光，三按关闭，快速按两下爆闪</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bl>
          <w:p>
            <w:pPr>
              <w:pStyle w:val="null3"/>
              <w:spacing w:before="105" w:after="105"/>
              <w:jc w:val="both"/>
            </w:pPr>
            <w:r>
              <w:rPr>
                <w:rFonts w:ascii="仿宋_GB2312" w:hAnsi="仿宋_GB2312" w:cs="仿宋_GB2312" w:eastAsia="仿宋_GB2312"/>
                <w:sz w:val="21"/>
                <w:b/>
              </w:rPr>
              <w:t>二、</w:t>
            </w:r>
            <w:r>
              <w:rPr>
                <w:rFonts w:ascii="仿宋_GB2312" w:hAnsi="仿宋_GB2312" w:cs="仿宋_GB2312" w:eastAsia="仿宋_GB2312"/>
                <w:sz w:val="21"/>
                <w:b/>
              </w:rPr>
              <w:t>12309自助查询系统</w:t>
            </w:r>
          </w:p>
          <w:tbl>
            <w:tblPr>
              <w:tblBorders>
                <w:top w:val="none" w:color="000000" w:sz="4"/>
                <w:left w:val="none" w:color="000000" w:sz="4"/>
                <w:bottom w:val="none" w:color="000000" w:sz="4"/>
                <w:right w:val="none" w:color="000000" w:sz="4"/>
                <w:insideH w:val="none"/>
                <w:insideV w:val="none"/>
              </w:tblBorders>
            </w:tblPr>
            <w:tblGrid>
              <w:gridCol w:w="258"/>
              <w:gridCol w:w="445"/>
              <w:gridCol w:w="1467"/>
              <w:gridCol w:w="186"/>
              <w:gridCol w:w="190"/>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序号</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服务名称</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功能描述</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数量</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单位</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★案件信息系统</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color w:val="000000"/>
                    </w:rPr>
                    <w:t>支持案件当事人及律师刷身份证</w:t>
                  </w:r>
                  <w:r>
                    <w:rPr>
                      <w:rFonts w:ascii="仿宋_GB2312" w:hAnsi="仿宋_GB2312" w:cs="仿宋_GB2312" w:eastAsia="仿宋_GB2312"/>
                      <w:sz w:val="22"/>
                      <w:color w:val="000000"/>
                    </w:rPr>
                    <w:t>进入系统查找相关案件节点信息信息。相关节点信息需对接统一业务系统</w:t>
                  </w:r>
                  <w:r>
                    <w:rPr>
                      <w:rFonts w:ascii="仿宋_GB2312" w:hAnsi="仿宋_GB2312" w:cs="仿宋_GB2312" w:eastAsia="仿宋_GB2312"/>
                      <w:sz w:val="22"/>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办事指南系统</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color w:val="000000"/>
                    </w:rPr>
                    <w:t>提供相关办事指南，方便市民查阅。</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检察院地图服务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color w:val="000000"/>
                    </w:rPr>
                    <w:t>提供全市检察机关地图位置展示。</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检察官预约服务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color w:val="000000"/>
                    </w:rPr>
                    <w:t>点击本模块，可通过手机扫描二位码，线上递交检察官预约功能。预约时预留联系方式，检察官会通过信息形式告知预约情况。</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法律法规服务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2"/>
                      <w:color w:val="000000"/>
                    </w:rPr>
                    <w:t>提供相关法律法规信息便于查阅。</w:t>
                  </w:r>
                  <w:r>
                    <w:rPr>
                      <w:rFonts w:ascii="仿宋_GB2312" w:hAnsi="仿宋_GB2312" w:cs="仿宋_GB2312" w:eastAsia="仿宋_GB2312"/>
                      <w:sz w:val="22"/>
                      <w:color w:val="000000"/>
                    </w:rPr>
                    <w:t>配套查询的一体机满足</w:t>
                  </w:r>
                  <w:r>
                    <w:rPr>
                      <w:rFonts w:ascii="仿宋_GB2312" w:hAnsi="仿宋_GB2312" w:cs="仿宋_GB2312" w:eastAsia="仿宋_GB2312"/>
                      <w:sz w:val="22"/>
                      <w:color w:val="000000"/>
                    </w:rPr>
                    <w:t>兆芯</w:t>
                  </w:r>
                  <w:r>
                    <w:rPr>
                      <w:rFonts w:ascii="仿宋_GB2312" w:hAnsi="仿宋_GB2312" w:cs="仿宋_GB2312" w:eastAsia="仿宋_GB2312"/>
                      <w:sz w:val="22"/>
                      <w:color w:val="000000"/>
                    </w:rPr>
                    <w:t>KX-U6780A/8G/256G固态/2G/DVDRW)46寸电容触显身份证读卡器国产操作系统</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bl>
          <w:p>
            <w:pPr>
              <w:pStyle w:val="null3"/>
              <w:jc w:val="left"/>
            </w:pPr>
            <w:r>
              <w:rPr>
                <w:rFonts w:ascii="仿宋_GB2312" w:hAnsi="仿宋_GB2312" w:cs="仿宋_GB2312" w:eastAsia="仿宋_GB2312"/>
                <w:sz w:val="21"/>
              </w:rPr>
              <w:t xml:space="preserve"> </w:t>
            </w:r>
          </w:p>
          <w:p>
            <w:pPr>
              <w:pStyle w:val="null3"/>
              <w:spacing w:before="105" w:after="105"/>
              <w:jc w:val="left"/>
            </w:pPr>
            <w:r>
              <w:rPr>
                <w:rFonts w:ascii="仿宋_GB2312" w:hAnsi="仿宋_GB2312" w:cs="仿宋_GB2312" w:eastAsia="仿宋_GB2312"/>
                <w:sz w:val="21"/>
                <w:b/>
              </w:rPr>
              <w:t>三、普法宣传系统</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服务名称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b/>
                      <w:color w:val="000000"/>
                    </w:rPr>
                    <w:t>功能描述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b/>
                      <w:color w:val="000000"/>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人机协同法务平台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 智能咨询：基于 AI 技术提供的 24 小时在线法律咨询服务，用户可通过文字/语音提问，快速获取常见法律问题的解答与指引。</w:t>
                  </w:r>
                  <w:r>
                    <w:br/>
                  </w:r>
                  <w:r>
                    <w:rPr>
                      <w:rFonts w:ascii="仿宋_GB2312" w:hAnsi="仿宋_GB2312" w:cs="仿宋_GB2312" w:eastAsia="仿宋_GB2312"/>
                      <w:sz w:val="22"/>
                      <w:color w:val="000000"/>
                    </w:rPr>
                    <w:t>2. 律师咨询：连接执业律师的在线咨询渠道，用户可预约或即时向专业律师咨询案件细节、法律风险，获取针对性的法律意见。</w:t>
                  </w:r>
                  <w:r>
                    <w:br/>
                  </w:r>
                  <w:r>
                    <w:rPr>
                      <w:rFonts w:ascii="仿宋_GB2312" w:hAnsi="仿宋_GB2312" w:cs="仿宋_GB2312" w:eastAsia="仿宋_GB2312"/>
                      <w:sz w:val="22"/>
                      <w:color w:val="000000"/>
                    </w:rPr>
                    <w:t>3. AI 律师对话：智能法律对话机器人，支持多轮对话交互，模拟律师沟通场景，解答基础法律问题、提供文书撰写指引与法律知识科普。</w:t>
                  </w:r>
                  <w:r>
                    <w:br/>
                  </w:r>
                  <w:r>
                    <w:rPr>
                      <w:rFonts w:ascii="仿宋_GB2312" w:hAnsi="仿宋_GB2312" w:cs="仿宋_GB2312" w:eastAsia="仿宋_GB2312"/>
                      <w:sz w:val="22"/>
                      <w:color w:val="000000"/>
                    </w:rPr>
                    <w:t>4. 法治地图：可视化展示本地法律服务机构（律所、公证处、法律援助中心等）的位置、联系方式与服务范围，方便用户就近获取线下服务。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便民法调指引服务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1.法网导览：平台整体功能与服务的导航指引，帮助用户快速了解各模块用途，找到对应的法律服务入口。</w:t>
                  </w:r>
                  <w:r>
                    <w:br/>
                  </w:r>
                  <w:r>
                    <w:rPr>
                      <w:rFonts w:ascii="仿宋_GB2312" w:hAnsi="仿宋_GB2312" w:cs="仿宋_GB2312" w:eastAsia="仿宋_GB2312"/>
                      <w:sz w:val="22"/>
                      <w:color w:val="000000"/>
                    </w:rPr>
                    <w:t>2.人民调解：提供人民调解服务的申请渠道，引导用户通过非诉讼方式化解民间纠纷，对接基层调解组织与调解员资源。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多元法律综合平台服务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1，公证服务：在线办理公证业务的入口，支持公证预约、材料清单查询、公证事项咨询，涵盖合同、委托、继承等各类公证业务指引。</w:t>
                  </w:r>
                  <w:r>
                    <w:br/>
                  </w:r>
                  <w:r>
                    <w:rPr>
                      <w:rFonts w:ascii="仿宋_GB2312" w:hAnsi="仿宋_GB2312" w:cs="仿宋_GB2312" w:eastAsia="仿宋_GB2312"/>
                      <w:sz w:val="22"/>
                      <w:color w:val="000000"/>
                    </w:rPr>
                    <w:t>2. 司法鉴定：司法鉴定机构查询、业务咨询与预约服务，包括法医、物证、声像资料等鉴定类型的流程说明与办理指引。</w:t>
                  </w:r>
                  <w:r>
                    <w:br/>
                  </w:r>
                  <w:r>
                    <w:rPr>
                      <w:rFonts w:ascii="仿宋_GB2312" w:hAnsi="仿宋_GB2312" w:cs="仿宋_GB2312" w:eastAsia="仿宋_GB2312"/>
                      <w:sz w:val="22"/>
                      <w:color w:val="000000"/>
                    </w:rPr>
                    <w:t>3. 仲裁服务：提供仲裁机构信息、仲裁流程指引、仲裁规则查询，支持商事仲裁、劳动仲裁等业务的咨询与预约。</w:t>
                  </w:r>
                  <w:r>
                    <w:br/>
                  </w:r>
                  <w:r>
                    <w:rPr>
                      <w:rFonts w:ascii="仿宋_GB2312" w:hAnsi="仿宋_GB2312" w:cs="仿宋_GB2312" w:eastAsia="仿宋_GB2312"/>
                      <w:sz w:val="22"/>
                      <w:color w:val="000000"/>
                    </w:rPr>
                    <w:t>4. 即时咨询：实时在线咨询服务，用户可快速接入客服或律师，解决紧急的法律疑问，获取即时响应。</w:t>
                  </w:r>
                  <w:r>
                    <w:br/>
                  </w:r>
                  <w:r>
                    <w:br/>
                  </w:r>
                  <w:r>
                    <w:rPr>
                      <w:rFonts w:ascii="仿宋_GB2312" w:hAnsi="仿宋_GB2312" w:cs="仿宋_GB2312" w:eastAsia="仿宋_GB2312"/>
                      <w:sz w:val="22"/>
                      <w:color w:val="000000"/>
                    </w:rPr>
                    <w:t>5. 法考服务：法律职业资格考试相关服务专区，包括考试报名指引、政策解读、备考资料、成绩查询等功能。</w:t>
                  </w:r>
                  <w:r>
                    <w:br/>
                  </w:r>
                  <w:r>
                    <w:rPr>
                      <w:rFonts w:ascii="仿宋_GB2312" w:hAnsi="仿宋_GB2312" w:cs="仿宋_GB2312" w:eastAsia="仿宋_GB2312"/>
                      <w:sz w:val="22"/>
                      <w:color w:val="000000"/>
                    </w:rPr>
                    <w:t>6. 互动交流：用户与平台、管理部门的互动渠道，包括留言咨询、意见反馈、在线问答等功能，搭建沟通桥梁。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涉法诉求办理服务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 刑事申诉：刑事申诉案件的办理指引与申请渠道，为不服生效刑事裁判的当事人提供申诉流程说明与材料指导。</w:t>
                  </w:r>
                  <w:r>
                    <w:br/>
                  </w:r>
                  <w:r>
                    <w:rPr>
                      <w:rFonts w:ascii="仿宋_GB2312" w:hAnsi="仿宋_GB2312" w:cs="仿宋_GB2312" w:eastAsia="仿宋_GB2312"/>
                      <w:sz w:val="22"/>
                      <w:color w:val="000000"/>
                    </w:rPr>
                    <w:t>2. 民事申诉：民事案件申诉的相关服务，包括申诉条件、办理流程、材料清单与申请入口指引。</w:t>
                  </w:r>
                  <w:r>
                    <w:br/>
                  </w:r>
                  <w:r>
                    <w:rPr>
                      <w:rFonts w:ascii="仿宋_GB2312" w:hAnsi="仿宋_GB2312" w:cs="仿宋_GB2312" w:eastAsia="仿宋_GB2312"/>
                      <w:sz w:val="22"/>
                      <w:color w:val="000000"/>
                    </w:rPr>
                    <w:t>3. 行政申诉：行政案件申诉的办理指引，针对不服行政行为、行政裁判的情况，提供申诉渠道与流程说明。</w:t>
                  </w:r>
                  <w:r>
                    <w:br/>
                  </w:r>
                  <w:r>
                    <w:rPr>
                      <w:rFonts w:ascii="仿宋_GB2312" w:hAnsi="仿宋_GB2312" w:cs="仿宋_GB2312" w:eastAsia="仿宋_GB2312"/>
                      <w:sz w:val="22"/>
                      <w:color w:val="000000"/>
                    </w:rPr>
                    <w:t>4. 国家赔偿：国家赔偿案件的申请指引、办理流程、法律依据与材料清单，帮助用户了解国家赔偿的申请条件与程序。</w:t>
                  </w:r>
                  <w:r>
                    <w:br/>
                  </w:r>
                  <w:r>
                    <w:rPr>
                      <w:rFonts w:ascii="仿宋_GB2312" w:hAnsi="仿宋_GB2312" w:cs="仿宋_GB2312" w:eastAsia="仿宋_GB2312"/>
                      <w:sz w:val="22"/>
                      <w:color w:val="000000"/>
                    </w:rPr>
                    <w:t>5. 公益诉讼：公益诉讼相关的法律知识、典型案例、办理流程介绍，涵盖检察公益诉讼、民事公益诉讼等内容。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法治资讯阅览服务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1.法律咨询：综合性法律咨询服务入口，整合线上线下资源，为用户提供免费或付费的法律问题解答与指引。</w:t>
                  </w:r>
                  <w:r>
                    <w:br/>
                  </w:r>
                  <w:r>
                    <w:rPr>
                      <w:rFonts w:ascii="仿宋_GB2312" w:hAnsi="仿宋_GB2312" w:cs="仿宋_GB2312" w:eastAsia="仿宋_GB2312"/>
                      <w:sz w:val="22"/>
                      <w:color w:val="000000"/>
                    </w:rPr>
                    <w:t>2. 听证直播：行政听证、司法听证等活动的线上直播服务，方便公众参与、监督听证过程，了解听证程序。</w:t>
                  </w:r>
                  <w:r>
                    <w:br/>
                  </w:r>
                  <w:r>
                    <w:rPr>
                      <w:rFonts w:ascii="仿宋_GB2312" w:hAnsi="仿宋_GB2312" w:cs="仿宋_GB2312" w:eastAsia="仿宋_GB2312"/>
                      <w:sz w:val="22"/>
                      <w:color w:val="000000"/>
                    </w:rPr>
                    <w:t>3. 法律与法规：法律与行政法规的综合性查询平台，按效力层级、发布时间、类别进行分类，方便用户检索查阅。</w:t>
                  </w:r>
                  <w:r>
                    <w:br/>
                  </w:r>
                  <w:r>
                    <w:rPr>
                      <w:rFonts w:ascii="仿宋_GB2312" w:hAnsi="仿宋_GB2312" w:cs="仿宋_GB2312" w:eastAsia="仿宋_GB2312"/>
                      <w:sz w:val="22"/>
                      <w:color w:val="000000"/>
                    </w:rPr>
                    <w:t>4. 司法解释：最高人民法院、最高人民检察院发布的司法解释全文数据库，提供权威的司法解释文本与解读。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政务诉务一体化服务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color w:val="000000"/>
                    </w:rPr>
                    <w:t>1.办事服务：各类司法行政事项的线上办理入口，支持在线申请、材料提交、进度查询等一站式服务。</w:t>
                  </w:r>
                  <w:r>
                    <w:br/>
                  </w:r>
                  <w:r>
                    <w:rPr>
                      <w:rFonts w:ascii="仿宋_GB2312" w:hAnsi="仿宋_GB2312" w:cs="仿宋_GB2312" w:eastAsia="仿宋_GB2312"/>
                      <w:sz w:val="22"/>
                      <w:color w:val="000000"/>
                    </w:rPr>
                    <w:t>2. 诉讼服务：法院诉讼相关的服务指引，包括立案、缴费、开庭、执行等流程说明，以及线上诉讼服务入口指引。</w:t>
                  </w:r>
                  <w:r>
                    <w:br/>
                  </w:r>
                  <w:r>
                    <w:rPr>
                      <w:rFonts w:ascii="仿宋_GB2312" w:hAnsi="仿宋_GB2312" w:cs="仿宋_GB2312" w:eastAsia="仿宋_GB2312"/>
                      <w:sz w:val="22"/>
                      <w:color w:val="000000"/>
                    </w:rPr>
                    <w:t>3. 开庭公告：法院案件开庭时间、地点、当事人信息的公开公告，方便当事人、代理人及公众了解案件开庭安排。</w:t>
                  </w:r>
                  <w:r>
                    <w:rPr>
                      <w:rFonts w:ascii="仿宋_GB2312" w:hAnsi="仿宋_GB2312" w:cs="仿宋_GB2312" w:eastAsia="仿宋_GB2312"/>
                      <w:sz w:val="22"/>
                      <w:color w:val="000000"/>
                    </w:rPr>
                    <w:t>4.配套查询的一体机</w:t>
                  </w:r>
                  <w:r>
                    <w:rPr>
                      <w:rFonts w:ascii="仿宋_GB2312" w:hAnsi="仿宋_GB2312" w:cs="仿宋_GB2312" w:eastAsia="仿宋_GB2312"/>
                      <w:sz w:val="22"/>
                      <w:color w:val="000000"/>
                    </w:rPr>
                    <w:t>设备</w:t>
                  </w:r>
                  <w:r>
                    <w:rPr>
                      <w:rFonts w:ascii="仿宋_GB2312" w:hAnsi="仿宋_GB2312" w:cs="仿宋_GB2312" w:eastAsia="仿宋_GB2312"/>
                      <w:sz w:val="22"/>
                      <w:color w:val="000000"/>
                    </w:rPr>
                    <w:t>满足</w:t>
                  </w:r>
                  <w:r>
                    <w:rPr>
                      <w:rFonts w:ascii="仿宋_GB2312" w:hAnsi="仿宋_GB2312" w:cs="仿宋_GB2312" w:eastAsia="仿宋_GB2312"/>
                      <w:sz w:val="22"/>
                      <w:color w:val="000000"/>
                    </w:rPr>
                    <w:t>49英寸红外触摸 横屏 i5 四</w:t>
                  </w:r>
                  <w:r>
                    <w:rPr>
                      <w:rFonts w:ascii="仿宋_GB2312" w:hAnsi="仿宋_GB2312" w:cs="仿宋_GB2312" w:eastAsia="仿宋_GB2312"/>
                      <w:sz w:val="22"/>
                      <w:color w:val="000000"/>
                    </w:rPr>
                    <w:t>代</w:t>
                  </w:r>
                  <w:r>
                    <w:rPr>
                      <w:rFonts w:ascii="仿宋_GB2312" w:hAnsi="仿宋_GB2312" w:cs="仿宋_GB2312" w:eastAsia="仿宋_GB2312"/>
                      <w:sz w:val="22"/>
                      <w:color w:val="000000"/>
                    </w:rPr>
                    <w:t xml:space="preserve"> 4+120G</w:t>
                  </w:r>
                  <w:r>
                    <w:rPr>
                      <w:rFonts w:ascii="仿宋_GB2312" w:hAnsi="仿宋_GB2312" w:cs="仿宋_GB2312" w:eastAsia="仿宋_GB2312"/>
                      <w:sz w:val="22"/>
                      <w:color w:val="000000"/>
                    </w:rPr>
                    <w:t>要求</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项</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合同签订后30日历天内交货安装完毕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将货物到达采购人指定地点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1.采购人确认接收成交供应商的自检内容后，进行验收，验收合格后，采购人填写验收单，双方签字生效后作为对软件的最终认可。 2、成交供应商向采购人提交实施过程中的所有资料，以便采购人日后管理和维护。 3、所验功能指标最终验收达不到采购文件要求和响应文件承诺的，或在使用中发现采购人不能容忍的缺陷等，将视为验收不合格，供应商应在采购人要求的时间内无条件免费修改。4、若发现供应商有弄虚作假的，在投标阶段故意或随意夸大功能，供应商应无条件修改，如仍达不到采购人需求，本合同解除，供应商赔偿采购人相应的损失。 5、验收标准：按采购文件、响应文件及澄清函等功能指标进行验收。各项指标均应符合验收标准及要求。 6、验收依据 (1)合同文本及合同补充文件（条款）。 (2)采购文件。 (3)成交供应商的响应文件。 (4)服务清单。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其他，交付验收合格后，达到付款条件起15个工作日内，支付合同总金额的100.0%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依法缴纳税收的相关材料（1）供应商应提供磋商截止时间前近六个月中（2026年2月至今）任何一个月缴纳增值税或企业所得税的凭证，时间以税款所属时期为准（银行出具的缴税凭证或税务机关出具的证明的复印件，并加盖本单位公章）。（2）供应商采用汇算清缴方式缴纳企业所得税的，应提供磋商截止时间前近六个月中（2026年2月至今）任何一个月缴纳增值税或最近一期缴纳企业所得税的凭证，时间以税款所属时期为准（银行出具的缴税凭证或税务机关出具的证明的复印件，并加盖本单位公章）。（3）缴纳凭证复印件须清晰可辨，并能显示出供应商名称和所缴纳税种种类，单位代扣代缴的个人所得税不能作为单位纳税的凭证。（4）依法免税或无须缴纳税收的供应商，应提供相应文件证明。 3.依法缴纳社会保障资金的相关材料（1）供应商应提供磋商截止时间前近六个月中（2026年2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度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首轮分项报价表.docx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完全响应第三章招标项⽬技术、服务、商务及其他要求中的“★”号条款内容，供应商须提供软件功能截图或承诺书并加盖供应商公章。</w:t>
            </w:r>
          </w:p>
        </w:tc>
        <w:tc>
          <w:tcPr>
            <w:tcW w:type="dxa" w:w="1661"/>
          </w:tcPr>
          <w:p>
            <w:pPr>
              <w:pStyle w:val="null3"/>
            </w:pPr>
            <w:r>
              <w:rPr>
                <w:rFonts w:ascii="仿宋_GB2312" w:hAnsi="仿宋_GB2312" w:cs="仿宋_GB2312" w:eastAsia="仿宋_GB2312"/>
              </w:rPr>
              <w:t>技术偏离表.docx 商务条款偏离表.docx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技术偏离表.docx 中小企业声明函 残疾人福利性单位声明函 首轮分项报价表.docx 标的清单 报价表 响应函 资格证明文件.docx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技术偏离表.docx 中小企业声明函 残疾人福利性单位声明函 首轮分项报价表.docx 标的清单 报价表 响应函 资格证明文件.docx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响应文件封面 技术偏离表.docx 中小企业声明函 残疾人福利性单位声明函 首轮分项报价表.docx 标的清单 报价表 响应函 资格证明文件.docx 商务条款偏离表.docx 监狱企业的证明文件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经过有效性和符合性审核合格的供应商，对合同专用条款中付款、交货、验收等方面进行响应说明，优于招标文件原内容，每优于招标文件要求一项计1分，满分计4分。（以实际的承诺或证明材料为准）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功能响应情况-智能门禁系统</w:t>
            </w:r>
          </w:p>
        </w:tc>
        <w:tc>
          <w:tcPr>
            <w:tcW w:type="dxa" w:w="2492"/>
          </w:tcPr>
          <w:p>
            <w:pPr>
              <w:pStyle w:val="null3"/>
            </w:pPr>
            <w:r>
              <w:rPr>
                <w:rFonts w:ascii="仿宋_GB2312" w:hAnsi="仿宋_GB2312" w:cs="仿宋_GB2312" w:eastAsia="仿宋_GB2312"/>
              </w:rPr>
              <w:t>智能门禁系统功能每负偏离一项扣1.5分，扣完为止。最多扣15分。供应商须提供软件功能截图或承诺书并加盖供应商公章。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功能响应情况-12309自助查询系统</w:t>
            </w:r>
          </w:p>
        </w:tc>
        <w:tc>
          <w:tcPr>
            <w:tcW w:type="dxa" w:w="2492"/>
          </w:tcPr>
          <w:p>
            <w:pPr>
              <w:pStyle w:val="null3"/>
            </w:pPr>
            <w:r>
              <w:rPr>
                <w:rFonts w:ascii="仿宋_GB2312" w:hAnsi="仿宋_GB2312" w:cs="仿宋_GB2312" w:eastAsia="仿宋_GB2312"/>
              </w:rPr>
              <w:t>12309自助查询系统功能每负偏离一项扣1分，扣完为止。最多扣6分。供应商须提供软件功能截图或承诺书并加盖供应商公章。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功能响应情况-普法宣传系统</w:t>
            </w:r>
          </w:p>
        </w:tc>
        <w:tc>
          <w:tcPr>
            <w:tcW w:type="dxa" w:w="2492"/>
          </w:tcPr>
          <w:p>
            <w:pPr>
              <w:pStyle w:val="null3"/>
            </w:pPr>
            <w:r>
              <w:rPr>
                <w:rFonts w:ascii="仿宋_GB2312" w:hAnsi="仿宋_GB2312" w:cs="仿宋_GB2312" w:eastAsia="仿宋_GB2312"/>
              </w:rPr>
              <w:t>普法宣传系统功能每负偏离一项扣2分，扣完为止。最多扣14分。供应商须提供软件功能截图或承诺书并加盖供应商公章。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根据供应商提供的2023年06月01日至今完成的类似项目业绩（以合同签订日期为准，提供合同复印件）进行评审，每份计2分，最高得10分。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供应商承诺为采购人提供除需求中明确要求的服务以外的其余免费增值服务，如免费软件升级、定期上门巡检等其它评审委员会认定有效的免费增值服务，每提供一项得1分，满分3分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承诺提供7×24小时故障维修服务，且明确响应时间≤15分钟，一般故障处理时间≤30分钟，重大处理故障≤1小时。未提供的得0分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实施方案-项目实施计划</w:t>
            </w:r>
          </w:p>
        </w:tc>
        <w:tc>
          <w:tcPr>
            <w:tcW w:type="dxa" w:w="2492"/>
          </w:tcPr>
          <w:p>
            <w:pPr>
              <w:pStyle w:val="null3"/>
            </w:pPr>
            <w:r>
              <w:rPr>
                <w:rFonts w:ascii="仿宋_GB2312" w:hAnsi="仿宋_GB2312" w:cs="仿宋_GB2312" w:eastAsia="仿宋_GB2312"/>
              </w:rPr>
              <w:t>一、评审内容：供应商需结合项目需求制定完整的实施方案，内容应包含①项目实施计划 二、评审标准：评审标准： 1、完整性：方案须全面，对评审内容中的各项要求有详细描述及说明； 2、可实施性：切合本项目实际情况，实施步骤清晰、合理； 3、针对性：方案能够紧扣项目实际情况，内容科学合理。 评审量化内容：①项目实施计划：每完全满足一个评审标准得2分；有方案但不能完全满足评审标准的得1分；满分6分。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实施方案-进度安排</w:t>
            </w:r>
          </w:p>
        </w:tc>
        <w:tc>
          <w:tcPr>
            <w:tcW w:type="dxa" w:w="2492"/>
          </w:tcPr>
          <w:p>
            <w:pPr>
              <w:pStyle w:val="null3"/>
            </w:pPr>
            <w:r>
              <w:rPr>
                <w:rFonts w:ascii="仿宋_GB2312" w:hAnsi="仿宋_GB2312" w:cs="仿宋_GB2312" w:eastAsia="仿宋_GB2312"/>
              </w:rPr>
              <w:t>一、评审内容：供应商需结合项目需求制定完整的实施方案，内容应包含②进度安排 二、评审标准：评审标准： 1、完整性：方案须全面，对评审内容中的各项要求有详细描述及说明； 2、可实施性：切合本项目实际情况，实施步骤清晰、合理； 3、针对性：方案能够紧扣项目实际情况，内容科学合理。 评审量化内容：②进度安排：每完全满足一个评审标准得2分；有方案但不能完全满足评审标准的得1分；满分6分。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实施方案-供货及安装调试方案</w:t>
            </w:r>
          </w:p>
        </w:tc>
        <w:tc>
          <w:tcPr>
            <w:tcW w:type="dxa" w:w="2492"/>
          </w:tcPr>
          <w:p>
            <w:pPr>
              <w:pStyle w:val="null3"/>
            </w:pPr>
            <w:r>
              <w:rPr>
                <w:rFonts w:ascii="仿宋_GB2312" w:hAnsi="仿宋_GB2312" w:cs="仿宋_GB2312" w:eastAsia="仿宋_GB2312"/>
              </w:rPr>
              <w:t>一、评审内容：供应商需结合项目需求制定完整的实施方案，内容应包含③供货及安装调试方案 二、评审标准：评审标准： 1、完整性：方案须全面，对评审内容中的各项要求有详细描述及说明； 2、可实施性：切合本项目实际情况，实施步骤清晰、合理； 3、针对性：方案能够紧扣项目实际情况，内容科学合理。 评审量化内容：③供货及安装调试方案：每完全满足一个评审标准得2分；有方案但不能完全满足评审标准的得1分；满分6分。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实施方案-操作培训方案（含内容、时长、方式）</w:t>
            </w:r>
          </w:p>
        </w:tc>
        <w:tc>
          <w:tcPr>
            <w:tcW w:type="dxa" w:w="2492"/>
          </w:tcPr>
          <w:p>
            <w:pPr>
              <w:pStyle w:val="null3"/>
            </w:pPr>
            <w:r>
              <w:rPr>
                <w:rFonts w:ascii="仿宋_GB2312" w:hAnsi="仿宋_GB2312" w:cs="仿宋_GB2312" w:eastAsia="仿宋_GB2312"/>
              </w:rPr>
              <w:t>一、评审内容：供应商需结合项目需求制定完整的实施方案，内容应包含④操作培训方案（含内容、时长、方式） 二、评审标准：评审标准： 1、完整性：方案须全面，对评审内容中的各项要求有详细描述及说明； 2、可实施性：切合本项目实际情况，实施步骤清晰、合理； 3、针对性：方案能够紧扣项目实际情况，内容科学合理。 评审量化内容：④操作培训方案（含内容、时长、方式）：每完全满足一个评审标准得2分；有方案但不能完全满足评审标准的得1分；满分6分。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实施方案-试运行及配合采购人验收方案（含标准、流程）</w:t>
            </w:r>
          </w:p>
        </w:tc>
        <w:tc>
          <w:tcPr>
            <w:tcW w:type="dxa" w:w="2492"/>
          </w:tcPr>
          <w:p>
            <w:pPr>
              <w:pStyle w:val="null3"/>
            </w:pPr>
            <w:r>
              <w:rPr>
                <w:rFonts w:ascii="仿宋_GB2312" w:hAnsi="仿宋_GB2312" w:cs="仿宋_GB2312" w:eastAsia="仿宋_GB2312"/>
              </w:rPr>
              <w:t>一、评审内容：供应商需结合项目需求制定完整的实施方案，内容应包含⑤试运行及配合采购人验收方案（含标准、流程） 二、评审标准：评审标准： 1、完整性：方案须全面，对评审内容中的各项要求有详细描述及说明； 2、可实施性：切合本项目实际情况，实施步骤清晰、合理； 3、针对性：方案能够紧扣项目实际情况，内容科学合理。 评审量化内容：⑤试运行及配合采购人验收方案（含标准、流程）：每完全满足一个评审标准得2分；有方案但不能完全满足评审标准的得1分；满分6分。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实施方案-人员安排</w:t>
            </w:r>
          </w:p>
        </w:tc>
        <w:tc>
          <w:tcPr>
            <w:tcW w:type="dxa" w:w="2492"/>
          </w:tcPr>
          <w:p>
            <w:pPr>
              <w:pStyle w:val="null3"/>
            </w:pPr>
            <w:r>
              <w:rPr>
                <w:rFonts w:ascii="仿宋_GB2312" w:hAnsi="仿宋_GB2312" w:cs="仿宋_GB2312" w:eastAsia="仿宋_GB2312"/>
              </w:rPr>
              <w:t>一、评审内容：供应商需结合项目需求制定完整的实施方案，内容应包含⑥人员安排 二、评审标准：评审标准： 1、完整性：方案须全面，对评审内容中的各项要求有详细描述及说明； 2、可实施性：切合本项目实际情况，实施步骤清晰、合理； 3、针对性：方案能够紧扣项目实际情况，内容科学合理。 评审量化内容：⑥人员安排：每完全满足一个评审标准得2分；有方案但不能完全满足评审标准的得1分；满分6分。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首轮分项报价表.docx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评审基准价=满足磋商文件要求且最后报价最低的评审价格。 合格供应商的有效价格得分=（评审基准价/最后报价）×10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