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AC4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  <w:t>一、项目名称</w:t>
      </w:r>
      <w:bookmarkStart w:id="0" w:name="OLE_LINK7"/>
    </w:p>
    <w:p w14:paraId="110876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both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安康市汉滨区林场2026年中央财政常态化帮扶资金(欠发达国有林场巩固提升任务)龙垭生态茶园建设项目(工程类)</w:t>
      </w:r>
    </w:p>
    <w:bookmarkEnd w:id="0"/>
    <w:p w14:paraId="1230BD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  <w:t>二、项目概况</w:t>
      </w:r>
    </w:p>
    <w:p w14:paraId="5917E2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项目实施地点：汉滨区林场</w:t>
      </w:r>
    </w:p>
    <w:p w14:paraId="796354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项目主要建设内容及规模：</w:t>
      </w:r>
    </w:p>
    <w:p w14:paraId="1E1DC56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茶叶储藏及分拣（晒）场建设</w:t>
      </w:r>
    </w:p>
    <w:p w14:paraId="74AC04A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茶叶晾晒加工设备配置</w:t>
      </w:r>
    </w:p>
    <w:p w14:paraId="722A63E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园区道路及附属设施建设（</w:t>
      </w:r>
      <w:bookmarkStart w:id="1" w:name="_Toc3385"/>
      <w:r>
        <w:rPr>
          <w:rFonts w:hint="eastAsia" w:ascii="仿宋" w:hAnsi="仿宋" w:eastAsia="仿宋" w:cs="仿宋"/>
          <w:sz w:val="24"/>
          <w:szCs w:val="24"/>
          <w:lang w:eastAsia="zh-CN"/>
        </w:rPr>
        <w:t>茶园</w:t>
      </w:r>
      <w:r>
        <w:rPr>
          <w:rFonts w:hint="eastAsia" w:ascii="仿宋" w:hAnsi="仿宋" w:eastAsia="仿宋" w:cs="仿宋"/>
          <w:sz w:val="24"/>
          <w:szCs w:val="24"/>
        </w:rPr>
        <w:t>生产步道建设</w:t>
      </w:r>
      <w:bookmarkEnd w:id="1"/>
      <w:r>
        <w:rPr>
          <w:rFonts w:hint="eastAsia" w:ascii="仿宋" w:hAnsi="仿宋" w:eastAsia="仿宋" w:cs="仿宋"/>
          <w:sz w:val="24"/>
          <w:szCs w:val="24"/>
          <w:lang w:eastAsia="zh-CN"/>
        </w:rPr>
        <w:t>、蓄水池建设、排水沟建设</w:t>
      </w: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）</w:t>
      </w:r>
    </w:p>
    <w:p w14:paraId="351179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-6"/>
          <w:sz w:val="24"/>
          <w:szCs w:val="24"/>
          <w:lang w:val="en-US" w:eastAsia="zh-CN"/>
        </w:rPr>
        <w:t>三、商务要求</w:t>
      </w:r>
    </w:p>
    <w:p w14:paraId="369779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56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服务期：2026年7月—2026年12月（共6个月）</w:t>
      </w:r>
    </w:p>
    <w:p w14:paraId="2A438C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56" w:firstLineChars="200"/>
        <w:jc w:val="both"/>
        <w:textAlignment w:val="auto"/>
        <w:outlineLvl w:val="9"/>
        <w:rPr>
          <w:rFonts w:hint="default" w:ascii="仿宋" w:hAnsi="仿宋" w:eastAsia="仿宋" w:cs="仿宋"/>
          <w:b w:val="0"/>
          <w:bCs/>
          <w:color w:val="auto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highlight w:val="none"/>
          <w:lang w:val="en-US" w:eastAsia="zh-CN"/>
        </w:rPr>
        <w:t>付款方式：签订合同后，乙方向甲方提供开工报告、正式发票、预付款申请书，甲方按照合同总金额的40%支付乙方预付款；本工程进度达到50%，再付合同总金额的30%；本服务项目范围所有工作内容施工完毕，支付合同总金额的20%；项目竣工经验收合格并办理完成结算及审计，乙方向甲方提交齐全的施工资料、正式票据，甲方向乙方支付合同总价的10%。（本工程税金由乙方承担，若税收政策变化，乙方则按国家新出台的税收政策完税）</w:t>
      </w:r>
    </w:p>
    <w:p w14:paraId="40AB96FA">
      <w:pPr>
        <w:spacing w:line="360" w:lineRule="auto"/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  <w:t>四、茶叶储藏及分拣（晒）场</w:t>
      </w:r>
    </w:p>
    <w:p w14:paraId="5AEE0C1D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kern w:val="0"/>
          <w:sz w:val="24"/>
          <w:szCs w:val="24"/>
          <w:lang w:val="en-US" w:eastAsia="zh-CN" w:bidi="ar-SA"/>
        </w:rPr>
        <w:t>建设选址：茶叶储藏及分拣（晒）场选址于龙垭管护站附近（茶园核心区与出入口交汇处），交通便利，便于鲜叶运输和游客到达。用地符合《直接为林业生产经营服务工程设施占用林地标准》（LY/T 3426-2025）要求，属于其他直接为林业生产服务的工程设施范畴。</w:t>
      </w:r>
    </w:p>
    <w:p w14:paraId="24224994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kern w:val="0"/>
          <w:sz w:val="24"/>
          <w:szCs w:val="24"/>
          <w:lang w:val="en-US" w:eastAsia="zh-CN" w:bidi="ar-SA"/>
        </w:rPr>
        <w:t>建设规模：建筑面积250平方米，框架结构，层高4.95米，室内净高不低于4米</w:t>
      </w:r>
    </w:p>
    <w:tbl>
      <w:tblPr>
        <w:tblStyle w:val="5"/>
        <w:tblW w:w="9503" w:type="dxa"/>
        <w:jc w:val="center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2"/>
        <w:gridCol w:w="2161"/>
        <w:gridCol w:w="4960"/>
      </w:tblGrid>
      <w:tr w14:paraId="60084323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2337C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功能区</w:t>
            </w:r>
          </w:p>
        </w:tc>
        <w:tc>
          <w:tcPr>
            <w:tcW w:w="216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366C8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面积（平方米）</w:t>
            </w:r>
          </w:p>
        </w:tc>
        <w:tc>
          <w:tcPr>
            <w:tcW w:w="496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9DA8F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功能说明</w:t>
            </w:r>
          </w:p>
        </w:tc>
      </w:tr>
      <w:tr w14:paraId="504F56AB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32F6E1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鲜叶摊放晾晒区</w:t>
            </w:r>
          </w:p>
        </w:tc>
        <w:tc>
          <w:tcPr>
            <w:tcW w:w="216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462AC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496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68512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鲜叶验收、摊晾、萎凋</w:t>
            </w:r>
          </w:p>
        </w:tc>
      </w:tr>
      <w:tr w14:paraId="3D2D00D7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7DC22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生产区</w:t>
            </w:r>
          </w:p>
        </w:tc>
        <w:tc>
          <w:tcPr>
            <w:tcW w:w="216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AAC0E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130</w:t>
            </w:r>
          </w:p>
        </w:tc>
        <w:tc>
          <w:tcPr>
            <w:tcW w:w="496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0DB07D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杀青、揉捻、烘干、筛选等</w:t>
            </w:r>
          </w:p>
        </w:tc>
      </w:tr>
      <w:tr w14:paraId="1BE528D0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8E083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包装储存区</w:t>
            </w:r>
          </w:p>
        </w:tc>
        <w:tc>
          <w:tcPr>
            <w:tcW w:w="216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7A35C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496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6E903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成品茶包装、临时储存</w:t>
            </w:r>
          </w:p>
        </w:tc>
      </w:tr>
      <w:tr w14:paraId="216A88C4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490877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产品展示区</w:t>
            </w:r>
          </w:p>
        </w:tc>
        <w:tc>
          <w:tcPr>
            <w:tcW w:w="216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1C1ACE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496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0F5C0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茶叶产品展示</w:t>
            </w:r>
          </w:p>
        </w:tc>
      </w:tr>
      <w:tr w14:paraId="24BC7E93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541212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辅助用房</w:t>
            </w:r>
          </w:p>
        </w:tc>
        <w:tc>
          <w:tcPr>
            <w:tcW w:w="2161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7C8190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496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auto"/>
            <w:vAlign w:val="top"/>
          </w:tcPr>
          <w:p w14:paraId="2015AE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6"/>
                <w:sz w:val="24"/>
                <w:szCs w:val="24"/>
                <w:lang w:val="en-US" w:eastAsia="zh-CN"/>
              </w:rPr>
              <w:t>工具存放、更衣、仓库</w:t>
            </w:r>
          </w:p>
        </w:tc>
      </w:tr>
    </w:tbl>
    <w:p w14:paraId="7C9D391A">
      <w:pPr>
        <w:spacing w:line="360" w:lineRule="auto"/>
        <w:ind w:firstLine="480" w:firstLineChars="200"/>
        <w:rPr>
          <w:rFonts w:hint="default" w:ascii="仿宋" w:hAnsi="仿宋" w:eastAsia="仿宋" w:cs="仿宋"/>
          <w:b w:val="0"/>
          <w:bCs w:val="0"/>
          <w:snapToGrid w:val="0"/>
          <w:color w:val="000000"/>
          <w:kern w:val="0"/>
          <w:sz w:val="24"/>
          <w:szCs w:val="24"/>
          <w:lang w:val="en-US" w:eastAsia="zh-CN" w:bidi="ar-SA"/>
        </w:rPr>
      </w:pPr>
    </w:p>
    <w:p w14:paraId="124C3990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建筑结构的安全等级:二级</w:t>
      </w:r>
    </w:p>
    <w:p w14:paraId="1C4957CB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结构设计基准期:50年</w:t>
      </w:r>
    </w:p>
    <w:p w14:paraId="237FA2D1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设计工作年限:50年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sz w:val="24"/>
          <w:szCs w:val="24"/>
        </w:rPr>
        <w:t>抗浮水位为室外地面</w:t>
      </w:r>
    </w:p>
    <w:p w14:paraId="26E57F3B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建筑抗震设防类别:丙类</w:t>
      </w:r>
    </w:p>
    <w:p w14:paraId="335D1228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地基基础设计等级:丙级</w:t>
      </w:r>
    </w:p>
    <w:p w14:paraId="433FE200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与水接触部分的抗渗等级:P8</w:t>
      </w:r>
    </w:p>
    <w:p w14:paraId="5F38FBC8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本工程嵌固端为基础顶</w:t>
      </w:r>
    </w:p>
    <w:p w14:paraId="2F549A36">
      <w:pPr>
        <w:pStyle w:val="4"/>
        <w:widowControl/>
        <w:numPr>
          <w:ilvl w:val="0"/>
          <w:numId w:val="2"/>
        </w:numPr>
        <w:spacing w:line="360" w:lineRule="auto"/>
        <w:ind w:left="0" w:leftChars="0" w:firstLine="48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建筑工程应满足抗浮稳定标准要求。抗浮结构和构件的承载力、变形及抗浮设施有效性应符合抗浮性能及结构设计要求，抗浮构件及设施的耐久性年限不应少于建筑工程结构设计工作年限。</w:t>
      </w:r>
    </w:p>
    <w:p w14:paraId="06806F81">
      <w:pPr>
        <w:spacing w:line="360" w:lineRule="auto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  <w:t>五、</w:t>
      </w:r>
      <w:bookmarkStart w:id="2" w:name="_Toc1760"/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  <w:t>茶叶晾晒加工设备配置</w:t>
      </w:r>
      <w:bookmarkEnd w:id="2"/>
    </w:p>
    <w:p w14:paraId="4FEA26B4">
      <w:pPr>
        <w:spacing w:line="360" w:lineRule="auto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1、功能要求：</w:t>
      </w:r>
    </w:p>
    <w:p w14:paraId="01AED0EF">
      <w:pPr>
        <w:spacing w:line="360" w:lineRule="auto"/>
        <w:rPr>
          <w:rFonts w:hint="default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（1）</w:t>
      </w:r>
      <w:r>
        <w:rPr>
          <w:rFonts w:hint="default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满足日均加工鲜叶500斤能力，匹配250亩茶园鲜叶产量。</w:t>
      </w:r>
    </w:p>
    <w:p w14:paraId="708042DB">
      <w:pPr>
        <w:spacing w:line="360" w:lineRule="auto"/>
        <w:rPr>
          <w:rFonts w:hint="default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（2）</w:t>
      </w:r>
      <w:r>
        <w:rPr>
          <w:rFonts w:hint="default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采用电加热设备为主，减少烟尘排放，符合环保要求。</w:t>
      </w:r>
    </w:p>
    <w:p w14:paraId="71CB6478">
      <w:pPr>
        <w:spacing w:line="360" w:lineRule="auto"/>
        <w:rPr>
          <w:rFonts w:hint="default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（3）</w:t>
      </w:r>
      <w:r>
        <w:rPr>
          <w:rFonts w:hint="default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设备选型以成熟机型为主，操作简便，维护方便。</w:t>
      </w:r>
    </w:p>
    <w:p w14:paraId="2DC3D8FB">
      <w:pP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2、配置选型</w:t>
      </w:r>
    </w:p>
    <w:tbl>
      <w:tblPr>
        <w:tblStyle w:val="5"/>
        <w:tblW w:w="961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391"/>
        <w:gridCol w:w="1350"/>
        <w:gridCol w:w="1297"/>
        <w:gridCol w:w="688"/>
        <w:gridCol w:w="2753"/>
        <w:gridCol w:w="874"/>
        <w:gridCol w:w="803"/>
      </w:tblGrid>
      <w:tr w14:paraId="08835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2A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05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 号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3A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名称及规格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A4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功率</w:t>
            </w:r>
          </w:p>
        </w:tc>
        <w:tc>
          <w:tcPr>
            <w:tcW w:w="6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9B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753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D95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技术参数、性能、配置要求</w:t>
            </w:r>
          </w:p>
        </w:tc>
        <w:tc>
          <w:tcPr>
            <w:tcW w:w="16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60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价格（万元）</w:t>
            </w:r>
          </w:p>
        </w:tc>
      </w:tr>
      <w:tr w14:paraId="261A7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F85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E7B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CF1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363D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kw</w:t>
            </w:r>
          </w:p>
        </w:tc>
        <w:tc>
          <w:tcPr>
            <w:tcW w:w="6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B28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3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30783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4B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8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CC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</w:tr>
      <w:tr w14:paraId="4F7E8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D6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084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6CS45B-2.7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48C2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茶叶输送机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56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E1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0CC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变频调速；接触茶叶部位材料不锈钢或橡胶。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A6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0C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44C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6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21B2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6CSF-60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902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热风杀青机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68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F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26A0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变频调速；燃气式（液化气）含直燃炉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C2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F2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C2F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E7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6C2E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6CS50W-5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C1EF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冷却输送机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6A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0.55+0.08×4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A5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14D3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不锈钢网带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CDC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5187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DE0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58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0142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RFSQZ2(D)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FE2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热风杀青机组通用控制柜1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FF6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C8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9A0E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控制序号：1、2、3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C9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F7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D97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70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26AE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6CR-55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5683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茶叶揉捻机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2C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2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A84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人工上料、手动加压、出茶。揉筋、揉桶、揉盘不锈钢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69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B8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039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4C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8AF3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6CR-40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F0E0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茶叶揉捻机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A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9F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33B2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人工上料、手动加压、出茶。揉筋、揉桶、揉盘不锈钢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62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47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618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A9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3BA9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DCH0.6×5.4A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4841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单层烘干机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6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AE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02A0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电磁调速，燃气式（液化气）含直燃炉、不锈钢网带，本身电器箱。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C66B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CA75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560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1F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4652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6CLZ-80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8AC0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茶叶理条机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C4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35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1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电加热，温控、强进风，无极调速，触摸屏控制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A9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A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5B4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D6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E84A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6CS33Z-3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25BA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茶叶输送机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A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1F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AA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振动式，3000×430×470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6B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E4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043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AE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B6F2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6CHP-941IA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5319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茶叶烘焙机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0C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E0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C17F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电加热、单斗控制，五圆斗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DB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C8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7E6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42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59D8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6CWD-5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5A4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萎凋槽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76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B8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49F6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电热式，槽体宽1米，长5米</w:t>
            </w:r>
          </w:p>
        </w:tc>
        <w:tc>
          <w:tcPr>
            <w:tcW w:w="8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5F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0E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252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5B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A383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6CHFJ-5B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353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红茶发酵机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07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2+0.55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E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6C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电热式，单门，内不锈钢，外碳钢，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43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B9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10D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EA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2BD5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6CTH6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B2F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茶叶提香机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6E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15×2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4F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E8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电热式，旋转式，不锈钢烘盘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12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09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B1A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3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0B4C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6CEF-40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B7B6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茶叶风选机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58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5F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74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含食品橡胶输送带提升机，储料斗及喂料振动槽，风量变频调速，箱体5个出茶口。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88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3C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B97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24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0F61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6CTLT-2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98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摊凉平台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BD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2B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2271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可移动，接触茶叶部位材料不锈钢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D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64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1FE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E6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80B2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30KG/H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0A14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汽化炉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F0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9478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8F2D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撬装式含管道、10个50公斤钢瓶（代购）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84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33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8DC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3D3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ECD86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BCAB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安装调试及运费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E24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C00F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FA34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含设备到设备电气箱之间电线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C3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24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E5B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F3F7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86B91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AA9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总计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4F9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DE83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519F9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05F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04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C0E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6" w:hRule="atLeast"/>
        </w:trPr>
        <w:tc>
          <w:tcPr>
            <w:tcW w:w="961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F6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说明：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1、设备均采用浅灰色油漆；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2、以上为需方定制的专用设备，其代号表示该模块产品的图号，不代表产品的规格型号。产品名称、规格型号、外形尺寸等以产品铭牌标注为准；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3、产品的电机功率及总计功率供设置变压器参考，各产品的具体电机功率以实际设备上的电机功率为准；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4、安装调试期间需方提供必须的起吊和搬运设备、工具和配合人力等，如叉车等；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5、强电、气源、自来水按供方要求通至到指定位置，实现通电、开机，送气、送水试运行，并提供所需调试耗材（茶鲜叶、电能、气源）及人；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6、以上以上价格含税，含运费、含安装调试、含气瓶放置间建设及管道铺装。报价有效期30天</w:t>
            </w:r>
          </w:p>
        </w:tc>
      </w:tr>
    </w:tbl>
    <w:p w14:paraId="547D944A">
      <w:pPr>
        <w:rPr>
          <w:rFonts w:hint="eastAsia" w:ascii="仿宋" w:hAnsi="仿宋" w:eastAsia="仿宋" w:cs="仿宋"/>
          <w:b/>
          <w:bCs/>
          <w:spacing w:val="6"/>
          <w:sz w:val="24"/>
          <w:szCs w:val="24"/>
          <w:lang w:val="en-US" w:eastAsia="zh-CN"/>
        </w:rPr>
      </w:pPr>
    </w:p>
    <w:p w14:paraId="7D8DC639">
      <w:pPr>
        <w:spacing w:line="360" w:lineRule="auto"/>
        <w:rPr>
          <w:rFonts w:hint="eastAsia" w:ascii="仿宋" w:hAnsi="仿宋" w:eastAsia="仿宋" w:cs="仿宋"/>
          <w:b/>
          <w:bCs/>
          <w:spacing w:val="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6"/>
          <w:sz w:val="24"/>
          <w:szCs w:val="24"/>
          <w:lang w:val="en-US" w:eastAsia="zh-CN"/>
        </w:rPr>
        <w:t>六、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园区道路及附属设施建设</w:t>
      </w:r>
    </w:p>
    <w:p w14:paraId="12076857">
      <w:pPr>
        <w:spacing w:line="360" w:lineRule="auto"/>
        <w:rPr>
          <w:rFonts w:hint="eastAsia" w:ascii="仿宋" w:hAnsi="仿宋" w:eastAsia="仿宋" w:cs="仿宋"/>
          <w:b w:val="0"/>
          <w:bCs w:val="0"/>
          <w:spacing w:val="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24"/>
          <w:szCs w:val="24"/>
          <w:lang w:val="en-US" w:eastAsia="zh-CN"/>
        </w:rPr>
        <w:t xml:space="preserve"> 1、工程概况：修建茶园生产步道2公里，连接茶园各区块与茶叶储藏及分拣（晒）场，形成环形路线。步道路线沿茶园等高线布设，减少对原地形地貌的破坏。</w:t>
      </w:r>
    </w:p>
    <w:p w14:paraId="15F60C4C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pacing w:val="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24"/>
          <w:szCs w:val="24"/>
          <w:lang w:val="en-US" w:eastAsia="zh-CN"/>
        </w:rPr>
        <w:t>2、技术标准及建设内容：</w:t>
      </w:r>
    </w:p>
    <w:p w14:paraId="409E5018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pacing w:val="6"/>
          <w:sz w:val="24"/>
          <w:szCs w:val="24"/>
          <w:lang w:val="en-US" w:eastAsia="zh-CN"/>
        </w:rPr>
        <w:t>（1）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路线长度：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2公里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；</w:t>
      </w:r>
    </w:p>
    <w:p w14:paraId="64CBEB0D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路基宽度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2.4米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；</w:t>
      </w:r>
    </w:p>
    <w:p w14:paraId="3ADC6685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路面宽度：2.0米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两侧各设0.2m土路肩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；</w:t>
      </w:r>
    </w:p>
    <w:p w14:paraId="79294BD2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）步道结构：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泥结碎石路面结构；</w:t>
      </w:r>
    </w:p>
    <w:p w14:paraId="11E268B6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）管涵：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横向涵管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处（Φ400mm钢筋混凝土预制圆管）；</w:t>
      </w:r>
    </w:p>
    <w:p w14:paraId="6055460B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错车道4处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eastAsia="zh-CN"/>
        </w:rPr>
        <w:t>。</w:t>
      </w:r>
    </w:p>
    <w:p w14:paraId="5C44A11C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七、蓄水池建设</w:t>
      </w:r>
    </w:p>
    <w:p w14:paraId="3437BD82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1、建设标准：</w:t>
      </w:r>
    </w:p>
    <w:p w14:paraId="6F008701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蓄水池位置：选址于茶园地势较高处，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采取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利用自然地势自流灌溉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和小型抽水设备浇灌相结合的方式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。</w:t>
      </w:r>
    </w:p>
    <w:p w14:paraId="3F752CEF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蓄水池容量：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50</w:t>
      </w:r>
      <w:r>
        <w:rPr>
          <w:rFonts w:hint="eastAsia" w:ascii="仿宋" w:hAnsi="仿宋" w:eastAsia="仿宋" w:cs="仿宋"/>
          <w:sz w:val="24"/>
          <w:szCs w:val="24"/>
        </w:rPr>
        <w:t>立方米。</w:t>
      </w:r>
    </w:p>
    <w:p w14:paraId="79C8F014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结构形式：C25钢筋混凝土结构，内壁防水砂浆抹面。</w:t>
      </w:r>
    </w:p>
    <w:p w14:paraId="0E6B04E5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尺寸规格：长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</w:rPr>
        <w:t>米×宽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</w:rPr>
        <w:t>米×深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2.8</w:t>
      </w:r>
      <w:r>
        <w:rPr>
          <w:rFonts w:hint="eastAsia" w:ascii="仿宋" w:hAnsi="仿宋" w:eastAsia="仿宋" w:cs="仿宋"/>
          <w:sz w:val="24"/>
          <w:szCs w:val="24"/>
        </w:rPr>
        <w:t>米（有效水深2.5米）。</w:t>
      </w:r>
    </w:p>
    <w:p w14:paraId="753EFD42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配套设施：进水口设拦污栅，出水口设控制阀门，池顶设检修孔和通风管。</w:t>
      </w:r>
    </w:p>
    <w:p w14:paraId="5F5293CE">
      <w:pPr>
        <w:pStyle w:val="4"/>
        <w:widowControl/>
        <w:numPr>
          <w:ilvl w:val="0"/>
          <w:numId w:val="0"/>
        </w:numPr>
        <w:spacing w:line="360" w:lineRule="auto"/>
        <w:ind w:left="480"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注：蓄水池选址位于山区茶园核心区，材料需二次人工转运约800米，其他</w:t>
      </w:r>
    </w:p>
    <w:p w14:paraId="08BA084C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费用中包含材料转运人工费及混凝土搅拌机具台班费。</w:t>
      </w:r>
    </w:p>
    <w:p w14:paraId="5B794C51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2、集水方式</w:t>
      </w:r>
    </w:p>
    <w:p w14:paraId="6DA6B9E1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（1）收集步道及周边地表径流，通过排水沟引入蓄水池。</w:t>
      </w:r>
    </w:p>
    <w:p w14:paraId="74FAABD4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（2）雨季蓄水，旱季用于茶园灌溉，实现水资源调节利用。</w:t>
      </w:r>
    </w:p>
    <w:p w14:paraId="2B673F50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3、灌溉管网配套</w:t>
      </w:r>
    </w:p>
    <w:p w14:paraId="45252E65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主管道：PE管DN75，总长800米，沿步道埋设。</w:t>
      </w:r>
    </w:p>
    <w:p w14:paraId="1FEBB4B7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（2）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支管道：PE管DN32，总长1500米，沿茶行间布设。</w:t>
      </w:r>
    </w:p>
    <w:p w14:paraId="5AA53FD2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（3）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出水口：每20米设一出水口，配球阀控制。</w:t>
      </w:r>
    </w:p>
    <w:p w14:paraId="34548CBD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（4）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灌溉方式：移动式喷灌及软管浇灌。</w:t>
      </w:r>
    </w:p>
    <w:p w14:paraId="3F251DCA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八、排水沟建设</w:t>
      </w:r>
    </w:p>
    <w:p w14:paraId="06F92428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1、设计标准：</w:t>
      </w:r>
    </w:p>
    <w:p w14:paraId="27FFA1DD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（1）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排水沟总长：2公里，沿步道单侧布设。</w:t>
      </w:r>
    </w:p>
    <w:p w14:paraId="3C945793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（2）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断面尺寸：上口宽50厘米，底宽30厘米，深40厘米。</w:t>
      </w:r>
    </w:p>
    <w:p w14:paraId="72FD71BA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（3）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结构形式：土层开挖。</w:t>
      </w:r>
    </w:p>
    <w:p w14:paraId="4F185527">
      <w:pPr>
        <w:pStyle w:val="4"/>
        <w:widowControl/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（4）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坡度：随地形自然坡降，纵坡不小于0.3%。</w:t>
      </w:r>
    </w:p>
    <w:p w14:paraId="71341192">
      <w:pPr>
        <w:pStyle w:val="4"/>
        <w:widowControl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九、其他</w:t>
      </w:r>
    </w:p>
    <w:p w14:paraId="2346FE85"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工程量清单及图纸电子版另附。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5057D0"/>
    <w:multiLevelType w:val="singleLevel"/>
    <w:tmpl w:val="D55057D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2A77B00"/>
    <w:multiLevelType w:val="singleLevel"/>
    <w:tmpl w:val="E2A77B00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C0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styleId="3">
    <w:name w:val="toc 4"/>
    <w:basedOn w:val="1"/>
    <w:next w:val="1"/>
    <w:qFormat/>
    <w:uiPriority w:val="0"/>
    <w:pPr>
      <w:tabs>
        <w:tab w:val="right" w:leader="dot" w:pos="9060"/>
      </w:tabs>
      <w:ind w:left="420" w:leftChars="200"/>
    </w:pPr>
  </w:style>
  <w:style w:type="paragraph" w:styleId="4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2026-06-26T10:49:15Z</dcterms:created>
  <dc:creator>江小花</dc:creator>
  <cp:lastModifiedBy>江小花</cp:lastModifiedBy>
  <dcterms:modified xsi:type="dcterms:W3CDTF">2026-06-26T10:49:30Z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eyJoZGlkIjoiNjNiZGNhYTJmOGY3MDhjYzhhYTI2Mjc0NTBhODEzODYiLCJ1c2VySWQiOiIxMjY1MTc4OTA3In0=</vt:lpwstr>
  </property>
  <property fmtid="{D5CDD505-2E9C-101B-9397-08002B2CF9AE}" pid="4" name="ICV">
    <vt:lpwstr>7232AE10742D431E8505183A412C456C_12</vt:lpwstr>
  </property>
</Properties>
</file>