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版本号：XYTYSL2026CS05320260824001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2026年柞水县零工市场运营服务项目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XYTYSL2026CS053</w:t>
      </w:r>
      <w:r>
        <w:br/>
      </w:r>
      <w:r>
        <w:br/>
      </w:r>
      <w:r>
        <w:br/>
      </w:r>
    </w:p>
    <w:p>
      <w:pPr>
        <w:pStyle w:val="null3"/>
        <w:jc w:val="center"/>
        <w:outlineLvl w:val="2"/>
      </w:pPr>
      <w:r>
        <w:rPr>
          <w:rFonts w:ascii="仿宋_GB2312" w:hAnsi="仿宋_GB2312" w:cs="仿宋_GB2312" w:eastAsia="仿宋_GB2312"/>
          <w:sz w:val="28"/>
          <w:b/>
        </w:rPr>
        <w:t>柞水县就业服务中心</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柞水县就业服务中心</w:t>
      </w:r>
      <w:r>
        <w:rPr>
          <w:rFonts w:ascii="仿宋_GB2312" w:hAnsi="仿宋_GB2312" w:cs="仿宋_GB2312" w:eastAsia="仿宋_GB2312"/>
        </w:rPr>
        <w:t>委托，拟对</w:t>
      </w:r>
      <w:r>
        <w:rPr>
          <w:rFonts w:ascii="仿宋_GB2312" w:hAnsi="仿宋_GB2312" w:cs="仿宋_GB2312" w:eastAsia="仿宋_GB2312"/>
        </w:rPr>
        <w:t>2026年柞水县零工市场运营服务项目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XYTYSL2026CS053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2026年柞水县零工市场运营服务项目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(1)项目名称：2026年柞水县零工市场运营服务项目。 (2)项目目标：通过聘请具备相应资质的第三方专业运营机构，推动柞水县零工市场提供专业化、规范化服务，有效促进灵活就业。 (3)项目地点：柞水县乾佑街道石镇社区高速路口。 (4)项目预算：本项目总投资656735元。 (5)资金来源：就业补助专项资金。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采购包1（2026年柞水县零工市场运营服务项目）：属于专门面向中小企业采购。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1、主体资格证明：具有独⽴承担⺠事责任能⼒的法⼈、其他组织或⾃然⼈，提供合法有效的统⼀社会 信⽤代码营业执照（事业单位提供事业单位法⼈证书，⾃然⼈应提供⾝份证）；</w:t>
      </w:r>
    </w:p>
    <w:p>
      <w:pPr>
        <w:pStyle w:val="null3"/>
      </w:pPr>
      <w:r>
        <w:rPr>
          <w:rFonts w:ascii="仿宋_GB2312" w:hAnsi="仿宋_GB2312" w:cs="仿宋_GB2312" w:eastAsia="仿宋_GB2312"/>
        </w:rPr>
        <w:t>2、法定代表⼈授权委托书：提供法定代表⼈授权书（附法定代表⼈、被授权⼈⾝份证复印件）及被授权⼈⾝份证原件（法定代表⼈直接参加投标，须提供法定代表⼈⾝份证明及⾝份证原件）；</w:t>
      </w:r>
    </w:p>
    <w:p>
      <w:pPr>
        <w:pStyle w:val="null3"/>
      </w:pPr>
      <w:r>
        <w:rPr>
          <w:rFonts w:ascii="仿宋_GB2312" w:hAnsi="仿宋_GB2312" w:cs="仿宋_GB2312" w:eastAsia="仿宋_GB2312"/>
        </w:rPr>
        <w:t>3、财务状况：提供2025年度的财务审计报告（⾄少包括资产负债表和利润表，成⽴时间⾄提交磋商响应⽂件截⽌时间不⾜⼀年的可提供成⽴后任意时段的资产负债表），或开标时间前六个⽉内银⾏出具的资信证明；</w:t>
      </w:r>
    </w:p>
    <w:p>
      <w:pPr>
        <w:pStyle w:val="null3"/>
      </w:pPr>
      <w:r>
        <w:rPr>
          <w:rFonts w:ascii="仿宋_GB2312" w:hAnsi="仿宋_GB2312" w:cs="仿宋_GB2312" w:eastAsia="仿宋_GB2312"/>
        </w:rPr>
        <w:t>4、税收缴纳证明：提供磋商截⽌⽇前近⼀年内任意⼀个⽉的纳税证明或完税证明（任意税种），依法免税的单位应提供相关证明材料；</w:t>
      </w:r>
    </w:p>
    <w:p>
      <w:pPr>
        <w:pStyle w:val="null3"/>
      </w:pPr>
      <w:r>
        <w:rPr>
          <w:rFonts w:ascii="仿宋_GB2312" w:hAnsi="仿宋_GB2312" w:cs="仿宋_GB2312" w:eastAsia="仿宋_GB2312"/>
        </w:rPr>
        <w:t>5、社会保障资⾦缴纳证明：提供磋商截⽌⽇前近⼀年内任意⼀个⽉的社会保障资⾦缴存单据或社保机构开具的社会保险参保缴费情况证明，依法不需要缴纳社会保障资⾦的单位应提供相关证明材料；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信誉要求：供应商不得为“信⽤中国”⽹站(http://www.creditchina.gov.cn)列⼊“严重失信主体名单、重⼤税收违法失信主体、政府采购严重违法失信⾏为记录名单”的供应商；不得为中国政府采购⽹(http://www.ccgp.gov.cn)“政府采购严重违法失信⾏为记录名单”中的供应商；</w:t>
      </w:r>
    </w:p>
    <w:p>
      <w:pPr>
        <w:pStyle w:val="null3"/>
      </w:pPr>
      <w:r>
        <w:rPr>
          <w:rFonts w:ascii="仿宋_GB2312" w:hAnsi="仿宋_GB2312" w:cs="仿宋_GB2312" w:eastAsia="仿宋_GB2312"/>
        </w:rPr>
        <w:t>7、承诺函：提供具有履⾏合同所必需的设备和专业技术能⼒的承诺函；</w:t>
      </w:r>
    </w:p>
    <w:p>
      <w:pPr>
        <w:pStyle w:val="null3"/>
      </w:pPr>
      <w:r>
        <w:rPr>
          <w:rFonts w:ascii="仿宋_GB2312" w:hAnsi="仿宋_GB2312" w:cs="仿宋_GB2312" w:eastAsia="仿宋_GB2312"/>
        </w:rPr>
        <w:t>8、书⾯声明：参加政府采购活动前3年内，在经营活动中没有重⼤违法记录的书⾯声明；</w:t>
      </w:r>
    </w:p>
    <w:p>
      <w:pPr>
        <w:pStyle w:val="null3"/>
      </w:pPr>
      <w:r>
        <w:rPr>
          <w:rFonts w:ascii="仿宋_GB2312" w:hAnsi="仿宋_GB2312" w:cs="仿宋_GB2312" w:eastAsia="仿宋_GB2312"/>
        </w:rPr>
        <w:t>9、控股关系：单位负责⼈为同⼀⼈或者存在直接控股、管理关系的不同供应商，不得参加同⼀合同项下的政府采购活动；</w:t>
      </w:r>
    </w:p>
    <w:p>
      <w:pPr>
        <w:pStyle w:val="null3"/>
      </w:pPr>
      <w:r>
        <w:rPr>
          <w:rFonts w:ascii="仿宋_GB2312" w:hAnsi="仿宋_GB2312" w:cs="仿宋_GB2312" w:eastAsia="仿宋_GB2312"/>
        </w:rPr>
        <w:t>10、中⼩企业声明函：本项⽬专⻔⾯向中⼩企业采购，供应商应为中型、⼩型、微型企业或监狱企业或残疾⼈福利性单位，投标时提供；</w:t>
      </w:r>
    </w:p>
    <w:p>
      <w:pPr>
        <w:pStyle w:val="null3"/>
      </w:pPr>
      <w:r>
        <w:rPr>
          <w:rFonts w:ascii="仿宋_GB2312" w:hAnsi="仿宋_GB2312" w:cs="仿宋_GB2312" w:eastAsia="仿宋_GB2312"/>
        </w:rPr>
        <w:t>11、本项⽬不接受联合体磋商：本项⽬不接受联合体磋商(提供⾮联合体承诺书）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柞水县就业服务中心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柞水县乾佑街办石镇人力资源大楼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柞水县就业服务中心经办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0914-4321163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陕西省商洛市商州区商郡城商铺东侧三楼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储娜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0914-2335955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采购包1：656,735.00元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成交）⾦额为计费基数，参照原国家计委《关于印发&lt;招标代理服务收费管理暂⾏办法〉的通知》(计价格〔2002〕1980号)、国家发展改⾰委办公厅《关于招标代理服务收费有关问题的通知》(发改办价格〔2003〕857号)⽂件有关规定执⾏。（缴纳代理服务费时请备注项⽬名称） 2.本项⽬代理服务费由成交供应商⽀付，成交供应商在领取中标通知书前⼀次性向招标代理机构缴纳，应依据成交⾦额向招标代理机构交纳招标代理服务费。 3.代理服务费账⼾： 开⼾名称：信宇腾远⼯程咨询集团有限公司商洛分公司； 开⼾银⾏：中国⼯商银⾏股份有限公司商洛商州⽀⾏； 账⼾号码：2608070309100160488； 请各供应商将代理服务费汇⼊以上指定账⼾，如因⾃⾝原因发⽣错误，产⽣的不利后果均由供应商⾃⾏承担。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柞水县就业服务中心</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柞水县就业服务中心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柞水县就业服务中心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项目实施方案及合同约定开展验收。全年完成登记注册6000人，发布用工岗位5000个，召开线下招聘会20场次、直播带岗165场次，服务群众3000人次以上，成功匹配岗位900人；零工市场人员不少于4人，除春节外节假日正常运营，每日运营时间9时至17时，便民服务正常提供；活动台账、影像资料完整齐全，服务对象满意度调查不低于80%，全部合同服务要求落实到位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联系人：储娜</w:t>
      </w:r>
    </w:p>
    <w:p>
      <w:pPr>
        <w:pStyle w:val="null3"/>
      </w:pPr>
      <w:r>
        <w:rPr>
          <w:rFonts w:ascii="仿宋_GB2312" w:hAnsi="仿宋_GB2312" w:cs="仿宋_GB2312" w:eastAsia="仿宋_GB2312"/>
        </w:rPr>
        <w:t>联系电话：0914-2335955</w:t>
      </w:r>
    </w:p>
    <w:p>
      <w:pPr>
        <w:pStyle w:val="null3"/>
      </w:pPr>
      <w:r>
        <w:rPr>
          <w:rFonts w:ascii="仿宋_GB2312" w:hAnsi="仿宋_GB2312" w:cs="仿宋_GB2312" w:eastAsia="仿宋_GB2312"/>
        </w:rPr>
        <w:t>地址：陕西省商洛市商州区商郡城商铺东侧三楼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(一)项目名称：2026年柞水县零工市场运营服务项目。 (二)项目目标：通过聘请具备相应资质的第三方专业运营机构，推动柞水县零工市场提供专业化、规范化服务，有效促进灵活就业。 (三)项目地点：柞水县乾佑街道石镇社区高速路口。 (四)项目预算：本项目总投资656735元。 (五)资金来源：就业补助专项资金。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656,735.00</w:t>
      </w:r>
    </w:p>
    <w:p>
      <w:pPr>
        <w:pStyle w:val="null3"/>
      </w:pPr>
      <w:r>
        <w:rPr>
          <w:rFonts w:ascii="仿宋_GB2312" w:hAnsi="仿宋_GB2312" w:cs="仿宋_GB2312" w:eastAsia="仿宋_GB2312"/>
        </w:rPr>
        <w:t>采购包最高限价（元）: 656,735.00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柞水县零工市场运营服务项目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656,735.00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标的名称：柞水县零工市场运营服务项目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(一)项目名称：2026年柞水县零工市场运营服务项目。</w:t>
            </w:r>
          </w:p>
          <w:p>
            <w:pPr>
              <w:pStyle w:val="null3"/>
            </w:pPr>
            <w:r>
              <w:rPr>
                <w:rFonts w:ascii="仿宋_GB2312" w:hAnsi="仿宋_GB2312" w:cs="仿宋_GB2312" w:eastAsia="仿宋_GB2312"/>
              </w:rPr>
              <w:t>(二)项目目标：通过聘请具备相应资质的第三方专业运营机构，推动柞水县零工市场提供专业化、规范化服务，有效促进灵活就业。</w:t>
            </w:r>
          </w:p>
          <w:p>
            <w:pPr>
              <w:pStyle w:val="null3"/>
            </w:pPr>
            <w:r>
              <w:rPr>
                <w:rFonts w:ascii="仿宋_GB2312" w:hAnsi="仿宋_GB2312" w:cs="仿宋_GB2312" w:eastAsia="仿宋_GB2312"/>
              </w:rPr>
              <w:t>(三)项目地点：柞水县乾佑街道石镇社区高速路口。</w:t>
            </w:r>
          </w:p>
          <w:p>
            <w:pPr>
              <w:pStyle w:val="null3"/>
            </w:pPr>
            <w:r>
              <w:rPr>
                <w:rFonts w:ascii="仿宋_GB2312" w:hAnsi="仿宋_GB2312" w:cs="仿宋_GB2312" w:eastAsia="仿宋_GB2312"/>
              </w:rPr>
              <w:t>(四)项目预算：本项目总投资656735元。</w:t>
            </w:r>
          </w:p>
          <w:p>
            <w:pPr>
              <w:pStyle w:val="null3"/>
            </w:pPr>
            <w:r>
              <w:rPr>
                <w:rFonts w:ascii="仿宋_GB2312" w:hAnsi="仿宋_GB2312" w:cs="仿宋_GB2312" w:eastAsia="仿宋_GB2312"/>
              </w:rPr>
              <w:t>(五)资金来源：就业补助专项资金。</w:t>
            </w:r>
          </w:p>
          <w:p>
            <w:pPr>
              <w:pStyle w:val="null3"/>
            </w:pPr>
            <w:r>
              <w:rPr>
                <w:rFonts w:ascii="仿宋_GB2312" w:hAnsi="仿宋_GB2312" w:cs="仿宋_GB2312" w:eastAsia="仿宋_GB2312"/>
              </w:rPr>
              <w:t>二、项目服务对象、内容及方式</w:t>
            </w:r>
          </w:p>
          <w:p>
            <w:pPr>
              <w:pStyle w:val="null3"/>
            </w:pPr>
            <w:r>
              <w:rPr>
                <w:rFonts w:ascii="仿宋_GB2312" w:hAnsi="仿宋_GB2312" w:cs="仿宋_GB2312" w:eastAsia="仿宋_GB2312"/>
              </w:rPr>
              <w:t>(一)服务对象：县内企业(包括重点企业)、个体户(雇主)、重点就业群体及零工(灵活就业人员)。</w:t>
            </w:r>
          </w:p>
          <w:p>
            <w:pPr>
              <w:pStyle w:val="null3"/>
            </w:pPr>
            <w:r>
              <w:rPr>
                <w:rFonts w:ascii="仿宋_GB2312" w:hAnsi="仿宋_GB2312" w:cs="仿宋_GB2312" w:eastAsia="仿宋_GB2312"/>
              </w:rPr>
              <w:t>(二)服务内容：1.向用人单位宣传就业政策、发布用工信息，保障县内企业(雇主)用工需求。2.向重点就业群体及零工提供政策咨询、求职登记、岗位推荐、就业指导及跟踪服务等专业化服务。3.日常接待工作，免费为零工人员提供饮水、简餐、手机充电、阅读、休闲等便民服务，接待各级各界莅临零工市场检查交流活动。零工市场工作人员至少4人，每日运营时间为9时至17时(除春节外，含其他节假日)。</w:t>
            </w:r>
          </w:p>
          <w:p>
            <w:pPr>
              <w:pStyle w:val="null3"/>
            </w:pPr>
            <w:r>
              <w:rPr>
                <w:rFonts w:ascii="仿宋_GB2312" w:hAnsi="仿宋_GB2312" w:cs="仿宋_GB2312" w:eastAsia="仿宋_GB2312"/>
              </w:rPr>
              <w:t>(三)服务方式：通过零工市场现场招聘会、网络(直播带岗)招聘活动、入企探岗、送岗上门等方式，搭建用人单位和求职者双向选择平台，拓宽就业渠道，保障企业用工，促进群众就业。</w:t>
            </w:r>
          </w:p>
          <w:p>
            <w:pPr>
              <w:pStyle w:val="null3"/>
            </w:pPr>
            <w:r>
              <w:rPr>
                <w:rFonts w:ascii="仿宋_GB2312" w:hAnsi="仿宋_GB2312" w:cs="仿宋_GB2312" w:eastAsia="仿宋_GB2312"/>
              </w:rPr>
              <w:t>三、项目成本概算</w:t>
            </w:r>
            <w:r>
              <w:br/>
            </w:r>
            <w:r>
              <w:rPr>
                <w:rFonts w:ascii="仿宋_GB2312" w:hAnsi="仿宋_GB2312" w:cs="仿宋_GB2312" w:eastAsia="仿宋_GB2312"/>
              </w:rPr>
              <w:t xml:space="preserve"> 经估算，本项目总投资656735元，主要用于购买第三方运营服务，包括：现场招聘会、网络(直播带岗)招聘活动、入企探岗、送岗上门、就业宣传及管理等费用。</w:t>
            </w:r>
          </w:p>
          <w:p>
            <w:pPr>
              <w:pStyle w:val="null3"/>
            </w:pPr>
            <w:r>
              <w:rPr>
                <w:rFonts w:ascii="仿宋_GB2312" w:hAnsi="仿宋_GB2312" w:cs="仿宋_GB2312" w:eastAsia="仿宋_GB2312"/>
              </w:rPr>
              <w:t>四、预期成效</w:t>
            </w:r>
            <w:r>
              <w:br/>
            </w:r>
            <w:r>
              <w:rPr>
                <w:rFonts w:ascii="仿宋_GB2312" w:hAnsi="仿宋_GB2312" w:cs="仿宋_GB2312" w:eastAsia="仿宋_GB2312"/>
              </w:rPr>
              <w:t xml:space="preserve"> 通过零工市场专业化运营、规范化服务，实现零工市场建设和就业服务水平双提升，建立用工和就业对接高效机制，全年登记注册6000人，发布用工岗位5000个，召开线下招聘会20场次、线上(直播带岗)招聘活动165场次，成功匹配900人，有效促进群众灵活就业，为县域经济发展注入活力。</w:t>
            </w:r>
          </w:p>
          <w:p>
            <w:pPr>
              <w:pStyle w:val="null3"/>
            </w:pPr>
            <w:r>
              <w:rPr>
                <w:rFonts w:ascii="仿宋_GB2312" w:hAnsi="仿宋_GB2312" w:cs="仿宋_GB2312" w:eastAsia="仿宋_GB2312"/>
              </w:rPr>
              <w:t>五、付款方式</w:t>
            </w:r>
            <w:r>
              <w:br/>
            </w:r>
            <w:r>
              <w:rPr>
                <w:rFonts w:ascii="仿宋_GB2312" w:hAnsi="仿宋_GB2312" w:cs="仿宋_GB2312" w:eastAsia="仿宋_GB2312"/>
              </w:rPr>
              <w:t xml:space="preserve"> 合同签订生效，乙方进场开展零工市场运营服务，经甲方初步核查到位后，每季度支付8万元，合同款剩余资金在绩效评估时依据采购明细标准核算后支付。 服务期满，完成全部约定绩效指标，项目整体验收合格后10个工作日内，支付全部尾款。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柞水县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甲方组织开展资料审查结合现场核查方式进行验收，全部绩效指标达到实施方案要求即为验收合格。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第三方运营机构进场开展零工市场运营服务，经甲方初步核查到位后，每季度支付8万元，合同款剩余资金在绩效评估时依据采购明细标准核算后支付，达到付款条件起10个工作日内，支付合同总金额的48.7%</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进度款，服务期满，完成全部约定绩效指标，项目整体验收合格后，支付全部尾款，达到付款条件起10个工作日内，支付合同总金额的51.3%</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及实施方案要求配置工作人员、开展招聘服务、完成绩效目标，甲方有权视情节扣减对应服务费用；乙方严重违约，经催告后仍不能整改达标，甲方有权解除合同。因本合同产生争议，双方优先友好协商解决；协商不成，可向政府采购监管部门申请调解；调解不成，向履约地柞水县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企业划分标准：采购标的对应的中⼩企业划分标准所属⾏业为其他未列明⾏业。其他未列明⾏业的划型标准为：从业⼈员300⼈以下的为中⼩微型企业。其中，从业⼈员100⼈及以上的为中型企业；从业⼈员10⼈及以上的为⼩型企业；从业⼈员10⼈以下的为微型企业。对符合《政府采购促进中⼩企业发展管理办法》(财库〔2020〕46号)规定的⼩微企业(监狱企业视同中型、⼩型、微型企业)的报价给予10%的扣除,⽤扣除后的价格参加评审。本项⽬专⻔⾯向中⼩企业，不再进⾏价格扣减。 （⼆）成交供应商在成交结果公⽰结束后3个⼯作⽇内向代理机构提供纸质版响应⽂件，响应⽂件为正本⼀份，副本⼆份（响应⽂件内容须与电⼦交易平台上传⽂件内容保持⼀致）。纸质响应⽂件均须A4纸打印，分别各⾃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具有独⽴承担⺠事责任能⼒的法⼈、其他组织或⾃然⼈，提供合法有效的统⼀社会 信⽤代码营业执照（事业单位提供事业单位法⼈证书，⾃然⼈应提供⾝份证）；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提供法定代表⼈授权书（附法定代表⼈、被授权⼈⾝份证复印件）及被授权⼈⾝份证原件（法定代表⼈直接参加投标，须提供法定代表⼈⾝份证明及⾝份证原件）；</w:t>
            </w:r>
          </w:p>
        </w:tc>
        <w:tc>
          <w:tcPr>
            <w:tcW w:type="dxa" w:w="1661"/>
          </w:tcPr>
          <w:p>
            <w:pPr>
              <w:pStyle w:val="null3"/>
            </w:pPr>
            <w:r>
              <w:rPr>
                <w:rFonts w:ascii="仿宋_GB2312" w:hAnsi="仿宋_GB2312" w:cs="仿宋_GB2312" w:eastAsia="仿宋_GB2312"/>
              </w:rPr>
              <w:t>资格证明资料相关格式文件.docx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提供2025年度的财务审计报告（⾄少包括资产负债表和利润表，成⽴时间⾄提交磋商响应⽂件截⽌时间不⾜⼀年的可提供成⽴后任意时段的资产负债表），或开标时间前六个⽉内银⾏出具的资信证明；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提供磋商截⽌⽇前近⼀年内任意⼀个⽉的纳税证明或完税证明（任意税种），依法免税的单位应提供相关证明材料；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提供磋商截⽌⽇前近⼀年内任意⼀个⽉的社会保障资⾦缴存单据或社保机构开具的社会保险参保缴费情况证明，依法不需要缴纳社会保障资⾦的单位应提供相关证明材料；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中国”⽹站(http://www.creditchina.gov.cn)列⼊“严重失信主体名单、重⼤税收违法失信主体、政府采购严重违法失信⾏为记录名单”的供应商；不得为中国政府采购⽹(http://www.ccgp.gov.cn)“政府采购严重违法失信⾏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资格证明资料相关格式文件.docx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资格证明资料相关格式文件.docx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单位负责⼈为同⼀⼈或者存在直接控股、管理关系的不同供应商，不得参加同⼀合同项下的政府采购活动；</w:t>
            </w:r>
          </w:p>
        </w:tc>
        <w:tc>
          <w:tcPr>
            <w:tcW w:type="dxa" w:w="1661"/>
          </w:tcPr>
          <w:p>
            <w:pPr>
              <w:pStyle w:val="null3"/>
            </w:pPr>
            <w:r>
              <w:rPr>
                <w:rFonts w:ascii="仿宋_GB2312" w:hAnsi="仿宋_GB2312" w:cs="仿宋_GB2312" w:eastAsia="仿宋_GB2312"/>
              </w:rPr>
              <w:t>资格证明资料相关格式文件.docx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本项⽬专⻔⾯向中⼩企业采购，供应商应为中型、⼩型、微型企业或监狱企业或残疾⼈福利性单位，投标时提供；</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本项⽬不接受联合体磋商(提供⾮联合体承诺书）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竞争性磋商响应⽂件的完整性</w:t>
            </w:r>
          </w:p>
        </w:tc>
        <w:tc>
          <w:tcPr>
            <w:tcW w:type="dxa" w:w="3322"/>
          </w:tcPr>
          <w:p>
            <w:pPr>
              <w:pStyle w:val="null3"/>
            </w:pPr>
            <w:r>
              <w:rPr>
                <w:rFonts w:ascii="仿宋_GB2312" w:hAnsi="仿宋_GB2312" w:cs="仿宋_GB2312" w:eastAsia="仿宋_GB2312"/>
              </w:rPr>
              <w:t>竞争性磋商响应⽂件构成⽆重⼤缺项，按照竞争性磋商⽂件 要求的格式编写竞争性磋商响应⽂件；</w:t>
            </w:r>
          </w:p>
        </w:tc>
        <w:tc>
          <w:tcPr>
            <w:tcW w:type="dxa" w:w="1661"/>
          </w:tcPr>
          <w:p>
            <w:pPr>
              <w:pStyle w:val="null3"/>
            </w:pPr>
            <w:r>
              <w:rPr>
                <w:rFonts w:ascii="仿宋_GB2312" w:hAnsi="仿宋_GB2312" w:cs="仿宋_GB2312" w:eastAsia="仿宋_GB2312"/>
              </w:rPr>
              <w:t>资格证明资料相关格式文件.docx 中小企业声明函 商务应答表 供应商应提交的相关资格证明材料 服务内容及服务要求应答表 报价表 响应文件封面 磋商保证金承诺函.docx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竞争性磋商响应⽂件的有效性</w:t>
            </w:r>
          </w:p>
        </w:tc>
        <w:tc>
          <w:tcPr>
            <w:tcW w:type="dxa" w:w="3322"/>
          </w:tcPr>
          <w:p>
            <w:pPr>
              <w:pStyle w:val="null3"/>
            </w:pPr>
            <w:r>
              <w:rPr>
                <w:rFonts w:ascii="仿宋_GB2312" w:hAnsi="仿宋_GB2312" w:cs="仿宋_GB2312" w:eastAsia="仿宋_GB2312"/>
              </w:rPr>
              <w:t>竞争性磋商响应⽂件的签署、加盖印章合格、有效；提供的各种证明⽂件、数据、资料真实、有效；</w:t>
            </w:r>
          </w:p>
        </w:tc>
        <w:tc>
          <w:tcPr>
            <w:tcW w:type="dxa" w:w="1661"/>
          </w:tcPr>
          <w:p>
            <w:pPr>
              <w:pStyle w:val="null3"/>
            </w:pPr>
            <w:r>
              <w:rPr>
                <w:rFonts w:ascii="仿宋_GB2312" w:hAnsi="仿宋_GB2312" w:cs="仿宋_GB2312" w:eastAsia="仿宋_GB2312"/>
              </w:rPr>
              <w:t>资格证明资料相关格式文件.docx 中小企业声明函 商务应答表 供应商应提交的相关资格证明材料 服务内容及服务要求应答表 报价表 响应文件封面 磋商保证金承诺函.docx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竞争性磋商响应⽂件的响应性</w:t>
            </w:r>
          </w:p>
        </w:tc>
        <w:tc>
          <w:tcPr>
            <w:tcW w:type="dxa" w:w="3322"/>
          </w:tcPr>
          <w:p>
            <w:pPr>
              <w:pStyle w:val="null3"/>
            </w:pPr>
            <w:r>
              <w:rPr>
                <w:rFonts w:ascii="仿宋_GB2312" w:hAnsi="仿宋_GB2312" w:cs="仿宋_GB2312" w:eastAsia="仿宋_GB2312"/>
              </w:rPr>
              <w:t>磋商有效期符合竞争性磋商⽂件要求；满⾜本次磋商的特殊要求；磋商⽅案⽆重⼤缺漏项；磋商产品的技术规格⽆重⼤偏离；磋商商务响应条款⽆重⼤偏离；对合同中规定的双⽅的权利和义务没有做出实质性修改；</w:t>
            </w:r>
          </w:p>
        </w:tc>
        <w:tc>
          <w:tcPr>
            <w:tcW w:type="dxa" w:w="1661"/>
          </w:tcPr>
          <w:p>
            <w:pPr>
              <w:pStyle w:val="null3"/>
            </w:pPr>
            <w:r>
              <w:rPr>
                <w:rFonts w:ascii="仿宋_GB2312" w:hAnsi="仿宋_GB2312" w:cs="仿宋_GB2312" w:eastAsia="仿宋_GB2312"/>
              </w:rPr>
              <w:t>资格证明资料相关格式文件.docx 中小企业声明函 商务应答表 供应商应提交的相关资格证明材料 服务内容及服务要求应答表 报价表 响应文件封面 磋商保证金承诺函.docx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报价是否超过采购预算</w:t>
            </w:r>
          </w:p>
        </w:tc>
        <w:tc>
          <w:tcPr>
            <w:tcW w:type="dxa" w:w="3322"/>
          </w:tcPr>
          <w:p>
            <w:pPr>
              <w:pStyle w:val="null3"/>
            </w:pPr>
            <w:r>
              <w:rPr>
                <w:rFonts w:ascii="仿宋_GB2312" w:hAnsi="仿宋_GB2312" w:cs="仿宋_GB2312" w:eastAsia="仿宋_GB2312"/>
              </w:rPr>
              <w:t>未超出采购预算和最⾼限价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磋商保证⾦承诺函</w:t>
            </w:r>
          </w:p>
        </w:tc>
        <w:tc>
          <w:tcPr>
            <w:tcW w:type="dxa" w:w="3322"/>
          </w:tcPr>
          <w:p>
            <w:pPr>
              <w:pStyle w:val="null3"/>
            </w:pPr>
            <w:r>
              <w:rPr>
                <w:rFonts w:ascii="仿宋_GB2312" w:hAnsi="仿宋_GB2312" w:cs="仿宋_GB2312" w:eastAsia="仿宋_GB2312"/>
              </w:rPr>
              <w:t>供应商已按要求提交《磋商保证⾦承诺函》， 承诺内容完整有效。</w:t>
            </w:r>
          </w:p>
        </w:tc>
        <w:tc>
          <w:tcPr>
            <w:tcW w:type="dxa" w:w="1661"/>
          </w:tcPr>
          <w:p>
            <w:pPr>
              <w:pStyle w:val="null3"/>
            </w:pPr>
            <w:r>
              <w:rPr>
                <w:rFonts w:ascii="仿宋_GB2312" w:hAnsi="仿宋_GB2312" w:cs="仿宋_GB2312" w:eastAsia="仿宋_GB2312"/>
              </w:rPr>
              <w:t>磋商保证金承诺函.docx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项目需求理解与重难点分析</w:t>
            </w:r>
          </w:p>
        </w:tc>
        <w:tc>
          <w:tcPr>
            <w:tcW w:type="dxa" w:w="2492"/>
          </w:tcPr>
          <w:p>
            <w:pPr>
              <w:pStyle w:val="null3"/>
            </w:pPr>
            <w:r>
              <w:rPr>
                <w:rFonts w:ascii="仿宋_GB2312" w:hAnsi="仿宋_GB2312" w:cs="仿宋_GB2312" w:eastAsia="仿宋_GB2312"/>
              </w:rPr>
              <w:t>供应商结合项目零工市场现状、绩效指标、运营场地、服务对象，编制方案，须包含以下四项内容：①项目理解；②采购需求拆解；③项目重点识别及应对思路；④项目难点识别及应对思路。 计分规则：四项内容全部覆盖，每项分析均深度结合本项目实际情况，重点难点识别精准，应对思路具体可行、针对性强，无通用模板痕迹，得10-12分。四项内容全部覆盖，但部分内容针对性不足，存在一定通用模板痕迹；或个别项分析较浅，得6-9分。仅覆盖1-3项内容，或虽覆盖四项但均浮于表面、缺乏实质分析，大量套用通用模板，得1-5分。未提供本部分响应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整体运营服务方案</w:t>
            </w:r>
          </w:p>
        </w:tc>
        <w:tc>
          <w:tcPr>
            <w:tcW w:type="dxa" w:w="2492"/>
          </w:tcPr>
          <w:p>
            <w:pPr>
              <w:pStyle w:val="null3"/>
            </w:pPr>
            <w:r>
              <w:rPr>
                <w:rFonts w:ascii="仿宋_GB2312" w:hAnsi="仿宋_GB2312" w:cs="仿宋_GB2312" w:eastAsia="仿宋_GB2312"/>
              </w:rPr>
              <w:t>供应商针对全部服务内容编制运营方案，须包含以下五项内容：①人员配置计划（须明确不少于4名在岗工作人员）；②线上（直播带岗）、线下招聘活动实施方案；③入企探岗、送岗上门实施安排；④1年服务周期工作进度计划（须明确各阶段节点与交付成果）；⑤运营人员业务培训计划（须明确频次、内容、考核方式）。 计分规则：五项内容全部覆盖，方案完整系统，工作进度计划节点清晰、成果明确，各项内容可落地性强，深度贴合本项目绩效目标及本地实际，得16-20分。五项内容全部覆盖或仅缺一项，但部分内容通用性较强，本地化实施细节不足，或进度计划阶段性目标不够清晰，得10-15分。仅覆盖2-4项内容，或内容空泛缺乏可操作性，难以有效指导实际运营，得1-9分。未提供本部分响应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项目合理化建议</w:t>
            </w:r>
          </w:p>
        </w:tc>
        <w:tc>
          <w:tcPr>
            <w:tcW w:type="dxa" w:w="2492"/>
          </w:tcPr>
          <w:p>
            <w:pPr>
              <w:pStyle w:val="null3"/>
            </w:pPr>
            <w:r>
              <w:rPr>
                <w:rFonts w:ascii="仿宋_GB2312" w:hAnsi="仿宋_GB2312" w:cs="仿宋_GB2312" w:eastAsia="仿宋_GB2312"/>
              </w:rPr>
              <w:t>供应商针对零工市场运营、灵活就业服务、企业用工、零工求职对接等方面，提出可落地的合理化建议。有效建议认定标准：每条建议须同时包含“问题/需求描述+具体措施+预期效果”三要素，空泛套话、通用口号不计为有效建议。 计分规则：提出2条及以上有效建议，每建议均贴合本地实际、具备强实操性，且均为针对性建议，得6分。仅提出1条有效建议，得3分；提出2条但其中1条针对性一般或三要素不全，得4-5分（视完整度）。虽提出建议但均不符合有效建议认定标准，得0-2分（视内容质量）；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质量、进度、安全保障措施</w:t>
            </w:r>
          </w:p>
        </w:tc>
        <w:tc>
          <w:tcPr>
            <w:tcW w:type="dxa" w:w="2492"/>
          </w:tcPr>
          <w:p>
            <w:pPr>
              <w:pStyle w:val="null3"/>
            </w:pPr>
            <w:r>
              <w:rPr>
                <w:rFonts w:ascii="仿宋_GB2312" w:hAnsi="仿宋_GB2312" w:cs="仿宋_GB2312" w:eastAsia="仿宋_GB2312"/>
              </w:rPr>
              <w:t>供应商编制保障措施方案，须包含以下三项内容：①服务质量保证措施（须明确质量目标、检查频次、问题整改流程）；②绩效进度管控措施（须明确各绩效指标的阶段性目标及进度汇报机制）；③场所及招聘活动安全管理措施（须明确安全责任分工、隐患排查、应急响应流程）。 计分规则：三项内容全部提供且每项均包含所列必要要素，得12分；仅提供两项（且所含要素齐全），得8分；仅提供一项（且所含要素齐全），得4分；提供内容但未包含必要要素，或未提供，不得分。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服务承诺及应急处置方案</w:t>
            </w:r>
          </w:p>
        </w:tc>
        <w:tc>
          <w:tcPr>
            <w:tcW w:type="dxa" w:w="2492"/>
          </w:tcPr>
          <w:p>
            <w:pPr>
              <w:pStyle w:val="null3"/>
            </w:pPr>
            <w:r>
              <w:rPr>
                <w:rFonts w:ascii="仿宋_GB2312" w:hAnsi="仿宋_GB2312" w:cs="仿宋_GB2312" w:eastAsia="仿宋_GB2312"/>
              </w:rPr>
              <w:t>供应商编制服务承诺及应急处置方案，须包含以下三项内容：①服务承诺（须覆盖运营时间、人员在岗、零工便民服务、绩效目标承诺）；②突发事件应急预案（须覆盖招聘会突发状况、人员缺位、设备故障等场景及处置流程）；③应急保障手段（须明确物资储备、替代方案、协调机制等）。 计分规则：三项内容全部提供且每项均包含所列必要要素，得10分；仅提供两项（且所含要素齐全），得6分；仅提供一项（且所含要素齐全），得3分；提供内容但未包含必要要素，或未提供，不得分。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项目内部管理制度</w:t>
            </w:r>
          </w:p>
        </w:tc>
        <w:tc>
          <w:tcPr>
            <w:tcW w:type="dxa" w:w="2492"/>
          </w:tcPr>
          <w:p>
            <w:pPr>
              <w:pStyle w:val="null3"/>
            </w:pPr>
            <w:r>
              <w:rPr>
                <w:rFonts w:ascii="仿宋_GB2312" w:hAnsi="仿宋_GB2312" w:cs="仿宋_GB2312" w:eastAsia="仿宋_GB2312"/>
              </w:rPr>
              <w:t>供应商编制内部管理制度方案，须包含以下两项内容：①岗位分工与岗位职责（须覆盖全部岗位、明确职责边界）；②考勤及内部考核管理制度（须明确考勤方式、考核周期、考核指标、结果应用）。仅评审制度方案，不设置人员证书、资历加分。 计分规则：两项内容全部提供且每项均包含所列必要要素，得10分；仅提供一项（且所含要素齐全），得5分；提供内容但未包含必要要素，或未提供，不得分。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近三年（2023年1月1日至今）具有类似项目业绩，每提供一份计2分，满分10分。评审依据：提供供应商加盖公章的合同协议书复印件或中标/成交通知书，以合同签订时间为准。无有效业绩（材料不全、不属于同类项目、超出时间范围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1.经初审合格的磋商文件，其磋商报价为有效磋商价。本项目专门面向中小企业采购，不再进行价格扣除评审。 2.有效最低报价为基准价得20分。 3.按（有效最低报价/有效磋商报价）×20的公式计算其得分。 4.经评委一致认定，报价高于采购预算或评委认定低于合理市场成本，作无效磋商处理。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详见附件：磋商保证金承诺函.docx</w:t>
      </w:r>
    </w:p>
    <w:p>
      <w:pPr>
        <w:pStyle w:val="null3"/>
        <w:ind w:firstLine="960"/>
      </w:pPr>
      <w:r>
        <w:rPr>
          <w:rFonts w:ascii="仿宋_GB2312" w:hAnsi="仿宋_GB2312" w:cs="仿宋_GB2312" w:eastAsia="仿宋_GB2312"/>
        </w:rPr>
        <w:t>详见附件：资格证明资料相关格式文件.docx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详见附件：拟签订合同-柞水县零工市场运营服务项目.docx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