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1879E6">
      <w:pPr>
        <w:outlineLvl w:val="1"/>
        <w:rPr>
          <w:rFonts w:hint="eastAsia" w:ascii="宋体" w:hAnsi="宋体" w:eastAsia="宋体" w:cs="宋体"/>
          <w:b/>
          <w:sz w:val="32"/>
          <w:szCs w:val="32"/>
          <w:highlight w:val="none"/>
        </w:rPr>
      </w:pPr>
      <w:bookmarkStart w:id="0" w:name="_Toc5216"/>
      <w:bookmarkStart w:id="1" w:name="_Toc1362"/>
      <w:bookmarkStart w:id="2" w:name="_Toc7874"/>
      <w:bookmarkStart w:id="3" w:name="_Toc18120"/>
      <w:r>
        <w:rPr>
          <w:rFonts w:hint="eastAsia" w:ascii="宋体" w:hAnsi="宋体" w:eastAsia="宋体" w:cs="宋体"/>
          <w:b/>
          <w:sz w:val="32"/>
          <w:szCs w:val="32"/>
          <w:highlight w:val="none"/>
        </w:rPr>
        <w:t>政府采购项目</w:t>
      </w:r>
      <w:r>
        <w:rPr>
          <w:rFonts w:hint="eastAsia" w:ascii="宋体" w:hAnsi="宋体" w:eastAsia="宋体" w:cs="宋体"/>
          <w:b/>
          <w:bCs/>
          <w:sz w:val="28"/>
          <w:szCs w:val="28"/>
          <w:highlight w:val="none"/>
        </w:rPr>
        <w:t>（</w:t>
      </w:r>
      <w:r>
        <w:rPr>
          <w:rFonts w:hint="eastAsia" w:ascii="宋体" w:hAnsi="宋体" w:eastAsia="宋体" w:cs="宋体"/>
          <w:b/>
          <w:sz w:val="32"/>
          <w:szCs w:val="32"/>
          <w:highlight w:val="none"/>
        </w:rPr>
        <w:t>仅供参考）</w:t>
      </w:r>
      <w:bookmarkEnd w:id="0"/>
      <w:bookmarkEnd w:id="1"/>
      <w:bookmarkEnd w:id="2"/>
      <w:bookmarkEnd w:id="3"/>
      <w:r>
        <w:rPr>
          <w:rFonts w:hint="eastAsia" w:ascii="宋体" w:hAnsi="宋体" w:eastAsia="宋体" w:cs="宋体"/>
          <w:b/>
          <w:sz w:val="32"/>
          <w:szCs w:val="32"/>
          <w:highlight w:val="none"/>
        </w:rPr>
        <w:t xml:space="preserve">                  </w:t>
      </w:r>
    </w:p>
    <w:p w14:paraId="330816DD">
      <w:pPr>
        <w:rPr>
          <w:rFonts w:hint="eastAsia" w:ascii="宋体" w:hAnsi="宋体" w:eastAsia="宋体" w:cs="宋体"/>
          <w:b/>
          <w:sz w:val="32"/>
          <w:szCs w:val="32"/>
          <w:highlight w:val="none"/>
        </w:rPr>
      </w:pPr>
      <w:r>
        <w:rPr>
          <w:rFonts w:hint="eastAsia" w:ascii="宋体" w:hAnsi="宋体" w:eastAsia="宋体" w:cs="宋体"/>
          <w:b/>
          <w:sz w:val="32"/>
          <w:szCs w:val="32"/>
          <w:highlight w:val="none"/>
        </w:rPr>
        <w:t xml:space="preserve">          </w:t>
      </w:r>
    </w:p>
    <w:p w14:paraId="34DA13BE">
      <w:pPr>
        <w:jc w:val="center"/>
        <w:rPr>
          <w:rFonts w:hint="eastAsia" w:ascii="宋体" w:hAnsi="宋体" w:eastAsia="宋体" w:cs="宋体"/>
          <w:sz w:val="52"/>
          <w:szCs w:val="52"/>
          <w:highlight w:val="none"/>
        </w:rPr>
      </w:pPr>
    </w:p>
    <w:p w14:paraId="23757E9B">
      <w:pPr>
        <w:jc w:val="center"/>
        <w:rPr>
          <w:rFonts w:hint="eastAsia" w:ascii="宋体" w:hAnsi="宋体" w:eastAsia="宋体" w:cs="宋体"/>
          <w:sz w:val="52"/>
          <w:szCs w:val="52"/>
          <w:highlight w:val="none"/>
        </w:rPr>
      </w:pPr>
      <w:bookmarkStart w:id="6" w:name="_GoBack"/>
      <w:bookmarkEnd w:id="6"/>
    </w:p>
    <w:p w14:paraId="119A5386">
      <w:pPr>
        <w:jc w:val="center"/>
        <w:rPr>
          <w:rFonts w:hint="eastAsia" w:ascii="宋体" w:hAnsi="宋体" w:eastAsia="宋体" w:cs="宋体"/>
          <w:b/>
          <w:snapToGrid w:val="0"/>
          <w:sz w:val="48"/>
          <w:szCs w:val="48"/>
          <w:highlight w:val="none"/>
          <w:u w:val="single"/>
        </w:rPr>
      </w:pPr>
      <w:r>
        <w:rPr>
          <w:rFonts w:hint="eastAsia" w:ascii="宋体" w:hAnsi="宋体" w:eastAsia="宋体" w:cs="宋体"/>
          <w:b/>
          <w:snapToGrid w:val="0"/>
          <w:sz w:val="48"/>
          <w:szCs w:val="48"/>
          <w:highlight w:val="none"/>
          <w:u w:val="single"/>
        </w:rPr>
        <w:t>(项目名称)</w:t>
      </w:r>
    </w:p>
    <w:p w14:paraId="503BF4C0">
      <w:pPr>
        <w:jc w:val="center"/>
        <w:rPr>
          <w:rFonts w:hint="eastAsia" w:ascii="宋体" w:hAnsi="宋体" w:eastAsia="宋体" w:cs="宋体"/>
          <w:b/>
          <w:sz w:val="72"/>
          <w:szCs w:val="72"/>
          <w:highlight w:val="none"/>
        </w:rPr>
      </w:pPr>
      <w:r>
        <w:rPr>
          <w:rFonts w:hint="eastAsia" w:ascii="宋体" w:hAnsi="宋体" w:eastAsia="宋体" w:cs="宋体"/>
          <w:b/>
          <w:sz w:val="72"/>
          <w:szCs w:val="72"/>
          <w:highlight w:val="none"/>
        </w:rPr>
        <w:t>服 务 合 同</w:t>
      </w:r>
    </w:p>
    <w:p w14:paraId="3D1A5DBF">
      <w:pPr>
        <w:jc w:val="center"/>
        <w:rPr>
          <w:rFonts w:hint="eastAsia" w:ascii="宋体" w:hAnsi="宋体" w:eastAsia="宋体" w:cs="宋体"/>
          <w:sz w:val="30"/>
          <w:szCs w:val="30"/>
          <w:highlight w:val="none"/>
        </w:rPr>
      </w:pPr>
      <w:r>
        <w:rPr>
          <w:rFonts w:hint="eastAsia" w:ascii="宋体" w:hAnsi="宋体" w:eastAsia="宋体" w:cs="宋体"/>
          <w:sz w:val="30"/>
          <w:szCs w:val="30"/>
          <w:highlight w:val="none"/>
        </w:rPr>
        <w:t xml:space="preserve">（项目编号：      </w:t>
      </w:r>
      <w:r>
        <w:rPr>
          <w:rFonts w:hint="eastAsia" w:ascii="宋体" w:hAnsi="宋体" w:eastAsia="宋体" w:cs="宋体"/>
          <w:sz w:val="28"/>
          <w:szCs w:val="28"/>
          <w:highlight w:val="none"/>
        </w:rPr>
        <w:t>）</w:t>
      </w:r>
    </w:p>
    <w:p w14:paraId="611C37D6">
      <w:pPr>
        <w:jc w:val="center"/>
        <w:rPr>
          <w:rFonts w:hint="eastAsia" w:ascii="宋体" w:hAnsi="宋体" w:eastAsia="宋体" w:cs="宋体"/>
          <w:sz w:val="30"/>
          <w:szCs w:val="30"/>
          <w:highlight w:val="none"/>
        </w:rPr>
      </w:pPr>
    </w:p>
    <w:p w14:paraId="16904160">
      <w:pPr>
        <w:jc w:val="center"/>
        <w:rPr>
          <w:rFonts w:hint="eastAsia" w:ascii="宋体" w:hAnsi="宋体" w:eastAsia="宋体" w:cs="宋体"/>
          <w:sz w:val="30"/>
          <w:szCs w:val="30"/>
          <w:highlight w:val="none"/>
        </w:rPr>
      </w:pPr>
    </w:p>
    <w:p w14:paraId="293D7887">
      <w:pPr>
        <w:jc w:val="center"/>
        <w:rPr>
          <w:rFonts w:hint="eastAsia" w:ascii="宋体" w:hAnsi="宋体" w:eastAsia="宋体" w:cs="宋体"/>
          <w:sz w:val="30"/>
          <w:szCs w:val="30"/>
          <w:highlight w:val="none"/>
        </w:rPr>
      </w:pPr>
    </w:p>
    <w:p w14:paraId="20831122">
      <w:pPr>
        <w:jc w:val="center"/>
        <w:rPr>
          <w:rFonts w:hint="eastAsia" w:ascii="宋体" w:hAnsi="宋体" w:eastAsia="宋体" w:cs="宋体"/>
          <w:sz w:val="30"/>
          <w:szCs w:val="30"/>
          <w:highlight w:val="none"/>
        </w:rPr>
      </w:pPr>
    </w:p>
    <w:p w14:paraId="1888E662">
      <w:pPr>
        <w:jc w:val="center"/>
        <w:rPr>
          <w:rFonts w:hint="eastAsia" w:ascii="宋体" w:hAnsi="宋体" w:eastAsia="宋体" w:cs="宋体"/>
          <w:sz w:val="30"/>
          <w:szCs w:val="30"/>
          <w:highlight w:val="none"/>
        </w:rPr>
      </w:pPr>
    </w:p>
    <w:p w14:paraId="386EC69F">
      <w:pPr>
        <w:ind w:firstLine="2080" w:firstLineChars="650"/>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甲  方： </w:t>
      </w:r>
    </w:p>
    <w:p w14:paraId="7CA7E18A">
      <w:pPr>
        <w:tabs>
          <w:tab w:val="left" w:pos="480"/>
        </w:tabs>
        <w:ind w:firstLine="640" w:firstLineChars="200"/>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乙  方：</w:t>
      </w:r>
    </w:p>
    <w:p w14:paraId="5ED76183">
      <w:pPr>
        <w:jc w:val="center"/>
        <w:rPr>
          <w:rFonts w:hint="eastAsia" w:ascii="宋体" w:hAnsi="宋体" w:eastAsia="宋体" w:cs="宋体"/>
          <w:sz w:val="30"/>
          <w:szCs w:val="30"/>
          <w:highlight w:val="none"/>
        </w:rPr>
      </w:pPr>
    </w:p>
    <w:p w14:paraId="05B14FF7">
      <w:pPr>
        <w:jc w:val="cente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rPr>
        <w:t xml:space="preserve">  年  月</w:t>
      </w:r>
      <w:r>
        <w:rPr>
          <w:rFonts w:hint="eastAsia" w:ascii="宋体" w:hAnsi="宋体" w:eastAsia="宋体" w:cs="宋体"/>
          <w:sz w:val="32"/>
          <w:szCs w:val="32"/>
          <w:highlight w:val="none"/>
          <w:lang w:val="en-US" w:eastAsia="zh-CN"/>
        </w:rPr>
        <w:t xml:space="preserve">  日</w:t>
      </w:r>
    </w:p>
    <w:p w14:paraId="1B361674">
      <w:pPr>
        <w:spacing w:line="360" w:lineRule="auto"/>
        <w:jc w:val="center"/>
        <w:outlineLvl w:val="2"/>
        <w:rPr>
          <w:rFonts w:hint="eastAsia" w:ascii="宋体" w:hAnsi="宋体" w:eastAsia="宋体" w:cs="宋体"/>
          <w:b/>
          <w:sz w:val="44"/>
          <w:szCs w:val="44"/>
          <w:highlight w:val="none"/>
        </w:rPr>
        <w:sectPr>
          <w:pgSz w:w="11906" w:h="16838"/>
          <w:pgMar w:top="1440" w:right="1417" w:bottom="1440" w:left="1417" w:header="851" w:footer="992" w:gutter="0"/>
          <w:pgNumType w:fmt="decimal"/>
          <w:cols w:space="425" w:num="1"/>
          <w:docGrid w:type="lines" w:linePitch="312" w:charSpace="0"/>
        </w:sectPr>
      </w:pPr>
      <w:bookmarkStart w:id="4" w:name="_Toc7965"/>
      <w:bookmarkStart w:id="5" w:name="_Toc28398"/>
    </w:p>
    <w:p w14:paraId="4F457989">
      <w:pPr>
        <w:spacing w:line="360" w:lineRule="auto"/>
        <w:jc w:val="center"/>
        <w:outlineLvl w:val="2"/>
        <w:rPr>
          <w:rFonts w:hint="eastAsia" w:ascii="宋体" w:hAnsi="宋体" w:eastAsia="宋体" w:cs="宋体"/>
          <w:b/>
          <w:sz w:val="44"/>
          <w:szCs w:val="44"/>
          <w:highlight w:val="none"/>
        </w:rPr>
      </w:pPr>
      <w:r>
        <w:rPr>
          <w:rFonts w:hint="eastAsia" w:ascii="宋体" w:hAnsi="宋体" w:eastAsia="宋体" w:cs="宋体"/>
          <w:b/>
          <w:sz w:val="44"/>
          <w:szCs w:val="44"/>
          <w:highlight w:val="none"/>
        </w:rPr>
        <w:t>协 议 书</w:t>
      </w:r>
      <w:bookmarkEnd w:id="4"/>
      <w:bookmarkEnd w:id="5"/>
    </w:p>
    <w:p w14:paraId="00BFB17E">
      <w:pPr>
        <w:spacing w:line="360" w:lineRule="auto"/>
        <w:ind w:firstLine="480" w:firstLineChars="200"/>
        <w:rPr>
          <w:rFonts w:hint="eastAsia" w:ascii="宋体" w:hAnsi="宋体" w:eastAsia="宋体" w:cs="宋体"/>
          <w:sz w:val="24"/>
          <w:szCs w:val="24"/>
          <w:highlight w:val="none"/>
        </w:rPr>
      </w:pPr>
    </w:p>
    <w:p w14:paraId="7EFE1ABC">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甲方：</w:t>
      </w:r>
      <w:r>
        <w:rPr>
          <w:rFonts w:hint="eastAsia" w:ascii="宋体" w:hAnsi="宋体" w:eastAsia="宋体" w:cs="宋体"/>
          <w:sz w:val="24"/>
          <w:szCs w:val="24"/>
          <w:highlight w:val="none"/>
          <w:u w:val="single"/>
        </w:rPr>
        <w:t xml:space="preserve">             </w:t>
      </w:r>
    </w:p>
    <w:p w14:paraId="114050B6">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乙方：</w:t>
      </w:r>
      <w:r>
        <w:rPr>
          <w:rFonts w:hint="eastAsia" w:ascii="宋体" w:hAnsi="宋体" w:eastAsia="宋体" w:cs="宋体"/>
          <w:sz w:val="24"/>
          <w:szCs w:val="24"/>
          <w:highlight w:val="none"/>
          <w:u w:val="single"/>
        </w:rPr>
        <w:t xml:space="preserve">             </w:t>
      </w:r>
    </w:p>
    <w:p w14:paraId="0CF2730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根据《中华人民共和国民法典》《中华人民共和国政府采购法》及其实施条例、《人力资源市场暂行条例》等法律法规的规定，按照</w:t>
      </w:r>
      <w:r>
        <w:rPr>
          <w:rFonts w:hint="eastAsia" w:ascii="宋体" w:hAnsi="宋体" w:eastAsia="宋体" w:cs="宋体"/>
          <w:sz w:val="24"/>
          <w:szCs w:val="24"/>
          <w:highlight w:val="none"/>
          <w:u w:val="single"/>
        </w:rPr>
        <w:t>2026年柞水县零工市场运营服务项目</w:t>
      </w:r>
      <w:r>
        <w:rPr>
          <w:rFonts w:hint="eastAsia" w:ascii="宋体" w:hAnsi="宋体" w:eastAsia="宋体" w:cs="宋体"/>
          <w:sz w:val="24"/>
          <w:szCs w:val="24"/>
          <w:highlight w:val="none"/>
        </w:rPr>
        <w:t>（以下简称“本项目”）的采购文件、成交供应商的响应文件及成交通知书等有关规定，经甲乙双方协商，本着平等互利和诚实信用的原则，双方一致同意签订本合同。</w:t>
      </w:r>
    </w:p>
    <w:p w14:paraId="6A4CFC9F">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第一条 合同标的</w:t>
      </w:r>
    </w:p>
    <w:p w14:paraId="74E58631">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一、项目概况</w:t>
      </w:r>
    </w:p>
    <w:p w14:paraId="1F2BF9FE">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u w:val="single"/>
        </w:rPr>
        <w:t>2026年柞水县零工市场运营服务项目</w:t>
      </w:r>
    </w:p>
    <w:p w14:paraId="1EDB69C5">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项目地点：</w:t>
      </w:r>
      <w:r>
        <w:rPr>
          <w:rFonts w:hint="eastAsia" w:ascii="宋体" w:hAnsi="宋体" w:eastAsia="宋体" w:cs="宋体"/>
          <w:sz w:val="24"/>
          <w:szCs w:val="24"/>
          <w:highlight w:val="none"/>
          <w:u w:val="single"/>
        </w:rPr>
        <w:t>柞水县乾佑街道石镇社区高速路口</w:t>
      </w:r>
    </w:p>
    <w:p w14:paraId="7F81F01D">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资金来源：</w:t>
      </w:r>
      <w:r>
        <w:rPr>
          <w:rFonts w:hint="eastAsia" w:ascii="宋体" w:hAnsi="宋体" w:eastAsia="宋体" w:cs="宋体"/>
          <w:sz w:val="24"/>
          <w:szCs w:val="24"/>
          <w:highlight w:val="none"/>
          <w:u w:val="single"/>
        </w:rPr>
        <w:t>就业补助专项资金</w:t>
      </w:r>
    </w:p>
    <w:p w14:paraId="62147DFE">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二、服务对象</w:t>
      </w:r>
    </w:p>
    <w:p w14:paraId="760A69A8">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县内企业（包括重点企业）、个体户（雇主）、重点就业群体及零工（灵活就业人员）。</w:t>
      </w:r>
    </w:p>
    <w:p w14:paraId="4173E182">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三、服务内容</w:t>
      </w:r>
    </w:p>
    <w:p w14:paraId="55B93BD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乙方向甲方提供以下服务：</w:t>
      </w:r>
    </w:p>
    <w:p w14:paraId="3E4B885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向用人单位宣传就业政策、发布用工信息，保障县内企业（雇主）用工需求。</w:t>
      </w:r>
    </w:p>
    <w:p w14:paraId="68DB309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向重点就业群体及零工提供政策咨询、求职登记、岗位推荐、就业指导及跟踪服务等专业化服务。</w:t>
      </w:r>
    </w:p>
    <w:p w14:paraId="1936202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日常接待工作，免费为零工人员提供饮水、简餐、手机充电、阅读、休闲等便民服务；接待各级各界莅临零工市场检查交流活动。</w:t>
      </w:r>
    </w:p>
    <w:p w14:paraId="1A00475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通过零工市场现场招聘会、网络（直播带岗）招聘活动、入企探岗、送岗上门等方式，搭建用人单位和求职者双向选择平台，拓宽就业渠道，保障企业用工，促进群众就业。</w:t>
      </w:r>
    </w:p>
    <w:p w14:paraId="619A3785">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四、绩效指标</w:t>
      </w:r>
    </w:p>
    <w:p w14:paraId="3976ACD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乙方在服务期内须完成以下绩效指标：</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097"/>
        <w:gridCol w:w="5112"/>
        <w:gridCol w:w="3104"/>
      </w:tblGrid>
      <w:tr w14:paraId="465A6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54" w:hRule="atLeast"/>
          <w:tblHeader/>
        </w:trPr>
        <w:tc>
          <w:tcPr>
            <w:tcW w:w="589" w:type="pct"/>
            <w:shd w:val="clear" w:color="auto" w:fill="auto"/>
            <w:tcMar>
              <w:top w:w="150" w:type="dxa"/>
              <w:left w:w="0" w:type="dxa"/>
              <w:bottom w:w="150" w:type="dxa"/>
              <w:right w:w="240" w:type="dxa"/>
            </w:tcMar>
            <w:vAlign w:val="center"/>
          </w:tcPr>
          <w:p w14:paraId="48DC65BA">
            <w:pPr>
              <w:keepNext w:val="0"/>
              <w:keepLines w:val="0"/>
              <w:widowControl/>
              <w:suppressLineNumbers w:val="0"/>
              <w:spacing w:line="360" w:lineRule="auto"/>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序号</w:t>
            </w:r>
          </w:p>
        </w:tc>
        <w:tc>
          <w:tcPr>
            <w:tcW w:w="2744" w:type="pct"/>
            <w:shd w:val="clear" w:color="auto" w:fill="auto"/>
            <w:tcMar>
              <w:top w:w="150" w:type="dxa"/>
              <w:left w:w="240" w:type="dxa"/>
              <w:bottom w:w="150" w:type="dxa"/>
              <w:right w:w="240" w:type="dxa"/>
            </w:tcMar>
            <w:vAlign w:val="center"/>
          </w:tcPr>
          <w:p w14:paraId="3FFDA964">
            <w:pPr>
              <w:keepNext w:val="0"/>
              <w:keepLines w:val="0"/>
              <w:widowControl/>
              <w:suppressLineNumbers w:val="0"/>
              <w:spacing w:line="360" w:lineRule="auto"/>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绩效指标</w:t>
            </w:r>
          </w:p>
        </w:tc>
        <w:tc>
          <w:tcPr>
            <w:tcW w:w="1666" w:type="pct"/>
            <w:shd w:val="clear" w:color="auto" w:fill="auto"/>
            <w:tcMar>
              <w:top w:w="150" w:type="dxa"/>
              <w:left w:w="240" w:type="dxa"/>
              <w:bottom w:w="150" w:type="dxa"/>
              <w:right w:w="240" w:type="dxa"/>
            </w:tcMar>
            <w:vAlign w:val="center"/>
          </w:tcPr>
          <w:p w14:paraId="6A397F53">
            <w:pPr>
              <w:keepNext w:val="0"/>
              <w:keepLines w:val="0"/>
              <w:widowControl/>
              <w:suppressLineNumbers w:val="0"/>
              <w:spacing w:line="360" w:lineRule="auto"/>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目标值</w:t>
            </w:r>
          </w:p>
        </w:tc>
      </w:tr>
      <w:tr w14:paraId="3B7EE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54" w:hRule="atLeast"/>
        </w:trPr>
        <w:tc>
          <w:tcPr>
            <w:tcW w:w="589" w:type="pct"/>
            <w:shd w:val="clear" w:color="auto" w:fill="auto"/>
            <w:tcMar>
              <w:top w:w="150" w:type="dxa"/>
              <w:left w:w="0" w:type="dxa"/>
              <w:bottom w:w="150" w:type="dxa"/>
              <w:right w:w="240" w:type="dxa"/>
            </w:tcMar>
            <w:vAlign w:val="center"/>
          </w:tcPr>
          <w:p w14:paraId="06BCC157">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1</w:t>
            </w:r>
          </w:p>
        </w:tc>
        <w:tc>
          <w:tcPr>
            <w:tcW w:w="2744" w:type="pct"/>
            <w:shd w:val="clear" w:color="auto" w:fill="auto"/>
            <w:tcMar>
              <w:top w:w="150" w:type="dxa"/>
              <w:left w:w="240" w:type="dxa"/>
              <w:bottom w:w="150" w:type="dxa"/>
              <w:right w:w="240" w:type="dxa"/>
            </w:tcMar>
            <w:vAlign w:val="center"/>
          </w:tcPr>
          <w:p w14:paraId="40186CAA">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零工登记注册</w:t>
            </w:r>
          </w:p>
        </w:tc>
        <w:tc>
          <w:tcPr>
            <w:tcW w:w="1666" w:type="pct"/>
            <w:shd w:val="clear" w:color="auto" w:fill="auto"/>
            <w:tcMar>
              <w:top w:w="150" w:type="dxa"/>
              <w:left w:w="240" w:type="dxa"/>
              <w:bottom w:w="150" w:type="dxa"/>
              <w:right w:w="0" w:type="dxa"/>
            </w:tcMar>
            <w:vAlign w:val="center"/>
          </w:tcPr>
          <w:p w14:paraId="6686A765">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不少于6000人</w:t>
            </w:r>
          </w:p>
        </w:tc>
      </w:tr>
      <w:tr w14:paraId="04CA4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54" w:hRule="atLeast"/>
        </w:trPr>
        <w:tc>
          <w:tcPr>
            <w:tcW w:w="589" w:type="pct"/>
            <w:shd w:val="clear" w:color="auto" w:fill="auto"/>
            <w:tcMar>
              <w:top w:w="150" w:type="dxa"/>
              <w:left w:w="0" w:type="dxa"/>
              <w:bottom w:w="150" w:type="dxa"/>
              <w:right w:w="240" w:type="dxa"/>
            </w:tcMar>
            <w:vAlign w:val="center"/>
          </w:tcPr>
          <w:p w14:paraId="34EDE004">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w:t>
            </w:r>
          </w:p>
        </w:tc>
        <w:tc>
          <w:tcPr>
            <w:tcW w:w="2744" w:type="pct"/>
            <w:shd w:val="clear" w:color="auto" w:fill="auto"/>
            <w:tcMar>
              <w:top w:w="150" w:type="dxa"/>
              <w:left w:w="240" w:type="dxa"/>
              <w:bottom w:w="150" w:type="dxa"/>
              <w:right w:w="240" w:type="dxa"/>
            </w:tcMar>
            <w:vAlign w:val="center"/>
          </w:tcPr>
          <w:p w14:paraId="13B8DEA3">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发布用工岗位</w:t>
            </w:r>
          </w:p>
        </w:tc>
        <w:tc>
          <w:tcPr>
            <w:tcW w:w="1666" w:type="pct"/>
            <w:shd w:val="clear" w:color="auto" w:fill="auto"/>
            <w:tcMar>
              <w:top w:w="150" w:type="dxa"/>
              <w:left w:w="240" w:type="dxa"/>
              <w:bottom w:w="150" w:type="dxa"/>
              <w:right w:w="0" w:type="dxa"/>
            </w:tcMar>
            <w:vAlign w:val="center"/>
          </w:tcPr>
          <w:p w14:paraId="698B9829">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不少于5000个</w:t>
            </w:r>
          </w:p>
        </w:tc>
      </w:tr>
      <w:tr w14:paraId="519D3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54" w:hRule="atLeast"/>
        </w:trPr>
        <w:tc>
          <w:tcPr>
            <w:tcW w:w="589" w:type="pct"/>
            <w:shd w:val="clear" w:color="auto" w:fill="auto"/>
            <w:tcMar>
              <w:top w:w="150" w:type="dxa"/>
              <w:left w:w="0" w:type="dxa"/>
              <w:bottom w:w="150" w:type="dxa"/>
              <w:right w:w="240" w:type="dxa"/>
            </w:tcMar>
            <w:vAlign w:val="center"/>
          </w:tcPr>
          <w:p w14:paraId="44155049">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w:t>
            </w:r>
          </w:p>
        </w:tc>
        <w:tc>
          <w:tcPr>
            <w:tcW w:w="2744" w:type="pct"/>
            <w:shd w:val="clear" w:color="auto" w:fill="auto"/>
            <w:tcMar>
              <w:top w:w="150" w:type="dxa"/>
              <w:left w:w="240" w:type="dxa"/>
              <w:bottom w:w="150" w:type="dxa"/>
              <w:right w:w="240" w:type="dxa"/>
            </w:tcMar>
            <w:vAlign w:val="center"/>
          </w:tcPr>
          <w:p w14:paraId="2B0945D0">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线下招聘会</w:t>
            </w:r>
          </w:p>
        </w:tc>
        <w:tc>
          <w:tcPr>
            <w:tcW w:w="1666" w:type="pct"/>
            <w:shd w:val="clear" w:color="auto" w:fill="auto"/>
            <w:tcMar>
              <w:top w:w="150" w:type="dxa"/>
              <w:left w:w="240" w:type="dxa"/>
              <w:bottom w:w="150" w:type="dxa"/>
              <w:right w:w="0" w:type="dxa"/>
            </w:tcMar>
            <w:vAlign w:val="center"/>
          </w:tcPr>
          <w:p w14:paraId="0C147430">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不少于20场次</w:t>
            </w:r>
          </w:p>
        </w:tc>
      </w:tr>
      <w:tr w14:paraId="5D8F3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54" w:hRule="atLeast"/>
        </w:trPr>
        <w:tc>
          <w:tcPr>
            <w:tcW w:w="589" w:type="pct"/>
            <w:shd w:val="clear" w:color="auto" w:fill="auto"/>
            <w:tcMar>
              <w:top w:w="150" w:type="dxa"/>
              <w:left w:w="0" w:type="dxa"/>
              <w:bottom w:w="150" w:type="dxa"/>
              <w:right w:w="240" w:type="dxa"/>
            </w:tcMar>
            <w:vAlign w:val="center"/>
          </w:tcPr>
          <w:p w14:paraId="58FC2D2B">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4</w:t>
            </w:r>
          </w:p>
        </w:tc>
        <w:tc>
          <w:tcPr>
            <w:tcW w:w="2744" w:type="pct"/>
            <w:shd w:val="clear" w:color="auto" w:fill="auto"/>
            <w:tcMar>
              <w:top w:w="150" w:type="dxa"/>
              <w:left w:w="240" w:type="dxa"/>
              <w:bottom w:w="150" w:type="dxa"/>
              <w:right w:w="240" w:type="dxa"/>
            </w:tcMar>
            <w:vAlign w:val="center"/>
          </w:tcPr>
          <w:p w14:paraId="43EA20CB">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线上（直播带岗）招聘活动</w:t>
            </w:r>
          </w:p>
        </w:tc>
        <w:tc>
          <w:tcPr>
            <w:tcW w:w="1666" w:type="pct"/>
            <w:shd w:val="clear" w:color="auto" w:fill="auto"/>
            <w:tcMar>
              <w:top w:w="150" w:type="dxa"/>
              <w:left w:w="240" w:type="dxa"/>
              <w:bottom w:w="150" w:type="dxa"/>
              <w:right w:w="0" w:type="dxa"/>
            </w:tcMar>
            <w:vAlign w:val="center"/>
          </w:tcPr>
          <w:p w14:paraId="4E6F6EDC">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不少于165场次</w:t>
            </w:r>
          </w:p>
        </w:tc>
      </w:tr>
      <w:tr w14:paraId="05ADD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54" w:hRule="atLeast"/>
        </w:trPr>
        <w:tc>
          <w:tcPr>
            <w:tcW w:w="589" w:type="pct"/>
            <w:shd w:val="clear" w:color="auto" w:fill="auto"/>
            <w:tcMar>
              <w:top w:w="150" w:type="dxa"/>
              <w:left w:w="0" w:type="dxa"/>
              <w:bottom w:w="150" w:type="dxa"/>
              <w:right w:w="240" w:type="dxa"/>
            </w:tcMar>
            <w:vAlign w:val="center"/>
          </w:tcPr>
          <w:p w14:paraId="7DCC5EED">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5</w:t>
            </w:r>
          </w:p>
        </w:tc>
        <w:tc>
          <w:tcPr>
            <w:tcW w:w="2744" w:type="pct"/>
            <w:shd w:val="clear" w:color="auto" w:fill="auto"/>
            <w:tcMar>
              <w:top w:w="150" w:type="dxa"/>
              <w:left w:w="240" w:type="dxa"/>
              <w:bottom w:w="150" w:type="dxa"/>
              <w:right w:w="240" w:type="dxa"/>
            </w:tcMar>
            <w:vAlign w:val="center"/>
          </w:tcPr>
          <w:p w14:paraId="0C473F08">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成功匹配</w:t>
            </w:r>
          </w:p>
        </w:tc>
        <w:tc>
          <w:tcPr>
            <w:tcW w:w="1666" w:type="pct"/>
            <w:shd w:val="clear" w:color="auto" w:fill="auto"/>
            <w:tcMar>
              <w:top w:w="150" w:type="dxa"/>
              <w:left w:w="240" w:type="dxa"/>
              <w:bottom w:w="150" w:type="dxa"/>
              <w:right w:w="0" w:type="dxa"/>
            </w:tcMar>
            <w:vAlign w:val="center"/>
          </w:tcPr>
          <w:p w14:paraId="436CA436">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不少于900人</w:t>
            </w:r>
          </w:p>
        </w:tc>
      </w:tr>
      <w:tr w14:paraId="7F19E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54" w:hRule="atLeast"/>
        </w:trPr>
        <w:tc>
          <w:tcPr>
            <w:tcW w:w="589" w:type="pct"/>
            <w:shd w:val="clear" w:color="auto" w:fill="auto"/>
            <w:tcMar>
              <w:top w:w="150" w:type="dxa"/>
              <w:left w:w="0" w:type="dxa"/>
              <w:bottom w:w="150" w:type="dxa"/>
              <w:right w:w="240" w:type="dxa"/>
            </w:tcMar>
            <w:vAlign w:val="center"/>
          </w:tcPr>
          <w:p w14:paraId="2EEA9FE6">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6</w:t>
            </w:r>
          </w:p>
        </w:tc>
        <w:tc>
          <w:tcPr>
            <w:tcW w:w="2744" w:type="pct"/>
            <w:shd w:val="clear" w:color="auto" w:fill="auto"/>
            <w:tcMar>
              <w:top w:w="150" w:type="dxa"/>
              <w:left w:w="240" w:type="dxa"/>
              <w:bottom w:w="150" w:type="dxa"/>
              <w:right w:w="240" w:type="dxa"/>
            </w:tcMar>
            <w:vAlign w:val="center"/>
          </w:tcPr>
          <w:p w14:paraId="287131B7">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服务群众</w:t>
            </w:r>
          </w:p>
        </w:tc>
        <w:tc>
          <w:tcPr>
            <w:tcW w:w="1666" w:type="pct"/>
            <w:shd w:val="clear" w:color="auto" w:fill="auto"/>
            <w:tcMar>
              <w:top w:w="150" w:type="dxa"/>
              <w:left w:w="240" w:type="dxa"/>
              <w:bottom w:w="150" w:type="dxa"/>
              <w:right w:w="0" w:type="dxa"/>
            </w:tcMar>
            <w:vAlign w:val="center"/>
          </w:tcPr>
          <w:p w14:paraId="2DEF182E">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不少于3000人次</w:t>
            </w:r>
          </w:p>
        </w:tc>
      </w:tr>
      <w:tr w14:paraId="7D8F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54" w:hRule="atLeast"/>
        </w:trPr>
        <w:tc>
          <w:tcPr>
            <w:tcW w:w="589" w:type="pct"/>
            <w:shd w:val="clear" w:color="auto" w:fill="auto"/>
            <w:tcMar>
              <w:top w:w="150" w:type="dxa"/>
              <w:left w:w="0" w:type="dxa"/>
              <w:bottom w:w="150" w:type="dxa"/>
              <w:right w:w="240" w:type="dxa"/>
            </w:tcMar>
            <w:vAlign w:val="center"/>
          </w:tcPr>
          <w:p w14:paraId="1FEBB8CA">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7</w:t>
            </w:r>
          </w:p>
        </w:tc>
        <w:tc>
          <w:tcPr>
            <w:tcW w:w="2744" w:type="pct"/>
            <w:shd w:val="clear" w:color="auto" w:fill="auto"/>
            <w:tcMar>
              <w:top w:w="150" w:type="dxa"/>
              <w:left w:w="240" w:type="dxa"/>
              <w:bottom w:w="150" w:type="dxa"/>
              <w:right w:w="240" w:type="dxa"/>
            </w:tcMar>
            <w:vAlign w:val="center"/>
          </w:tcPr>
          <w:p w14:paraId="60EC7925">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在岗工作人员</w:t>
            </w:r>
          </w:p>
        </w:tc>
        <w:tc>
          <w:tcPr>
            <w:tcW w:w="1666" w:type="pct"/>
            <w:shd w:val="clear" w:color="auto" w:fill="auto"/>
            <w:tcMar>
              <w:top w:w="150" w:type="dxa"/>
              <w:left w:w="240" w:type="dxa"/>
              <w:bottom w:w="150" w:type="dxa"/>
              <w:right w:w="0" w:type="dxa"/>
            </w:tcMar>
            <w:vAlign w:val="center"/>
          </w:tcPr>
          <w:p w14:paraId="081E171C">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不少于4人</w:t>
            </w:r>
          </w:p>
        </w:tc>
      </w:tr>
    </w:tbl>
    <w:p w14:paraId="0DFAA82B">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五、运营要求</w:t>
      </w:r>
    </w:p>
    <w:p w14:paraId="186D977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零工市场在岗工作人员不少于4人，其中至少1人具备人力资源服务相关从业资格或2年以上人力资源服务从业经验。</w:t>
      </w:r>
    </w:p>
    <w:p w14:paraId="52295A7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每日运营时间为9:00—17:00（除春节法定节假日外，含其他法定节假日），法定节假日运营安排须提前报甲方审批。</w:t>
      </w:r>
    </w:p>
    <w:p w14:paraId="0E586EB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免费为零工人员提供饮水、手机充电、阅读、休闲等服务；工作日期间提供简餐（午餐）。</w:t>
      </w:r>
    </w:p>
    <w:p w14:paraId="0B91515F">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第二条 服务期限</w:t>
      </w:r>
    </w:p>
    <w:p w14:paraId="64E4228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rPr>
        <w:t>服务期限：</w:t>
      </w:r>
      <w:r>
        <w:rPr>
          <w:rFonts w:hint="eastAsia" w:ascii="宋体" w:hAnsi="宋体" w:eastAsia="宋体" w:cs="宋体"/>
          <w:sz w:val="24"/>
          <w:szCs w:val="24"/>
          <w:highlight w:val="none"/>
          <w:u w:val="single"/>
        </w:rPr>
        <w:t>自合同签订之日起1年</w:t>
      </w:r>
      <w:r>
        <w:rPr>
          <w:rFonts w:hint="eastAsia" w:ascii="宋体" w:hAnsi="宋体" w:eastAsia="宋体" w:cs="宋体"/>
          <w:sz w:val="24"/>
          <w:szCs w:val="24"/>
          <w:highlight w:val="none"/>
        </w:rPr>
        <w:t>。</w:t>
      </w:r>
    </w:p>
    <w:p w14:paraId="7E08725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服务期满，经甲方考核结果为优秀或良好等次的，在同等条件下可优先考虑继续委托下一服务期运营服务。</w:t>
      </w:r>
    </w:p>
    <w:p w14:paraId="1C9CBDFF">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第三条 合同金额及支付方式</w:t>
      </w:r>
    </w:p>
    <w:p w14:paraId="6F9BE379">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一、合同金额</w:t>
      </w:r>
    </w:p>
    <w:p w14:paraId="45E8F5A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本合同为固定总价合同。合同总金额为人民币（大写）：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268ABA0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价格为含税价，包含乙方完成本项目所需的一切工作内容所发生的直接费用、间接费用、其他费用、税金等全部费用，包括但不限于：人员工资、保险、场地维护、招聘活动组织、宣传推广、直播带岗、入企探岗、送岗上门、便民服务（含简餐）、管理费、利润、税费及项目整体实施过程中其他有可能发生的一切费用。甲方不再支付任何其他费用。</w:t>
      </w:r>
    </w:p>
    <w:p w14:paraId="0B136157">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二、支付方式</w:t>
      </w:r>
    </w:p>
    <w:p w14:paraId="7694981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本合同采用分期付款方式：</w:t>
      </w:r>
      <w:r>
        <w:rPr>
          <w:rFonts w:hint="eastAsia" w:ascii="宋体" w:hAnsi="宋体" w:eastAsia="宋体" w:cs="宋体"/>
          <w:sz w:val="24"/>
          <w:szCs w:val="24"/>
          <w:highlight w:val="none"/>
          <w:u w:val="single"/>
        </w:rPr>
        <w:t>合同签订生效，乙方进场开展零工市场运营服务，经甲方初步核查到位后，每季度支付8万元，合同款剩余资金在绩效评估时依据采购明细标准核算后支付。 服务期满，完成全部约定绩效指标，项目整体验收合格后10个工作日内，支付全部尾款。</w:t>
      </w:r>
    </w:p>
    <w:p w14:paraId="54DE540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乙方须向甲方出具合法有效完整的完税发票及凭证资料进行支付结算。</w:t>
      </w:r>
    </w:p>
    <w:p w14:paraId="2EC7ABE4">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第四条 双方权利和义务</w:t>
      </w:r>
    </w:p>
    <w:p w14:paraId="38A57F3B">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一、甲方的权利和义务</w:t>
      </w:r>
    </w:p>
    <w:p w14:paraId="08F552D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甲方有权对合同规定范围内乙方的服务行为进行监督和检查，拥有监管权。有权定期核对乙方提供服务所配备的人员数量等。</w:t>
      </w:r>
    </w:p>
    <w:p w14:paraId="62323EA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对甲方认为不合理的部分有权下达整改通知书，并要求乙方限期整改。</w:t>
      </w:r>
    </w:p>
    <w:p w14:paraId="4AEB7C0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甲方有权对乙方提供服务内容和质量进行考评。</w:t>
      </w:r>
    </w:p>
    <w:p w14:paraId="56CA679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对不服从工作安排、工作不负责或因为工作失职给甲方造成不良影响的乙方工作人员，甲方有权书面通知乙方于限期内进行调换。</w:t>
      </w:r>
    </w:p>
    <w:p w14:paraId="6082EB4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根据本合同规定，按时向乙方支付应付服务费用。</w:t>
      </w:r>
    </w:p>
    <w:p w14:paraId="2489953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国家法律、法规所规定由甲方承担的其他责任。</w:t>
      </w:r>
    </w:p>
    <w:p w14:paraId="5254685C">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二、乙方的权利和义务</w:t>
      </w:r>
    </w:p>
    <w:p w14:paraId="20EDF97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对本合同规定的委托服务范围内的项目享有管理权及服务义务。</w:t>
      </w:r>
    </w:p>
    <w:p w14:paraId="0286A6A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根据本合同的规定向甲方收取相关服务费用。</w:t>
      </w:r>
    </w:p>
    <w:p w14:paraId="0680CFD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及时向甲方通告本项目服务范围内有关服务的重大事项，及时配合处理投诉。</w:t>
      </w:r>
    </w:p>
    <w:p w14:paraId="053FC59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接受项目行业管理部门及政府有关部门的指导，接受甲方的监督。</w:t>
      </w:r>
    </w:p>
    <w:p w14:paraId="4E255DD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乙方应当严格遵守人社就业相关政策规定，落实安全生产责任，做好零工市场日常安全管理。</w:t>
      </w:r>
    </w:p>
    <w:p w14:paraId="6493916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乙方工作人员劳动关系由乙方自行负责，与甲方不存在劳动关系。</w:t>
      </w:r>
    </w:p>
    <w:p w14:paraId="626AE83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乙方接受甲方日常监督考核，按要求报送运营工作周报、月报及各类工作资料。</w:t>
      </w:r>
    </w:p>
    <w:p w14:paraId="4C50479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乙方应按照国家相关法律、法规及甲方的服务要求向甲方提供合格的服务。</w:t>
      </w:r>
    </w:p>
    <w:p w14:paraId="26B1F01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国家法律、法规所规定由乙方承担的其他责任。</w:t>
      </w:r>
    </w:p>
    <w:p w14:paraId="614B99F8">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第五条 服务质量标准</w:t>
      </w:r>
    </w:p>
    <w:p w14:paraId="75D5FD5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乙方提供的服务须符合以下标准：</w:t>
      </w:r>
    </w:p>
    <w:p w14:paraId="3C9F5A5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《中华人民共和国政府采购法》</w:t>
      </w:r>
    </w:p>
    <w:p w14:paraId="11C2A29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《人力资源市场暂行条例》</w:t>
      </w:r>
    </w:p>
    <w:p w14:paraId="223A223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《人力资源服务机构管理规定》</w:t>
      </w:r>
    </w:p>
    <w:p w14:paraId="143CF45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国家和行业现行的相关法规、规范、标准</w:t>
      </w:r>
    </w:p>
    <w:p w14:paraId="3D83531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采购文件、响应文件及本合同约定的服务内容和质量标准</w:t>
      </w:r>
    </w:p>
    <w:p w14:paraId="6DA952DF">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第六条 验收</w:t>
      </w:r>
    </w:p>
    <w:p w14:paraId="317C5B19">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一、验收组织</w:t>
      </w:r>
    </w:p>
    <w:p w14:paraId="2C696E3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甲方组织开展资料审查结合现场核查方式进行验收，全部绩效指标达到实施方案要求即为验收合格。</w:t>
      </w:r>
    </w:p>
    <w:p w14:paraId="48BF8F5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验收时间：乙方提出验收申请之日起15日内组织验收。</w:t>
      </w:r>
    </w:p>
    <w:p w14:paraId="3F523E8D">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二、技术履约验收内容</w:t>
      </w:r>
    </w:p>
    <w:p w14:paraId="242CBF3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核查零工市场日常运营情况，工作人员配置、开放时长、便民服务落实情况；</w:t>
      </w:r>
    </w:p>
    <w:p w14:paraId="7D2913F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核查线下招聘会、直播带岗、入企探岗、送岗上门等各类招聘活动开展档案；</w:t>
      </w:r>
    </w:p>
    <w:p w14:paraId="222AD5F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核对零工登记注册数量、岗位发布数量、服务人次、岗位匹配成功率等绩效完成情况；</w:t>
      </w:r>
    </w:p>
    <w:p w14:paraId="58CCAA1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核查政策宣传、求职登记、就业指导、跟踪服务等业务开展台账资料。</w:t>
      </w:r>
    </w:p>
    <w:p w14:paraId="4D4CB34D">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三、商务履约验收内容</w:t>
      </w:r>
    </w:p>
    <w:p w14:paraId="598A66C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核查乙方人员配置、服务响应时效；</w:t>
      </w:r>
    </w:p>
    <w:p w14:paraId="3D8B6BE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核对服务合同履约期限、服务范围执行情况；</w:t>
      </w:r>
    </w:p>
    <w:p w14:paraId="09F4BB8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核查服务费用相关票据、资料；</w:t>
      </w:r>
    </w:p>
    <w:p w14:paraId="20458A9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核查知识产权、安全生产、工作报送等合同约定商务条款落实情况。</w:t>
      </w:r>
    </w:p>
    <w:p w14:paraId="48C16AAB">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四、履约验收标准</w:t>
      </w:r>
    </w:p>
    <w:p w14:paraId="22F2ACE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严格按照项目实施方案及合同约定开展验收：</w:t>
      </w:r>
    </w:p>
    <w:p w14:paraId="29F0F1A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全年完成登记注册6000人，发布用工岗位5000个，召开线下招聘会20场次、直播带岗165场次，服务群众3000人次以上，成功匹配岗位900人；</w:t>
      </w:r>
    </w:p>
    <w:p w14:paraId="00227EC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零工市场人员不少于4人，除春节外节假日正常运营，每日运营时间9时至17时，便民服务正常提供；</w:t>
      </w:r>
    </w:p>
    <w:p w14:paraId="515A2B0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活动台账、影像资料完整齐全；</w:t>
      </w:r>
    </w:p>
    <w:p w14:paraId="1EFC223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服务对象满意度调查不低于80%；</w:t>
      </w:r>
    </w:p>
    <w:p w14:paraId="40BC45A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全部合同服务要求落实到位。</w:t>
      </w:r>
    </w:p>
    <w:p w14:paraId="48346D1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未达到以上标准即为验收不合格。验收不合格的，由乙方按照验收意见限期整改，整改产生的全部费用由乙方自行承担；整改后仍无法达到合同约定标准，按照本合同第十条违约责任条款执行。</w:t>
      </w:r>
    </w:p>
    <w:p w14:paraId="63B4B260">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第七条 知识产权归属</w:t>
      </w:r>
    </w:p>
    <w:p w14:paraId="29ED5A3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本项目履行过程中，乙方为本项目制作形成的招聘宣传材料、活动影像资料、工作台账等全部成果知识产权归甲方（柞水县就业服务中心）所有。</w:t>
      </w:r>
    </w:p>
    <w:p w14:paraId="1B94A8A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乙方仅可用于本项目实施，未经甲方书面许可，不得擅自复制、传播、挪作其他用途</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"http://www.ccgp-hebei.gov.cn/ContractAnncFiles/0e7004ac-3251-8107-f6cc-aaac9113a634.pdf" \l "1#1" \t "https://chat.deepseek.com/a/chat/s/_blank"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w:t>
      </w:r>
    </w:p>
    <w:p w14:paraId="4BA21652">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第八条 保密条款</w:t>
      </w:r>
    </w:p>
    <w:p w14:paraId="14A807B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乙方对甲方提供的资料及在服务过程中获悉的求职者个人信息、企业用工信息等负有保密义务，未经甲方同意，不得向项目无关单位和个人提供有关资料</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"http://www.ccgp-hebei.gov.cn/ContractAnncFiles/0e7004ac-3251-8107-f6cc-aaac9113a634.pdf" \l "1#1" \t "https://chat.deepseek.com/a/chat/s/_blank"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w:t>
      </w:r>
    </w:p>
    <w:p w14:paraId="7AF8AAB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乙方应当严格落实个人信息保护和数据安全相关法律法规要求，确保求职者和用工单位信息不被泄露或滥用</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"https://www.ccgp-shaanxi.gov.cn/gpx-bid-file/ZF_JGBM_000003/zone/2025/1/12/project/gpx-template/8a69c68597c133b601982c0d70631d9e.pdf?accessCode=c80a64a1e3149e172cc8860398a4eab5" \l "4#4" \t "https://chat.deepseek.com/a/chat/s/_blank"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w:t>
      </w:r>
    </w:p>
    <w:p w14:paraId="76DE977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如发生信息泄露事件，乙方须立即报告甲方并采取补救措施，依法承担相应责任</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"http://www.ccgp-hebei.gov.cn/ContractAnncFiles/0e7004ac-3251-8107-f6cc-aaac9113a634.pdf" \l "1#1" \t "https://chat.deepseek.com/a/chat/s/_blank"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w:t>
      </w:r>
    </w:p>
    <w:p w14:paraId="196F3D4D">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第九条 成本补偿和风险分担</w:t>
      </w:r>
    </w:p>
    <w:p w14:paraId="413778E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除本合同明确约定的服务价款外，甲方不再向乙方支付其他任何额外费用。</w:t>
      </w:r>
    </w:p>
    <w:p w14:paraId="41194C7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因乙方自身运营管理、人员配置、活动组织不当产生的额外成本与风险，全部由乙方自行承担。</w:t>
      </w:r>
    </w:p>
    <w:p w14:paraId="551BE0D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因政策调整、甲方工作部署变更产生的风险，由双方协商处理。</w:t>
      </w:r>
    </w:p>
    <w:p w14:paraId="19FC697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因不可抗力导致合同无法正常履行的，双方协商调整服务计划或合同履行期限，互不承担违约责任。</w:t>
      </w:r>
    </w:p>
    <w:p w14:paraId="67130BD0">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第十条 违约责任</w:t>
      </w:r>
    </w:p>
    <w:p w14:paraId="019BE72D">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一、乙方违约</w:t>
      </w:r>
    </w:p>
    <w:p w14:paraId="1762AA6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乙方未按合同及实施方案要求配置工作人员、开展招聘服务、完成绩效目标的，甲方有权视情节扣减对应服务费用</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"http://www.ccgp-hebei.gov.cn/ContractAnncFiles/0e7004ac-3251-8107-f6cc-aaac9113a634.pdf" \l "1#1" \t "https://chat.deepseek.com/a/chat/s/_blank"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w:t>
      </w:r>
    </w:p>
    <w:p w14:paraId="4B37BD8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乙方提供的服务不符合采购文件、响应文件或本合同规定的，甲方有权要求限期整改，并且乙方须向甲方支付本合同总价5%的违约金</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"http://www.ccgp-hebei.gov.cn/ContractAnncFiles/0e7004ac-3251-8107-f6cc-aaac9113a634.pdf" \l "1#1" \t "https://chat.deepseek.com/a/chat/s/_blank"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w:t>
      </w:r>
    </w:p>
    <w:p w14:paraId="733E1DB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乙方严重违约，经催告后仍不能整改达标，甲方有权解除合同。</w:t>
      </w:r>
    </w:p>
    <w:p w14:paraId="3C614FC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未经甲方同意，乙方不得私自将该服务转包第三方完成。如私自转包，则处本合同总价10%的违约金</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"http://www.ccgp-hebei.gov.cn/ContractAnncFiles/0e7004ac-3251-8107-f6cc-aaac9113a634.pdf" \l "1#1" \t "https://chat.deepseek.com/a/chat/s/_blank"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w:t>
      </w:r>
    </w:p>
    <w:p w14:paraId="124F814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如因乙方工作人员在履行职务过程中的疏忽、失职、过错等故意或者过失原因给甲方造成损失或侵害，乙方均应承担全部的赔偿责任</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"https://sczj.suining.gov.cn/xinwen/show/c512563e521847e89c7f3810afefbf27.html" \l "1#1" \t "https://chat.deepseek.com/a/chat/s/_blank"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w:t>
      </w:r>
    </w:p>
    <w:p w14:paraId="67D4BCA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因乙方泄露求职者信息或企业用工信息给甲方或第三方造成损失的，乙方承担全部赔偿责任。</w:t>
      </w:r>
    </w:p>
    <w:p w14:paraId="7DDC5F97">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二、甲方违约</w:t>
      </w:r>
    </w:p>
    <w:p w14:paraId="6F00CDE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甲方无正当理由拒绝接受服务，到期拒付服务款项的，甲方向乙方偿付本合同总价的5%的违约金</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"http://www.ccgp-hebei.gov.cn/ContractAnncFiles/0e7004ac-3251-8107-f6cc-aaac9113a634.pdf" \l "1#1" \t "https://chat.deepseek.com/a/chat/s/_blank"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w:t>
      </w:r>
    </w:p>
    <w:p w14:paraId="671D0BC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甲方无正当理由逾期付款的，每日按逾期金额的万分之五向乙方偿付违约金</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"http://www.ccgp-hebei.gov.cn/ContractAnncFiles/0e7004ac-3251-8107-f6cc-aaac9113a634.pdf" \l "1#1" \t "https://chat.deepseek.com/a/chat/s/_blank"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w:t>
      </w:r>
    </w:p>
    <w:p w14:paraId="66604CD3">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三、违约金限额</w:t>
      </w:r>
    </w:p>
    <w:p w14:paraId="63C691C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本合同项下违约金总额最高不超过合同总金额。</w:t>
      </w:r>
    </w:p>
    <w:p w14:paraId="7A00295E">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第十一条 争议的解决</w:t>
      </w:r>
    </w:p>
    <w:p w14:paraId="6881693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本合同履行过程中发生争议，双方应优先友好协商解决；协商不成的，向履约地柞水县人民法院提起诉讼</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"http://www.ccgp-hebei.gov.cn/ContractAnncFiles/0e7004ac-3251-8107-f6cc-aaac9113a634.pdf" \l "1#1" \t "https://chat.deepseek.com/a/chat/s/_blank"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"https://www.ccgp-shaanxi.gov.cn/gpx-bid-file/ZF_JGBM_000003/zone/2025/1/12/project/gpx-template/8a69c68597c133b601982c0d70631d9e.pdf?accessCode=c80a64a1e3149e172cc8860398a4eab5" \l "4#4" \t "https://chat.deepseek.com/a/chat/s/_blank"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w:t>
      </w:r>
    </w:p>
    <w:p w14:paraId="41FB1A28">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第十二条 不可抗力</w:t>
      </w:r>
    </w:p>
    <w:p w14:paraId="0EC795B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在合同有效期内，任何一方因不可抗力事件导致不能履行合同，则合同履行期可延长，其延长期与不可抗力影响期相同</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"https://sczj.suining.gov.cn/xinwen/show/c512563e521847e89c7f3810afefbf27.html" \l "1#1" \t "https://chat.deepseek.com/a/chat/s/_blank"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w:t>
      </w:r>
    </w:p>
    <w:p w14:paraId="56F0520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遭受不可抗力的一方应在不可抗力事件发生后及时书面通知对方，并在合理期限内提供相关证明。</w:t>
      </w:r>
    </w:p>
    <w:p w14:paraId="6738165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因不可抗力导致线下招聘活动无法正常开展的，乙方应及时转为线上（直播带岗）招聘活动作为替代。</w:t>
      </w:r>
    </w:p>
    <w:p w14:paraId="1F5BE683">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第十三条 合同生效及其他</w:t>
      </w:r>
    </w:p>
    <w:p w14:paraId="7659554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本合同经甲乙双方法定代表人或授权代表签字并加盖单位公章后生效。</w:t>
      </w:r>
    </w:p>
    <w:p w14:paraId="4CEC736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采购文件、补遗文件、响应文件和承诺是本合同不可分割的组成部分</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"https://www.ccgp-shaanxi.gov.cn/gpx-bid-file/ZF_JGBM_000003/zone/2025/1/12/project/gpx-template/8a69c68597c133b601982c0d70631d9e.pdf?accessCode=c80a64a1e3149e172cc8860398a4eab5" \l "4#4" \t "https://chat.deepseek.com/a/chat/s/_blank"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w:t>
      </w:r>
    </w:p>
    <w:p w14:paraId="7AFA46F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本合同一式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份，甲方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份，乙方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份，具备同等法律效力</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"https://www.ccgp-shaanxi.gov.cn/gpx-bid-file/ZF_JGBM_000003/zone/2025/1/12/project/gpx-template/8a69c68597c133b601982c0d70631d9e.pdf?accessCode=c80a64a1e3149e172cc8860398a4eab5" \l "4#4" \t "https://chat.deepseek.com/a/chat/s/_blank"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w:t>
      </w:r>
    </w:p>
    <w:p w14:paraId="446F55F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未尽事宜，双方可签订补充协议，补充协议与本合同具备同等法律效力。补充协议内容不得背离采购文件和响应文件的实质性内容。</w:t>
      </w:r>
    </w:p>
    <w:p w14:paraId="778C595E">
      <w:pPr>
        <w:pStyle w:val="2"/>
        <w:rPr>
          <w:rFonts w:hint="eastAsia"/>
        </w:rPr>
      </w:pPr>
    </w:p>
    <w:p w14:paraId="29CD8DBF">
      <w:pPr>
        <w:rPr>
          <w:rFonts w:hint="eastAsia"/>
        </w:rPr>
      </w:pPr>
    </w:p>
    <w:p w14:paraId="3FB665CD">
      <w:pPr>
        <w:spacing w:line="360" w:lineRule="auto"/>
        <w:ind w:firstLine="480" w:firstLineChars="200"/>
        <w:rPr>
          <w:rFonts w:hint="eastAsia" w:ascii="宋体" w:hAnsi="宋体" w:eastAsia="宋体" w:cs="宋体"/>
          <w:sz w:val="24"/>
          <w:szCs w:val="24"/>
          <w:highlight w:val="none"/>
        </w:rPr>
      </w:pP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4"/>
        <w:gridCol w:w="4644"/>
      </w:tblGrid>
      <w:tr w14:paraId="0B3BC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4" w:type="dxa"/>
          </w:tcPr>
          <w:p w14:paraId="74D25184">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甲方（盖章）：柞水县就业服务中心</w:t>
            </w:r>
          </w:p>
          <w:p w14:paraId="5A47B43E">
            <w:pPr>
              <w:spacing w:line="360" w:lineRule="auto"/>
              <w:jc w:val="left"/>
              <w:rPr>
                <w:rFonts w:hint="eastAsia" w:ascii="宋体" w:hAnsi="宋体" w:eastAsia="宋体" w:cs="宋体"/>
                <w:sz w:val="24"/>
                <w:szCs w:val="24"/>
                <w:highlight w:val="none"/>
              </w:rPr>
            </w:pPr>
          </w:p>
          <w:p w14:paraId="67A15D8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法定代表人/授权代表（签字）：</w:t>
            </w:r>
          </w:p>
          <w:p w14:paraId="6508435C">
            <w:pPr>
              <w:spacing w:line="360" w:lineRule="auto"/>
              <w:jc w:val="left"/>
              <w:rPr>
                <w:rFonts w:hint="eastAsia" w:ascii="宋体" w:hAnsi="宋体" w:eastAsia="宋体" w:cs="宋体"/>
                <w:sz w:val="24"/>
                <w:szCs w:val="24"/>
                <w:highlight w:val="none"/>
              </w:rPr>
            </w:pPr>
          </w:p>
          <w:p w14:paraId="24A6C087">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日期：年 月 日</w:t>
            </w:r>
          </w:p>
          <w:p w14:paraId="5E891B97">
            <w:pPr>
              <w:pStyle w:val="2"/>
              <w:rPr>
                <w:rFonts w:hint="eastAsia"/>
                <w:vertAlign w:val="baseline"/>
              </w:rPr>
            </w:pPr>
          </w:p>
        </w:tc>
        <w:tc>
          <w:tcPr>
            <w:tcW w:w="4644" w:type="dxa"/>
          </w:tcPr>
          <w:p w14:paraId="0C10190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乙方（盖章）：</w:t>
            </w:r>
          </w:p>
          <w:p w14:paraId="668A83E1">
            <w:pPr>
              <w:spacing w:line="360" w:lineRule="auto"/>
              <w:rPr>
                <w:rFonts w:hint="eastAsia" w:ascii="宋体" w:hAnsi="宋体" w:eastAsia="宋体" w:cs="宋体"/>
                <w:sz w:val="24"/>
                <w:szCs w:val="24"/>
                <w:highlight w:val="none"/>
              </w:rPr>
            </w:pPr>
          </w:p>
          <w:p w14:paraId="1F736FC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法定代表人/授权代表（签字）：</w:t>
            </w:r>
          </w:p>
          <w:p w14:paraId="0B2B8A47">
            <w:pPr>
              <w:spacing w:line="360" w:lineRule="auto"/>
              <w:rPr>
                <w:rFonts w:hint="eastAsia" w:ascii="宋体" w:hAnsi="宋体" w:eastAsia="宋体" w:cs="宋体"/>
                <w:sz w:val="24"/>
                <w:szCs w:val="24"/>
                <w:highlight w:val="none"/>
              </w:rPr>
            </w:pPr>
          </w:p>
          <w:p w14:paraId="1446B67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日期：年 月 日</w:t>
            </w:r>
          </w:p>
          <w:p w14:paraId="6073E0AB">
            <w:pPr>
              <w:spacing w:line="360" w:lineRule="auto"/>
              <w:rPr>
                <w:rFonts w:hint="eastAsia" w:ascii="宋体" w:hAnsi="宋体" w:eastAsia="宋体" w:cs="宋体"/>
                <w:sz w:val="24"/>
                <w:szCs w:val="24"/>
                <w:highlight w:val="none"/>
              </w:rPr>
            </w:pPr>
          </w:p>
          <w:p w14:paraId="40B9114D">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lang w:val="en-US" w:eastAsia="zh-CN"/>
              </w:rPr>
              <w:t xml:space="preserve"> </w:t>
            </w:r>
          </w:p>
          <w:p w14:paraId="0F5EE465">
            <w:pPr>
              <w:spacing w:line="360" w:lineRule="auto"/>
              <w:rPr>
                <w:rFonts w:hint="eastAsia" w:ascii="宋体" w:hAnsi="宋体" w:eastAsia="宋体" w:cs="宋体"/>
                <w:sz w:val="24"/>
                <w:szCs w:val="24"/>
                <w:highlight w:val="none"/>
              </w:rPr>
            </w:pPr>
          </w:p>
          <w:p w14:paraId="2723D2E8">
            <w:pPr>
              <w:spacing w:line="360" w:lineRule="auto"/>
              <w:rPr>
                <w:rFonts w:hint="eastAsia"/>
                <w:vertAlign w:val="baseline"/>
              </w:rPr>
            </w:pPr>
            <w:r>
              <w:rPr>
                <w:rFonts w:hint="eastAsia" w:ascii="宋体" w:hAnsi="宋体" w:eastAsia="宋体" w:cs="宋体"/>
                <w:sz w:val="24"/>
                <w:szCs w:val="24"/>
                <w:highlight w:val="none"/>
              </w:rPr>
              <w:t>账号：</w:t>
            </w:r>
          </w:p>
        </w:tc>
      </w:tr>
    </w:tbl>
    <w:p w14:paraId="5E7C11BB">
      <w:pPr>
        <w:pStyle w:val="2"/>
        <w:rPr>
          <w:rFonts w:hint="eastAsia"/>
        </w:rPr>
      </w:pPr>
    </w:p>
    <w:p w14:paraId="3823AA0A">
      <w:pPr>
        <w:spacing w:line="360" w:lineRule="auto"/>
        <w:ind w:firstLine="360" w:firstLineChars="200"/>
        <w:rPr>
          <w:rFonts w:hint="eastAsia" w:ascii="宋体" w:hAnsi="宋体" w:eastAsia="宋体" w:cs="宋体"/>
          <w:sz w:val="18"/>
          <w:szCs w:val="18"/>
          <w:highlight w:val="none"/>
        </w:rPr>
      </w:pPr>
    </w:p>
    <w:p w14:paraId="33DF91A0">
      <w:pPr>
        <w:spacing w:line="360" w:lineRule="auto"/>
        <w:ind w:firstLine="360" w:firstLineChars="200"/>
        <w:rPr>
          <w:rFonts w:hint="eastAsia" w:ascii="宋体" w:hAnsi="宋体" w:eastAsia="宋体" w:cs="宋体"/>
          <w:sz w:val="18"/>
          <w:szCs w:val="18"/>
          <w:highlight w:val="none"/>
        </w:rPr>
      </w:pPr>
    </w:p>
    <w:p w14:paraId="53EAEEC2">
      <w:pPr>
        <w:spacing w:line="360" w:lineRule="auto"/>
        <w:ind w:firstLine="360" w:firstLineChars="200"/>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说明：本合同为拟签订的合同草案，最终合同以甲乙双方实际签订版本为准。合同中的空白处（如合同编号、法定代表人、地址、联系电话、开户银行、账号等）由甲乙双方在签订时填写</w:t>
      </w:r>
      <w:r>
        <w:rPr>
          <w:rFonts w:hint="eastAsia" w:ascii="宋体" w:hAnsi="宋体" w:eastAsia="宋体" w:cs="宋体"/>
          <w:sz w:val="18"/>
          <w:szCs w:val="18"/>
          <w:highlight w:val="none"/>
          <w:lang w:eastAsia="zh-CN"/>
        </w:rPr>
        <w:t>。</w:t>
      </w:r>
    </w:p>
    <w:p w14:paraId="59F994AC">
      <w:pPr>
        <w:spacing w:line="360" w:lineRule="auto"/>
        <w:ind w:firstLine="480" w:firstLineChars="200"/>
        <w:rPr>
          <w:rFonts w:hint="eastAsia" w:ascii="宋体" w:hAnsi="宋体" w:eastAsia="宋体" w:cs="宋体"/>
          <w:sz w:val="24"/>
          <w:szCs w:val="24"/>
          <w:highlight w:val="none"/>
        </w:rPr>
      </w:pPr>
    </w:p>
    <w:sectPr>
      <w:footerReference r:id="rId3" w:type="default"/>
      <w:pgSz w:w="11906" w:h="16838"/>
      <w:pgMar w:top="1440" w:right="1417" w:bottom="1440"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D4BD4">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367520">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3367520">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4D3454"/>
    <w:rsid w:val="0D8A7AEF"/>
    <w:rsid w:val="10D0675F"/>
    <w:rsid w:val="11D02B04"/>
    <w:rsid w:val="3EA05287"/>
    <w:rsid w:val="3EAF0A65"/>
    <w:rsid w:val="591A0B25"/>
    <w:rsid w:val="5B4D3454"/>
    <w:rsid w:val="6A0D5B9B"/>
    <w:rsid w:val="6D0E597B"/>
    <w:rsid w:val="78164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uiPriority w:val="0"/>
    <w:rPr>
      <w:sz w:val="24"/>
    </w:rPr>
  </w:style>
  <w:style w:type="table" w:styleId="10">
    <w:name w:val="Table Grid"/>
    <w:basedOn w:val="9"/>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qFormat/>
    <w:uiPriority w:val="0"/>
    <w:rPr>
      <w:color w:val="0000FF"/>
      <w:u w:val="single"/>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3843</Words>
  <Characters>3960</Characters>
  <Lines>0</Lines>
  <Paragraphs>0</Paragraphs>
  <TotalTime>1</TotalTime>
  <ScaleCrop>false</ScaleCrop>
  <LinksUpToDate>false</LinksUpToDate>
  <CharactersWithSpaces>4104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2026-08-24T12:52:00Z</dcterms:created>
  <dc:creator>admin</dc:creator>
  <cp:lastModifiedBy>admin</cp:lastModifiedBy>
  <dcterms:modified xsi:type="dcterms:W3CDTF">2026-08-24T14:06:06Z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7E2718BDDA8E4FE08D3D85B84C8481F8_11</vt:lpwstr>
  </property>
  <property fmtid="{D5CDD505-2E9C-101B-9397-08002B2CF9AE}" pid="4" name="KSOTemplateDocerSaveRecord">
    <vt:lpwstr>eyJoZGlkIjoiYWU5ODk4YTBlZjY2MTc2NmIxNDZhMTYwOTdjNDNkNTYiLCJ1c2VySWQiOiI3MjQxMDU1OTkifQ==</vt:lpwstr>
  </property>
</Properties>
</file>