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版本号：DRZB2026-ZC-15420260612001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西安市108国道山区公路气象融合监测能力提升项目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DRZB2026-ZC-154</w:t>
      </w:r>
      <w:r>
        <w:br/>
      </w:r>
      <w:r>
        <w:br/>
      </w:r>
      <w:r>
        <w:br/>
      </w:r>
    </w:p>
    <w:p>
      <w:pPr>
        <w:pStyle w:val="null3"/>
        <w:jc w:val="center"/>
        <w:outlineLvl w:val="2"/>
      </w:pPr>
      <w:r>
        <w:rPr>
          <w:rFonts w:ascii="仿宋_GB2312" w:hAnsi="仿宋_GB2312" w:cs="仿宋_GB2312" w:eastAsia="仿宋_GB2312"/>
          <w:sz w:val="28"/>
          <w:b/>
        </w:rPr>
        <w:t>西安市公路局</w:t>
      </w:r>
    </w:p>
    <w:p>
      <w:pPr>
        <w:pStyle w:val="null3"/>
        <w:jc w:val="center"/>
        <w:outlineLvl w:val="2"/>
      </w:pPr>
      <w:r>
        <w:rPr>
          <w:rFonts w:ascii="仿宋_GB2312" w:hAnsi="仿宋_GB2312" w:cs="仿宋_GB2312" w:eastAsia="仿宋_GB2312"/>
          <w:sz w:val="28"/>
          <w:b/>
        </w:rPr>
        <w:t>陕西德仁招标有限公司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陕西德仁招标有限公司</w:t>
      </w:r>
      <w:r>
        <w:rPr>
          <w:rFonts w:ascii="仿宋_GB2312" w:hAnsi="仿宋_GB2312" w:cs="仿宋_GB2312" w:eastAsia="仿宋_GB2312"/>
        </w:rPr>
        <w:t>（以下简称“代理机构”）受</w:t>
      </w:r>
      <w:r>
        <w:rPr>
          <w:rFonts w:ascii="仿宋_GB2312" w:hAnsi="仿宋_GB2312" w:cs="仿宋_GB2312" w:eastAsia="仿宋_GB2312"/>
        </w:rPr>
        <w:t>西安市公路局</w:t>
      </w:r>
      <w:r>
        <w:rPr>
          <w:rFonts w:ascii="仿宋_GB2312" w:hAnsi="仿宋_GB2312" w:cs="仿宋_GB2312" w:eastAsia="仿宋_GB2312"/>
        </w:rPr>
        <w:t>委托，拟对</w:t>
      </w:r>
      <w:r>
        <w:rPr>
          <w:rFonts w:ascii="仿宋_GB2312" w:hAnsi="仿宋_GB2312" w:cs="仿宋_GB2312" w:eastAsia="仿宋_GB2312"/>
        </w:rPr>
        <w:t>西安市108国道山区公路气象融合监测能力提升项目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DRZB2026-ZC-154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西安市108国道山区公路气象融合监测能力提升项目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108国道山区公路气象融合监测能力提升项目，本项目实施内容包含：1.建设108国道精准气象预报预警系统，新建2处公路交通气象监测站、2处数字气象站；2.建设路网运行监测设施，新建7处路网运行监测设施，沿线原有4处视频监控设施增设AI视频智能分析模块；3.提升配套服务功能，扩展现有路网运行监测平台， 补充事件预警、流量分析、气象预报预警等数字化应用，对“西安路网”微信小程序功能及展示内容进行完善；4.建设网电传输系统，利用公路附属设施为设备提供电力网络支持。具体内容及要求详见本项目磋商文件、工程量清单、图纸等文件中所涵盖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采购包1（西安市108国道山区公路气象融合监测能力提升项目）：属于专门面向中小企业采购。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社会保障资金缴纳证明：供应商提供递交响应文件截止之日前六个月内已缴存任意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3、税收缴纳证明：供应商提供递交响应文件截止之日前六个月内已缴存任意一个月的纳税证明或完税证明，依法免税的单位应提供相关证明材料；</w:t>
      </w:r>
    </w:p>
    <w:p>
      <w:pPr>
        <w:pStyle w:val="null3"/>
      </w:pPr>
      <w:r>
        <w:rPr>
          <w:rFonts w:ascii="仿宋_GB2312" w:hAnsi="仿宋_GB2312" w:cs="仿宋_GB2312" w:eastAsia="仿宋_GB2312"/>
        </w:rPr>
        <w:t>4、财务状况证明：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5、企业资质要求：须具备公路交通工程专业承包（公路机电工程）二级及以上资质，并具备有效的安全生产许可证；</w:t>
      </w:r>
    </w:p>
    <w:p>
      <w:pPr>
        <w:pStyle w:val="null3"/>
      </w:pPr>
      <w:r>
        <w:rPr>
          <w:rFonts w:ascii="仿宋_GB2312" w:hAnsi="仿宋_GB2312" w:cs="仿宋_GB2312" w:eastAsia="仿宋_GB2312"/>
        </w:rPr>
        <w:t>6、拟派项目经理资质和专业要求：拟派项目经理具备公路工程专业或机电工程专业二级（含）及以上注册建造师资格和安全生产考核合格证（建安B证）在本单位注册且未担任其他在施建设工程项目；</w:t>
      </w:r>
    </w:p>
    <w:p>
      <w:pPr>
        <w:pStyle w:val="null3"/>
      </w:pPr>
      <w:r>
        <w:rPr>
          <w:rFonts w:ascii="仿宋_GB2312" w:hAnsi="仿宋_GB2312" w:cs="仿宋_GB2312" w:eastAsia="仿宋_GB2312"/>
        </w:rPr>
        <w:t>7、信誉记录：供应商未被“信用中国”网站列入失信被执行人、重大税收违法失信主体名单，未被“中国政府采购网”网站列入政府采购严重违法失信行为记录名单，以开标后的网站查询记录为准；</w:t>
      </w:r>
    </w:p>
    <w:p>
      <w:pPr>
        <w:pStyle w:val="null3"/>
      </w:pPr>
      <w:r>
        <w:rPr>
          <w:rFonts w:ascii="仿宋_GB2312" w:hAnsi="仿宋_GB2312" w:cs="仿宋_GB2312" w:eastAsia="仿宋_GB2312"/>
        </w:rPr>
        <w:t>8、关联关系声明：包括：①控股管理关系（不得与参加本项目的其他供应商单位负责人为同一人或者存在直接控股、管理关系），②未为本项目提供整体设计、规范编制或者项目管理、监理、检测等服务；</w:t>
      </w:r>
    </w:p>
    <w:p>
      <w:pPr>
        <w:pStyle w:val="null3"/>
      </w:pPr>
      <w:r>
        <w:rPr>
          <w:rFonts w:ascii="仿宋_GB2312" w:hAnsi="仿宋_GB2312" w:cs="仿宋_GB2312" w:eastAsia="仿宋_GB2312"/>
        </w:rPr>
        <w:t>9、磋商授权：授权代表参与磋商的提供授权代表合法有效的法定代表人身份证明书及被授权委托人授权委托书；法定代表人参与磋商的只需提供法定代表人身份证明书；</w:t>
      </w:r>
    </w:p>
    <w:p>
      <w:pPr>
        <w:pStyle w:val="null3"/>
      </w:pPr>
      <w:r>
        <w:rPr>
          <w:rFonts w:ascii="仿宋_GB2312" w:hAnsi="仿宋_GB2312" w:cs="仿宋_GB2312" w:eastAsia="仿宋_GB2312"/>
        </w:rPr>
        <w:t>10、是否面向中、小企业采购：本项目为专门面向中小企业采购项目；</w:t>
      </w:r>
    </w:p>
    <w:p>
      <w:pPr>
        <w:pStyle w:val="null3"/>
      </w:pPr>
      <w:r>
        <w:rPr>
          <w:rFonts w:ascii="仿宋_GB2312" w:hAnsi="仿宋_GB2312" w:cs="仿宋_GB2312" w:eastAsia="仿宋_GB2312"/>
        </w:rPr>
        <w:t>11、非联合体声明：提供非联合体不分包书面声明。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029-89628529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陕西德仁招标有限公司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西安市唐延路37号class公馆B栋1103室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杨莉、韩钊、张海燕、赵璐、苏庆春、曹静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029-85565073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合同签订前，⼄⽅须向甲⽅缴纳合同总⾦额3%的履约保证⾦（供应商应当以支票、汇票、本票或者金融机构、担保机构出具的保函等非现金形式提交），履约保证⾦待项目验收合格并提供验收报告后30日历天内，⽆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实行市场调节价，采用差额定率累进法计费，以中标金额为计费基数，按照“工程类”项目的取费标准，具体费率：100万元以下，按照1.0%计取，100-500万元，按照0.7%计取；招标代理服务费由成交供应商向采购代理机构支付。 银行户名：陕西德仁招标有限公司 开户银行：招商银行股份有限公司西安城南支行 账 号：129909046810901 联系人：苏会计 联系电话：029-89185132 邮箱：sxdrzb@qq.com</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西安市公路局</w:t>
      </w:r>
      <w:r>
        <w:rPr>
          <w:rFonts w:ascii="仿宋_GB2312" w:hAnsi="仿宋_GB2312" w:cs="仿宋_GB2312" w:eastAsia="仿宋_GB2312"/>
        </w:rPr>
        <w:t>和</w:t>
      </w:r>
      <w:r>
        <w:rPr>
          <w:rFonts w:ascii="仿宋_GB2312" w:hAnsi="仿宋_GB2312" w:cs="仿宋_GB2312" w:eastAsia="仿宋_GB2312"/>
        </w:rPr>
        <w:t>陕西德仁招标有限公司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陕西德仁招标有限公司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陕西德仁招标有限公司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陕西德仁招标有限公司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陕西德仁招标有限公司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联系人：杨莉、赵璐、曹静</w:t>
      </w:r>
    </w:p>
    <w:p>
      <w:pPr>
        <w:pStyle w:val="null3"/>
      </w:pPr>
      <w:r>
        <w:rPr>
          <w:rFonts w:ascii="仿宋_GB2312" w:hAnsi="仿宋_GB2312" w:cs="仿宋_GB2312" w:eastAsia="仿宋_GB2312"/>
        </w:rPr>
        <w:t>联系电话：029-85565073</w:t>
      </w:r>
    </w:p>
    <w:p>
      <w:pPr>
        <w:pStyle w:val="null3"/>
      </w:pPr>
      <w:r>
        <w:rPr>
          <w:rFonts w:ascii="仿宋_GB2312" w:hAnsi="仿宋_GB2312" w:cs="仿宋_GB2312" w:eastAsia="仿宋_GB2312"/>
        </w:rPr>
        <w:t>地址：西安市唐延路37号class公馆B栋1103室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2,290,000.00</w:t>
      </w:r>
    </w:p>
    <w:p>
      <w:pPr>
        <w:pStyle w:val="null3"/>
      </w:pPr>
      <w:r>
        <w:rPr>
          <w:rFonts w:ascii="仿宋_GB2312" w:hAnsi="仿宋_GB2312" w:cs="仿宋_GB2312" w:eastAsia="仿宋_GB2312"/>
        </w:rPr>
        <w:t>采购包最高限价（元）: 2,290,000.00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西安市108国道山区公路气象融合监测能力提升项目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2,290,000.00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标的名称：西安市108国道山区公路气象融合监测能力提升项目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参数性质</w:t>
                  </w:r>
                </w:p>
              </w:tc>
              <w:tc>
                <w:tcPr>
                  <w:tcW w:type="dxa" w:w="851"/>
                </w:tcPr>
                <w:p>
                  <w:pPr>
                    <w:pStyle w:val="null3"/>
                  </w:pPr>
                  <w:r>
                    <w:rPr>
                      <w:rFonts w:ascii="仿宋_GB2312" w:hAnsi="仿宋_GB2312" w:cs="仿宋_GB2312" w:eastAsia="仿宋_GB2312"/>
                    </w:rPr>
                    <w:t>技术参数与性能指标</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一、工程概况</w:t>
                  </w:r>
                </w:p>
                <w:p>
                  <w:pPr>
                    <w:pStyle w:val="null3"/>
                  </w:pPr>
                  <w:r>
                    <w:rPr>
                      <w:rFonts w:ascii="仿宋_GB2312" w:hAnsi="仿宋_GB2312" w:cs="仿宋_GB2312" w:eastAsia="仿宋_GB2312"/>
                    </w:rPr>
                    <w:t>1、工程名称：西安市108国道山区公路气象融合监测能力提升项目。</w:t>
                  </w:r>
                </w:p>
                <w:p>
                  <w:pPr>
                    <w:pStyle w:val="null3"/>
                  </w:pPr>
                  <w:r>
                    <w:rPr>
                      <w:rFonts w:ascii="仿宋_GB2312" w:hAnsi="仿宋_GB2312" w:cs="仿宋_GB2312" w:eastAsia="仿宋_GB2312"/>
                    </w:rPr>
                    <w:t>2、建设地点：西安市108国道周至山区段。</w:t>
                  </w:r>
                </w:p>
                <w:p>
                  <w:pPr>
                    <w:pStyle w:val="null3"/>
                  </w:pPr>
                  <w:r>
                    <w:rPr>
                      <w:rFonts w:ascii="仿宋_GB2312" w:hAnsi="仿宋_GB2312" w:cs="仿宋_GB2312" w:eastAsia="仿宋_GB2312"/>
                    </w:rPr>
                    <w:t>3、工程内容主要包括：1.建设108国道精准气象预报预警系统，新建2处公路交通气象监测站、2处数字气象站；2.建设路网运行监测设施，新建7处路网运行监测设施，沿线原有4处视频监控设施增设AI视频智能分析模块；3.提升配套服务功能，扩展现有路网运行监测平台， 补充事件预警、流量分析、气象预报预警等数字化应用，对“西安路网”微信小程序功能及展示内容进行完善；4.建设网电传输系统，利用公路附属设施为设备提供电力网络支持。具体内容及要求详见本项目磋商文件、工程量清单、图纸、答疑文件等文件中所涵盖的全部内容。</w:t>
                  </w:r>
                </w:p>
                <w:p>
                  <w:pPr>
                    <w:pStyle w:val="null3"/>
                  </w:pPr>
                  <w:r>
                    <w:rPr>
                      <w:rFonts w:ascii="仿宋_GB2312" w:hAnsi="仿宋_GB2312" w:cs="仿宋_GB2312" w:eastAsia="仿宋_GB2312"/>
                    </w:rPr>
                    <w:t>二、编制依据</w:t>
                  </w:r>
                </w:p>
                <w:p>
                  <w:pPr>
                    <w:pStyle w:val="null3"/>
                  </w:pPr>
                  <w:r>
                    <w:rPr>
                      <w:rFonts w:ascii="仿宋_GB2312" w:hAnsi="仿宋_GB2312" w:cs="仿宋_GB2312" w:eastAsia="仿宋_GB2312"/>
                    </w:rPr>
                    <w:t>1.中华人民共和国行业推荐性标准《公路工程预算定额》（JTG/T 3832-2018）；《公路工程机械台班费用定额》（JTG/T 3833-2018）；</w:t>
                  </w:r>
                </w:p>
                <w:p>
                  <w:pPr>
                    <w:pStyle w:val="null3"/>
                  </w:pPr>
                  <w:r>
                    <w:rPr>
                      <w:rFonts w:ascii="仿宋_GB2312" w:hAnsi="仿宋_GB2312" w:cs="仿宋_GB2312" w:eastAsia="仿宋_GB2312"/>
                    </w:rPr>
                    <w:t>2.中华人民共和国行业标准《公路工程建设项目概算预算编制办法》（JTG 3830-2018）；</w:t>
                  </w:r>
                </w:p>
                <w:p>
                  <w:pPr>
                    <w:pStyle w:val="null3"/>
                  </w:pPr>
                  <w:r>
                    <w:rPr>
                      <w:rFonts w:ascii="仿宋_GB2312" w:hAnsi="仿宋_GB2312" w:cs="仿宋_GB2312" w:eastAsia="仿宋_GB2312"/>
                    </w:rPr>
                    <w:t>3.陕西省交通厅“关于印发《（公路工程建设项目投资估算编制办法）（公路工程建设项目概算预算编制办法）补充规定》的通知”陕交发〔2019〕93 号；</w:t>
                  </w:r>
                </w:p>
                <w:p>
                  <w:pPr>
                    <w:pStyle w:val="null3"/>
                  </w:pPr>
                  <w:r>
                    <w:rPr>
                      <w:rFonts w:ascii="仿宋_GB2312" w:hAnsi="仿宋_GB2312" w:cs="仿宋_GB2312" w:eastAsia="仿宋_GB2312"/>
                    </w:rPr>
                    <w:t>4.财政部税务总局海关总署关于深化增值税改革有关政策的公告〔2019〕39 号；</w:t>
                  </w:r>
                </w:p>
                <w:p>
                  <w:pPr>
                    <w:pStyle w:val="null3"/>
                  </w:pPr>
                  <w:r>
                    <w:rPr>
                      <w:rFonts w:ascii="仿宋_GB2312" w:hAnsi="仿宋_GB2312" w:cs="仿宋_GB2312" w:eastAsia="仿宋_GB2312"/>
                    </w:rPr>
                    <w:t>5.陕西省人民政府 2012 年第 153 号令《陕西省车船税征收办法》有关规定。</w:t>
                  </w:r>
                </w:p>
                <w:p>
                  <w:pPr>
                    <w:pStyle w:val="null3"/>
                  </w:pPr>
                  <w:r>
                    <w:rPr>
                      <w:rFonts w:ascii="仿宋_GB2312" w:hAnsi="仿宋_GB2312" w:cs="仿宋_GB2312" w:eastAsia="仿宋_GB2312"/>
                    </w:rPr>
                    <w:t>6.平台软件资金测算标准参照其成本测算可依据《软件开发项目成本测算指南》(DB6101/T3222-2025）进行。</w:t>
                  </w:r>
                </w:p>
                <w:p>
                  <w:pPr>
                    <w:pStyle w:val="null3"/>
                  </w:pPr>
                  <w:r>
                    <w:rPr>
                      <w:rFonts w:ascii="仿宋_GB2312" w:hAnsi="仿宋_GB2312" w:cs="仿宋_GB2312" w:eastAsia="仿宋_GB2312"/>
                    </w:rPr>
                    <w:t>三、最高限价</w:t>
                  </w:r>
                </w:p>
                <w:p>
                  <w:pPr>
                    <w:pStyle w:val="null3"/>
                  </w:pPr>
                  <w:r>
                    <w:rPr>
                      <w:rFonts w:ascii="仿宋_GB2312" w:hAnsi="仿宋_GB2312" w:cs="仿宋_GB2312" w:eastAsia="仿宋_GB2312"/>
                    </w:rPr>
                    <w:t>小写：2290000.00元（大写：贰佰贰拾玖万元整）</w:t>
                  </w:r>
                </w:p>
                <w:p>
                  <w:pPr>
                    <w:pStyle w:val="null3"/>
                  </w:pPr>
                  <w:r>
                    <w:rPr>
                      <w:rFonts w:ascii="仿宋_GB2312" w:hAnsi="仿宋_GB2312" w:cs="仿宋_GB2312" w:eastAsia="仿宋_GB2312"/>
                    </w:rPr>
                    <w:t>四、工程量清单及图纸</w:t>
                  </w:r>
                </w:p>
                <w:p>
                  <w:pPr>
                    <w:pStyle w:val="null3"/>
                  </w:pPr>
                  <w:r>
                    <w:rPr>
                      <w:rFonts w:ascii="仿宋_GB2312" w:hAnsi="仿宋_GB2312" w:cs="仿宋_GB2312" w:eastAsia="仿宋_GB2312"/>
                    </w:rPr>
                    <w:t>1.工程量清单：</w:t>
                  </w:r>
                </w:p>
                <w:tbl>
                  <w:tblPr>
                    <w:tblBorders>
                      <w:top w:val="single"/>
                      <w:left w:val="single"/>
                      <w:bottom w:val="single"/>
                      <w:right w:val="single"/>
                      <w:insideH w:val="single"/>
                      <w:insideV w:val="single"/>
                    </w:tblBorders>
                  </w:tblPr>
                  <w:tblGrid>
                    <w:gridCol w:w="91"/>
                    <w:gridCol w:w="91"/>
                    <w:gridCol w:w="91"/>
                    <w:gridCol w:w="91"/>
                    <w:gridCol w:w="91"/>
                    <w:gridCol w:w="91"/>
                    <w:gridCol w:w="91"/>
                  </w:tblGrid>
                  <w:tr>
                    <w:tc>
                      <w:tcPr>
                        <w:tcW w:type="dxa" w:w="637"/>
                        <w:gridSpan w:val="7"/>
                      </w:tcPr>
                      <w:p>
                        <w:pPr>
                          <w:pStyle w:val="null3"/>
                        </w:pPr>
                        <w:r>
                          <w:rPr>
                            <w:rFonts w:ascii="仿宋_GB2312" w:hAnsi="仿宋_GB2312" w:cs="仿宋_GB2312" w:eastAsia="仿宋_GB2312"/>
                          </w:rPr>
                          <w:t xml:space="preserve"> 工程量清单</w:t>
                        </w:r>
                      </w:p>
                    </w:tc>
                  </w:tr>
                  <w:tr>
                    <w:tc>
                      <w:tcPr>
                        <w:tcW w:type="dxa" w:w="637"/>
                        <w:gridSpan w:val="7"/>
                      </w:tcPr>
                      <w:p>
                        <w:pPr>
                          <w:pStyle w:val="null3"/>
                        </w:pPr>
                        <w:r>
                          <w:rPr>
                            <w:rFonts w:ascii="仿宋_GB2312" w:hAnsi="仿宋_GB2312" w:cs="仿宋_GB2312" w:eastAsia="仿宋_GB2312"/>
                          </w:rPr>
                          <w:t>1、交调设备接入省局交调系统，实现数据对接。</w:t>
                        </w:r>
                        <w:r>
                          <w:br/>
                        </w:r>
                        <w:r>
                          <w:rPr>
                            <w:rFonts w:ascii="仿宋_GB2312" w:hAnsi="仿宋_GB2312" w:cs="仿宋_GB2312" w:eastAsia="仿宋_GB2312"/>
                          </w:rPr>
                          <w:t xml:space="preserve"> 2、气象系统对接气象局平台，实现气象数据对接。</w:t>
                        </w:r>
                        <w:r>
                          <w:br/>
                        </w:r>
                        <w:r>
                          <w:rPr>
                            <w:rFonts w:ascii="仿宋_GB2312" w:hAnsi="仿宋_GB2312" w:cs="仿宋_GB2312" w:eastAsia="仿宋_GB2312"/>
                          </w:rPr>
                          <w:t xml:space="preserve"> 3、路网运行监测设施实现跟市局平台对接。</w:t>
                        </w:r>
                        <w:r>
                          <w:br/>
                        </w:r>
                        <w:r>
                          <w:rPr>
                            <w:rFonts w:ascii="仿宋_GB2312" w:hAnsi="仿宋_GB2312" w:cs="仿宋_GB2312" w:eastAsia="仿宋_GB2312"/>
                          </w:rPr>
                          <w:t xml:space="preserve"> 4、AI智能分析系统实现跟市局系统对接。</w:t>
                        </w:r>
                        <w:r>
                          <w:br/>
                        </w:r>
                        <w:r>
                          <w:rPr>
                            <w:rFonts w:ascii="仿宋_GB2312" w:hAnsi="仿宋_GB2312" w:cs="仿宋_GB2312" w:eastAsia="仿宋_GB2312"/>
                          </w:rPr>
                          <w:t xml:space="preserve"> 5、软件平台根据原平台（山区普通干线公路安全运行保障和应急处置决策分析平台）二次开发，对系统进行完善及根据本项目定制延申开发。</w:t>
                        </w:r>
                      </w:p>
                    </w:tc>
                  </w:tr>
                  <w:tr>
                    <w:tc>
                      <w:tcPr>
                        <w:tcW w:type="dxa" w:w="91"/>
                      </w:tcPr>
                      <w:p>
                        <w:pPr>
                          <w:pStyle w:val="null3"/>
                        </w:pPr>
                        <w:r>
                          <w:rPr>
                            <w:rFonts w:ascii="仿宋_GB2312" w:hAnsi="仿宋_GB2312" w:cs="仿宋_GB2312" w:eastAsia="仿宋_GB2312"/>
                          </w:rPr>
                          <w:t>序号</w:t>
                        </w:r>
                      </w:p>
                    </w:tc>
                    <w:tc>
                      <w:tcPr>
                        <w:tcW w:type="dxa" w:w="91"/>
                      </w:tcPr>
                      <w:p>
                        <w:pPr>
                          <w:pStyle w:val="null3"/>
                        </w:pPr>
                        <w:r>
                          <w:rPr>
                            <w:rFonts w:ascii="仿宋_GB2312" w:hAnsi="仿宋_GB2312" w:cs="仿宋_GB2312" w:eastAsia="仿宋_GB2312"/>
                          </w:rPr>
                          <w:t>子项</w:t>
                        </w:r>
                      </w:p>
                    </w:tc>
                    <w:tc>
                      <w:tcPr>
                        <w:tcW w:type="dxa" w:w="91"/>
                      </w:tcPr>
                      <w:p>
                        <w:pPr>
                          <w:pStyle w:val="null3"/>
                        </w:pPr>
                        <w:r>
                          <w:rPr>
                            <w:rFonts w:ascii="仿宋_GB2312" w:hAnsi="仿宋_GB2312" w:cs="仿宋_GB2312" w:eastAsia="仿宋_GB2312"/>
                          </w:rPr>
                          <w:t>施工内容</w:t>
                        </w:r>
                      </w:p>
                    </w:tc>
                    <w:tc>
                      <w:tcPr>
                        <w:tcW w:type="dxa" w:w="91"/>
                      </w:tcPr>
                      <w:p>
                        <w:pPr>
                          <w:pStyle w:val="null3"/>
                        </w:pPr>
                        <w:r>
                          <w:rPr>
                            <w:rFonts w:ascii="仿宋_GB2312" w:hAnsi="仿宋_GB2312" w:cs="仿宋_GB2312" w:eastAsia="仿宋_GB2312"/>
                          </w:rPr>
                          <w:t>施工要求</w:t>
                        </w:r>
                      </w:p>
                    </w:tc>
                    <w:tc>
                      <w:tcPr>
                        <w:tcW w:type="dxa" w:w="91"/>
                      </w:tcPr>
                      <w:p>
                        <w:pPr>
                          <w:pStyle w:val="null3"/>
                        </w:pPr>
                        <w:r>
                          <w:rPr>
                            <w:rFonts w:ascii="仿宋_GB2312" w:hAnsi="仿宋_GB2312" w:cs="仿宋_GB2312" w:eastAsia="仿宋_GB2312"/>
                          </w:rPr>
                          <w:t>单位</w:t>
                        </w:r>
                      </w:p>
                    </w:tc>
                    <w:tc>
                      <w:tcPr>
                        <w:tcW w:type="dxa" w:w="182"/>
                        <w:gridSpan w:val="2"/>
                      </w:tcPr>
                      <w:p>
                        <w:pPr>
                          <w:pStyle w:val="null3"/>
                        </w:pPr>
                        <w:r>
                          <w:rPr>
                            <w:rFonts w:ascii="仿宋_GB2312" w:hAnsi="仿宋_GB2312" w:cs="仿宋_GB2312" w:eastAsia="仿宋_GB2312"/>
                          </w:rPr>
                          <w:t>数量</w:t>
                        </w:r>
                      </w:p>
                    </w:tc>
                  </w:tr>
                  <w:tr>
                    <w:tc>
                      <w:tcPr>
                        <w:tcW w:type="dxa" w:w="91"/>
                      </w:tcPr>
                      <w:p>
                        <w:pPr>
                          <w:pStyle w:val="null3"/>
                        </w:pPr>
                        <w:r>
                          <w:rPr>
                            <w:rFonts w:ascii="仿宋_GB2312" w:hAnsi="仿宋_GB2312" w:cs="仿宋_GB2312" w:eastAsia="仿宋_GB2312"/>
                          </w:rPr>
                          <w:t>一</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气象预警设施</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交通气象监测站</w:t>
                        </w:r>
                      </w:p>
                    </w:tc>
                    <w:tc>
                      <w:tcPr>
                        <w:tcW w:type="dxa" w:w="91"/>
                      </w:tcPr>
                      <w:p>
                        <w:pPr>
                          <w:pStyle w:val="null3"/>
                        </w:pPr>
                        <w:r>
                          <w:rPr>
                            <w:rFonts w:ascii="仿宋_GB2312" w:hAnsi="仿宋_GB2312" w:cs="仿宋_GB2312" w:eastAsia="仿宋_GB2312"/>
                          </w:rPr>
                          <w:t>观测要素</w:t>
                        </w:r>
                        <w:r>
                          <w:br/>
                        </w:r>
                        <w:r>
                          <w:rPr>
                            <w:rFonts w:ascii="仿宋_GB2312" w:hAnsi="仿宋_GB2312" w:cs="仿宋_GB2312" w:eastAsia="仿宋_GB2312"/>
                          </w:rPr>
                          <w:t xml:space="preserve"> 气压：  </w:t>
                        </w:r>
                        <w:r>
                          <w:br/>
                        </w:r>
                        <w:r>
                          <w:rPr>
                            <w:rFonts w:ascii="仿宋_GB2312" w:hAnsi="仿宋_GB2312" w:cs="仿宋_GB2312" w:eastAsia="仿宋_GB2312"/>
                          </w:rPr>
                          <w:t xml:space="preserve">  范围：500hPa~1100hPa ，分辨率：0.1hPa  最大允许误差：±0.5hPa</w:t>
                        </w:r>
                        <w:r>
                          <w:br/>
                        </w:r>
                        <w:r>
                          <w:rPr>
                            <w:rFonts w:ascii="仿宋_GB2312" w:hAnsi="仿宋_GB2312" w:cs="仿宋_GB2312" w:eastAsia="仿宋_GB2312"/>
                          </w:rPr>
                          <w:t xml:space="preserve"> 气温</w:t>
                        </w:r>
                        <w:r>
                          <w:br/>
                        </w:r>
                        <w:r>
                          <w:rPr>
                            <w:rFonts w:ascii="仿宋_GB2312" w:hAnsi="仿宋_GB2312" w:cs="仿宋_GB2312" w:eastAsia="仿宋_GB2312"/>
                          </w:rPr>
                          <w:t xml:space="preserve">  范围：-50℃~50℃  分辨率：0.1℃   最大允许误差：±0.2℃</w:t>
                        </w:r>
                        <w:r>
                          <w:br/>
                        </w:r>
                        <w:r>
                          <w:rPr>
                            <w:rFonts w:ascii="仿宋_GB2312" w:hAnsi="仿宋_GB2312" w:cs="仿宋_GB2312" w:eastAsia="仿宋_GB2312"/>
                          </w:rPr>
                          <w:t xml:space="preserve"> 相对湿度</w:t>
                        </w:r>
                        <w:r>
                          <w:br/>
                        </w:r>
                        <w:r>
                          <w:rPr>
                            <w:rFonts w:ascii="仿宋_GB2312" w:hAnsi="仿宋_GB2312" w:cs="仿宋_GB2312" w:eastAsia="仿宋_GB2312"/>
                          </w:rPr>
                          <w:t xml:space="preserve">  范围：5%~100%  分辨率：1%    最大允许误差：±3%(≤80%)，±5%(＞80%)</w:t>
                        </w:r>
                        <w:r>
                          <w:br/>
                        </w:r>
                        <w:r>
                          <w:rPr>
                            <w:rFonts w:ascii="仿宋_GB2312" w:hAnsi="仿宋_GB2312" w:cs="仿宋_GB2312" w:eastAsia="仿宋_GB2312"/>
                          </w:rPr>
                          <w:t xml:space="preserve"> 风向</w:t>
                        </w:r>
                        <w:r>
                          <w:br/>
                        </w:r>
                        <w:r>
                          <w:rPr>
                            <w:rFonts w:ascii="仿宋_GB2312" w:hAnsi="仿宋_GB2312" w:cs="仿宋_GB2312" w:eastAsia="仿宋_GB2312"/>
                          </w:rPr>
                          <w:t xml:space="preserve">  范围：0~360° 分辨率：≤3°   最大允许误差：±5°</w:t>
                        </w:r>
                        <w:r>
                          <w:br/>
                        </w:r>
                        <w:r>
                          <w:rPr>
                            <w:rFonts w:ascii="仿宋_GB2312" w:hAnsi="仿宋_GB2312" w:cs="仿宋_GB2312" w:eastAsia="仿宋_GB2312"/>
                          </w:rPr>
                          <w:t xml:space="preserve"> 风速</w:t>
                        </w:r>
                        <w:r>
                          <w:br/>
                        </w:r>
                        <w:r>
                          <w:rPr>
                            <w:rFonts w:ascii="仿宋_GB2312" w:hAnsi="仿宋_GB2312" w:cs="仿宋_GB2312" w:eastAsia="仿宋_GB2312"/>
                          </w:rPr>
                          <w:t xml:space="preserve">  范围：0~60m/s   分辨率：0.1m/s    最大允许误差：±(0.5m/s+0.03V)</w:t>
                        </w:r>
                        <w:r>
                          <w:br/>
                        </w:r>
                        <w:r>
                          <w:rPr>
                            <w:rFonts w:ascii="仿宋_GB2312" w:hAnsi="仿宋_GB2312" w:cs="仿宋_GB2312" w:eastAsia="仿宋_GB2312"/>
                          </w:rPr>
                          <w:t xml:space="preserve"> 降水量</w:t>
                        </w:r>
                        <w:r>
                          <w:br/>
                        </w:r>
                        <w:r>
                          <w:rPr>
                            <w:rFonts w:ascii="仿宋_GB2312" w:hAnsi="仿宋_GB2312" w:cs="仿宋_GB2312" w:eastAsia="仿宋_GB2312"/>
                          </w:rPr>
                          <w:t xml:space="preserve">  范围：0~4mm/min  分辨率：0.1mm     最大允许误差：±0.4mm(≤10mm); ±4%(＞10mm)</w:t>
                        </w:r>
                        <w:r>
                          <w:br/>
                        </w:r>
                        <w:r>
                          <w:rPr>
                            <w:rFonts w:ascii="仿宋_GB2312" w:hAnsi="仿宋_GB2312" w:cs="仿宋_GB2312" w:eastAsia="仿宋_GB2312"/>
                          </w:rPr>
                          <w:t xml:space="preserve"> 能见度</w:t>
                        </w:r>
                        <w:r>
                          <w:br/>
                        </w:r>
                        <w:r>
                          <w:rPr>
                            <w:rFonts w:ascii="仿宋_GB2312" w:hAnsi="仿宋_GB2312" w:cs="仿宋_GB2312" w:eastAsia="仿宋_GB2312"/>
                          </w:rPr>
                          <w:t xml:space="preserve">  范围：10~10000m  分辨率：1m  最大允许误差：±10%(≤1500m); ±20%(＞1500m)</w:t>
                        </w:r>
                        <w:r>
                          <w:br/>
                        </w:r>
                        <w:r>
                          <w:rPr>
                            <w:rFonts w:ascii="仿宋_GB2312" w:hAnsi="仿宋_GB2312" w:cs="仿宋_GB2312" w:eastAsia="仿宋_GB2312"/>
                          </w:rPr>
                          <w:t xml:space="preserve"> 路面温度</w:t>
                        </w:r>
                        <w:r>
                          <w:br/>
                        </w:r>
                        <w:r>
                          <w:rPr>
                            <w:rFonts w:ascii="仿宋_GB2312" w:hAnsi="仿宋_GB2312" w:cs="仿宋_GB2312" w:eastAsia="仿宋_GB2312"/>
                          </w:rPr>
                          <w:t xml:space="preserve">  范围：-50℃~80℃   分辨率：0.1℃   最大允许误差：±0.5℃</w:t>
                        </w:r>
                        <w:r>
                          <w:br/>
                        </w:r>
                        <w:r>
                          <w:rPr>
                            <w:rFonts w:ascii="仿宋_GB2312" w:hAnsi="仿宋_GB2312" w:cs="仿宋_GB2312" w:eastAsia="仿宋_GB2312"/>
                          </w:rPr>
                          <w:t xml:space="preserve"> 路面状况</w:t>
                        </w:r>
                        <w:r>
                          <w:br/>
                        </w:r>
                        <w:r>
                          <w:rPr>
                            <w:rFonts w:ascii="仿宋_GB2312" w:hAnsi="仿宋_GB2312" w:cs="仿宋_GB2312" w:eastAsia="仿宋_GB2312"/>
                          </w:rPr>
                          <w:t xml:space="preserve">  包括干燥、潮湿、积水、结冰、积雪等状态监测； 最大允许误差：状态监测识别正确率≥90% 水层厚度0-1mm，</w:t>
                        </w:r>
                        <w:r>
                          <w:br/>
                        </w:r>
                        <w:r>
                          <w:rPr>
                            <w:rFonts w:ascii="仿宋_GB2312" w:hAnsi="仿宋_GB2312" w:cs="仿宋_GB2312" w:eastAsia="仿宋_GB2312"/>
                          </w:rPr>
                          <w:t xml:space="preserve">  准确度±0.1mm，1—6mm，准确度±0.5mm</w:t>
                        </w:r>
                        <w:r>
                          <w:br/>
                        </w:r>
                        <w:r>
                          <w:br/>
                        </w:r>
                        <w:r>
                          <w:rPr>
                            <w:rFonts w:ascii="仿宋_GB2312" w:hAnsi="仿宋_GB2312" w:cs="仿宋_GB2312" w:eastAsia="仿宋_GB2312"/>
                          </w:rPr>
                          <w:t xml:space="preserve"> 六要素传感器</w:t>
                        </w:r>
                        <w:r>
                          <w:br/>
                        </w:r>
                        <w:r>
                          <w:rPr>
                            <w:rFonts w:ascii="仿宋_GB2312" w:hAnsi="仿宋_GB2312" w:cs="仿宋_GB2312" w:eastAsia="仿宋_GB2312"/>
                          </w:rPr>
                          <w:t xml:space="preserve"> 气温</w:t>
                        </w:r>
                        <w:r>
                          <w:br/>
                        </w:r>
                        <w:r>
                          <w:rPr>
                            <w:rFonts w:ascii="仿宋_GB2312" w:hAnsi="仿宋_GB2312" w:cs="仿宋_GB2312" w:eastAsia="仿宋_GB2312"/>
                          </w:rPr>
                          <w:t xml:space="preserve"> Ø测量范围：-40°C~+55°C；</w:t>
                        </w:r>
                        <w:r>
                          <w:br/>
                        </w:r>
                        <w:r>
                          <w:rPr>
                            <w:rFonts w:ascii="仿宋_GB2312" w:hAnsi="仿宋_GB2312" w:cs="仿宋_GB2312" w:eastAsia="仿宋_GB2312"/>
                          </w:rPr>
                          <w:t xml:space="preserve"> Ø测量误差：±0.3°C；</w:t>
                        </w:r>
                        <w:r>
                          <w:br/>
                        </w:r>
                        <w:r>
                          <w:rPr>
                            <w:rFonts w:ascii="仿宋_GB2312" w:hAnsi="仿宋_GB2312" w:cs="仿宋_GB2312" w:eastAsia="仿宋_GB2312"/>
                          </w:rPr>
                          <w:t xml:space="preserve"> Ø分辨率：0.1°C；</w:t>
                        </w:r>
                        <w:r>
                          <w:br/>
                        </w:r>
                        <w:r>
                          <w:rPr>
                            <w:rFonts w:ascii="仿宋_GB2312" w:hAnsi="仿宋_GB2312" w:cs="仿宋_GB2312" w:eastAsia="仿宋_GB2312"/>
                          </w:rPr>
                          <w:t xml:space="preserve"> 湿度</w:t>
                        </w:r>
                        <w:r>
                          <w:br/>
                        </w:r>
                        <w:r>
                          <w:rPr>
                            <w:rFonts w:ascii="仿宋_GB2312" w:hAnsi="仿宋_GB2312" w:cs="仿宋_GB2312" w:eastAsia="仿宋_GB2312"/>
                          </w:rPr>
                          <w:t xml:space="preserve"> Ø测量范围：0%～100%RH；</w:t>
                        </w:r>
                        <w:r>
                          <w:br/>
                        </w:r>
                        <w:r>
                          <w:rPr>
                            <w:rFonts w:ascii="仿宋_GB2312" w:hAnsi="仿宋_GB2312" w:cs="仿宋_GB2312" w:eastAsia="仿宋_GB2312"/>
                          </w:rPr>
                          <w:t xml:space="preserve"> Ø测量误差：±5%；</w:t>
                        </w:r>
                        <w:r>
                          <w:br/>
                        </w:r>
                        <w:r>
                          <w:rPr>
                            <w:rFonts w:ascii="仿宋_GB2312" w:hAnsi="仿宋_GB2312" w:cs="仿宋_GB2312" w:eastAsia="仿宋_GB2312"/>
                          </w:rPr>
                          <w:t xml:space="preserve"> Ø分辨率：1%RH；</w:t>
                        </w:r>
                        <w:r>
                          <w:br/>
                        </w:r>
                        <w:r>
                          <w:rPr>
                            <w:rFonts w:ascii="仿宋_GB2312" w:hAnsi="仿宋_GB2312" w:cs="仿宋_GB2312" w:eastAsia="仿宋_GB2312"/>
                          </w:rPr>
                          <w:t xml:space="preserve"> 气压</w:t>
                        </w:r>
                        <w:r>
                          <w:br/>
                        </w:r>
                        <w:r>
                          <w:rPr>
                            <w:rFonts w:ascii="仿宋_GB2312" w:hAnsi="仿宋_GB2312" w:cs="仿宋_GB2312" w:eastAsia="仿宋_GB2312"/>
                          </w:rPr>
                          <w:t xml:space="preserve"> Ø测量范围：500～1100hPa；</w:t>
                        </w:r>
                        <w:r>
                          <w:br/>
                        </w:r>
                        <w:r>
                          <w:rPr>
                            <w:rFonts w:ascii="仿宋_GB2312" w:hAnsi="仿宋_GB2312" w:cs="仿宋_GB2312" w:eastAsia="仿宋_GB2312"/>
                          </w:rPr>
                          <w:t xml:space="preserve"> Ø测量误差：±0.5hPa；</w:t>
                        </w:r>
                        <w:r>
                          <w:br/>
                        </w:r>
                        <w:r>
                          <w:rPr>
                            <w:rFonts w:ascii="仿宋_GB2312" w:hAnsi="仿宋_GB2312" w:cs="仿宋_GB2312" w:eastAsia="仿宋_GB2312"/>
                          </w:rPr>
                          <w:t xml:space="preserve"> Ø分辨率：0.1hPa（0.1mmHg）；</w:t>
                        </w:r>
                        <w:r>
                          <w:br/>
                        </w:r>
                        <w:r>
                          <w:rPr>
                            <w:rFonts w:ascii="仿宋_GB2312" w:hAnsi="仿宋_GB2312" w:cs="仿宋_GB2312" w:eastAsia="仿宋_GB2312"/>
                          </w:rPr>
                          <w:t xml:space="preserve"> 风向</w:t>
                        </w:r>
                        <w:r>
                          <w:br/>
                        </w:r>
                        <w:r>
                          <w:rPr>
                            <w:rFonts w:ascii="仿宋_GB2312" w:hAnsi="仿宋_GB2312" w:cs="仿宋_GB2312" w:eastAsia="仿宋_GB2312"/>
                          </w:rPr>
                          <w:t xml:space="preserve"> Ø测量范围：0～360°；</w:t>
                        </w:r>
                        <w:r>
                          <w:br/>
                        </w:r>
                        <w:r>
                          <w:rPr>
                            <w:rFonts w:ascii="仿宋_GB2312" w:hAnsi="仿宋_GB2312" w:cs="仿宋_GB2312" w:eastAsia="仿宋_GB2312"/>
                          </w:rPr>
                          <w:t xml:space="preserve"> Ø测量误差：±3°；</w:t>
                        </w:r>
                        <w:r>
                          <w:br/>
                        </w:r>
                        <w:r>
                          <w:rPr>
                            <w:rFonts w:ascii="仿宋_GB2312" w:hAnsi="仿宋_GB2312" w:cs="仿宋_GB2312" w:eastAsia="仿宋_GB2312"/>
                          </w:rPr>
                          <w:t xml:space="preserve"> Ø启动风速：＜1m/s；</w:t>
                        </w:r>
                        <w:r>
                          <w:br/>
                        </w:r>
                        <w:r>
                          <w:rPr>
                            <w:rFonts w:ascii="仿宋_GB2312" w:hAnsi="仿宋_GB2312" w:cs="仿宋_GB2312" w:eastAsia="仿宋_GB2312"/>
                          </w:rPr>
                          <w:t xml:space="preserve"> Ø分辨率：0.1°；</w:t>
                        </w:r>
                        <w:r>
                          <w:br/>
                        </w:r>
                        <w:r>
                          <w:rPr>
                            <w:rFonts w:ascii="仿宋_GB2312" w:hAnsi="仿宋_GB2312" w:cs="仿宋_GB2312" w:eastAsia="仿宋_GB2312"/>
                          </w:rPr>
                          <w:t xml:space="preserve"> 风速</w:t>
                        </w:r>
                        <w:r>
                          <w:br/>
                        </w:r>
                        <w:r>
                          <w:rPr>
                            <w:rFonts w:ascii="仿宋_GB2312" w:hAnsi="仿宋_GB2312" w:cs="仿宋_GB2312" w:eastAsia="仿宋_GB2312"/>
                          </w:rPr>
                          <w:t xml:space="preserve"> Ø测量范围：0～60m/s；</w:t>
                        </w:r>
                        <w:r>
                          <w:br/>
                        </w:r>
                        <w:r>
                          <w:rPr>
                            <w:rFonts w:ascii="仿宋_GB2312" w:hAnsi="仿宋_GB2312" w:cs="仿宋_GB2312" w:eastAsia="仿宋_GB2312"/>
                          </w:rPr>
                          <w:t xml:space="preserve"> Ø测量误差：±0.3m/s或±3%V(0～35m/s)取较大值；Ø±（0.5+3%V）m/s(＞35m/s)V为风速；</w:t>
                        </w:r>
                        <w:r>
                          <w:br/>
                        </w:r>
                        <w:r>
                          <w:rPr>
                            <w:rFonts w:ascii="仿宋_GB2312" w:hAnsi="仿宋_GB2312" w:cs="仿宋_GB2312" w:eastAsia="仿宋_GB2312"/>
                          </w:rPr>
                          <w:t xml:space="preserve"> Ø分辨率：0.1m/s；</w:t>
                        </w:r>
                        <w:r>
                          <w:br/>
                        </w:r>
                        <w:r>
                          <w:rPr>
                            <w:rFonts w:ascii="仿宋_GB2312" w:hAnsi="仿宋_GB2312" w:cs="仿宋_GB2312" w:eastAsia="仿宋_GB2312"/>
                          </w:rPr>
                          <w:t xml:space="preserve"> 雨量</w:t>
                        </w:r>
                        <w:r>
                          <w:br/>
                        </w:r>
                        <w:r>
                          <w:rPr>
                            <w:rFonts w:ascii="仿宋_GB2312" w:hAnsi="仿宋_GB2312" w:cs="仿宋_GB2312" w:eastAsia="仿宋_GB2312"/>
                          </w:rPr>
                          <w:t xml:space="preserve"> Ø测量范围：雨强0～4mm/min；</w:t>
                        </w:r>
                        <w:r>
                          <w:br/>
                        </w:r>
                        <w:r>
                          <w:rPr>
                            <w:rFonts w:ascii="仿宋_GB2312" w:hAnsi="仿宋_GB2312" w:cs="仿宋_GB2312" w:eastAsia="仿宋_GB2312"/>
                          </w:rPr>
                          <w:t xml:space="preserve"> Ø测量误差：±4%；</w:t>
                        </w:r>
                        <w:r>
                          <w:br/>
                        </w:r>
                        <w:r>
                          <w:rPr>
                            <w:rFonts w:ascii="仿宋_GB2312" w:hAnsi="仿宋_GB2312" w:cs="仿宋_GB2312" w:eastAsia="仿宋_GB2312"/>
                          </w:rPr>
                          <w:t xml:space="preserve"> Ø分辨率：0.2mm；</w:t>
                        </w:r>
                        <w:r>
                          <w:br/>
                        </w:r>
                        <w:r>
                          <w:rPr>
                            <w:rFonts w:ascii="仿宋_GB2312" w:hAnsi="仿宋_GB2312" w:cs="仿宋_GB2312" w:eastAsia="仿宋_GB2312"/>
                          </w:rPr>
                          <w:t xml:space="preserve"> 电气性能</w:t>
                        </w:r>
                        <w:r>
                          <w:br/>
                        </w:r>
                        <w:r>
                          <w:rPr>
                            <w:rFonts w:ascii="仿宋_GB2312" w:hAnsi="仿宋_GB2312" w:cs="仿宋_GB2312" w:eastAsia="仿宋_GB2312"/>
                          </w:rPr>
                          <w:t xml:space="preserve"> Ø电源：9~36VDC，推荐电压DC12V；</w:t>
                        </w:r>
                        <w:r>
                          <w:br/>
                        </w:r>
                        <w:r>
                          <w:rPr>
                            <w:rFonts w:ascii="仿宋_GB2312" w:hAnsi="仿宋_GB2312" w:cs="仿宋_GB2312" w:eastAsia="仿宋_GB2312"/>
                          </w:rPr>
                          <w:t xml:space="preserve"> Ø功耗：＜1.2W；</w:t>
                        </w:r>
                        <w:r>
                          <w:br/>
                        </w:r>
                        <w:r>
                          <w:rPr>
                            <w:rFonts w:ascii="仿宋_GB2312" w:hAnsi="仿宋_GB2312" w:cs="仿宋_GB2312" w:eastAsia="仿宋_GB2312"/>
                          </w:rPr>
                          <w:t xml:space="preserve"> Ø电气接口：通讯接口：RS232/RS485/CAN；</w:t>
                        </w:r>
                        <w:r>
                          <w:br/>
                        </w:r>
                        <w:r>
                          <w:rPr>
                            <w:rFonts w:ascii="仿宋_GB2312" w:hAnsi="仿宋_GB2312" w:cs="仿宋_GB2312" w:eastAsia="仿宋_GB2312"/>
                          </w:rPr>
                          <w:t xml:space="preserve"> Ø波特率：串行协议4800、9600、19200、38400、57600可选；CAN总线协议10k、20k、50k、125k、250k、500k可选；</w:t>
                        </w:r>
                        <w:r>
                          <w:br/>
                        </w:r>
                        <w:r>
                          <w:rPr>
                            <w:rFonts w:ascii="仿宋_GB2312" w:hAnsi="仿宋_GB2312" w:cs="仿宋_GB2312" w:eastAsia="仿宋_GB2312"/>
                          </w:rPr>
                          <w:t xml:space="preserve"> Ø工作方式：24小时连续工作；</w:t>
                        </w:r>
                        <w:r>
                          <w:br/>
                        </w:r>
                        <w:r>
                          <w:rPr>
                            <w:rFonts w:ascii="仿宋_GB2312" w:hAnsi="仿宋_GB2312" w:cs="仿宋_GB2312" w:eastAsia="仿宋_GB2312"/>
                          </w:rPr>
                          <w:t xml:space="preserve"> 环境适应性</w:t>
                        </w:r>
                        <w:r>
                          <w:br/>
                        </w:r>
                        <w:r>
                          <w:rPr>
                            <w:rFonts w:ascii="仿宋_GB2312" w:hAnsi="仿宋_GB2312" w:cs="仿宋_GB2312" w:eastAsia="仿宋_GB2312"/>
                          </w:rPr>
                          <w:t xml:space="preserve"> Ø防护等级：≥IP65；</w:t>
                        </w:r>
                        <w:r>
                          <w:br/>
                        </w:r>
                        <w:r>
                          <w:rPr>
                            <w:rFonts w:ascii="仿宋_GB2312" w:hAnsi="仿宋_GB2312" w:cs="仿宋_GB2312" w:eastAsia="仿宋_GB2312"/>
                          </w:rPr>
                          <w:t xml:space="preserve"> Ø工作环境：温度：-40°C～55°C，湿度：0～100%RH；</w:t>
                        </w:r>
                        <w:r>
                          <w:br/>
                        </w:r>
                        <w:r>
                          <w:rPr>
                            <w:rFonts w:ascii="仿宋_GB2312" w:hAnsi="仿宋_GB2312" w:cs="仿宋_GB2312" w:eastAsia="仿宋_GB2312"/>
                          </w:rPr>
                          <w:t xml:space="preserve"> Ø贮存环境：温度：-55°C～70°C，湿度：95%RH无冷凝；</w:t>
                        </w:r>
                        <w:r>
                          <w:br/>
                        </w:r>
                        <w:r>
                          <w:br/>
                        </w:r>
                        <w:r>
                          <w:rPr>
                            <w:rFonts w:ascii="仿宋_GB2312" w:hAnsi="仿宋_GB2312" w:cs="仿宋_GB2312" w:eastAsia="仿宋_GB2312"/>
                          </w:rPr>
                          <w:t xml:space="preserve"> 能见度仪</w:t>
                        </w:r>
                        <w:r>
                          <w:br/>
                        </w:r>
                        <w:r>
                          <w:rPr>
                            <w:rFonts w:ascii="仿宋_GB2312" w:hAnsi="仿宋_GB2312" w:cs="仿宋_GB2312" w:eastAsia="仿宋_GB2312"/>
                          </w:rPr>
                          <w:t xml:space="preserve"> Ø测量范围：10～30000m；</w:t>
                        </w:r>
                        <w:r>
                          <w:br/>
                        </w:r>
                        <w:r>
                          <w:rPr>
                            <w:rFonts w:ascii="仿宋_GB2312" w:hAnsi="仿宋_GB2312" w:cs="仿宋_GB2312" w:eastAsia="仿宋_GB2312"/>
                          </w:rPr>
                          <w:t xml:space="preserve"> Ø测量精度：±10%（≤1500）±20%（＞1500）；</w:t>
                        </w:r>
                        <w:r>
                          <w:br/>
                        </w:r>
                        <w:r>
                          <w:rPr>
                            <w:rFonts w:ascii="仿宋_GB2312" w:hAnsi="仿宋_GB2312" w:cs="仿宋_GB2312" w:eastAsia="仿宋_GB2312"/>
                          </w:rPr>
                          <w:t xml:space="preserve"> Ø供电方式：12VDC；</w:t>
                        </w:r>
                        <w:r>
                          <w:br/>
                        </w:r>
                        <w:r>
                          <w:rPr>
                            <w:rFonts w:ascii="仿宋_GB2312" w:hAnsi="仿宋_GB2312" w:cs="仿宋_GB2312" w:eastAsia="仿宋_GB2312"/>
                          </w:rPr>
                          <w:t xml:space="preserve"> Ø功耗：≤10W；</w:t>
                        </w:r>
                        <w:r>
                          <w:br/>
                        </w:r>
                        <w:r>
                          <w:rPr>
                            <w:rFonts w:ascii="仿宋_GB2312" w:hAnsi="仿宋_GB2312" w:cs="仿宋_GB2312" w:eastAsia="仿宋_GB2312"/>
                          </w:rPr>
                          <w:t xml:space="preserve"> Ø整机尺寸：约为740mm×336mm×118mm；</w:t>
                        </w:r>
                        <w:r>
                          <w:br/>
                        </w:r>
                        <w:r>
                          <w:rPr>
                            <w:rFonts w:ascii="仿宋_GB2312" w:hAnsi="仿宋_GB2312" w:cs="仿宋_GB2312" w:eastAsia="仿宋_GB2312"/>
                          </w:rPr>
                          <w:t xml:space="preserve"> Ø整机重量：≤3kg；</w:t>
                        </w:r>
                        <w:r>
                          <w:br/>
                        </w:r>
                        <w:r>
                          <w:rPr>
                            <w:rFonts w:ascii="仿宋_GB2312" w:hAnsi="仿宋_GB2312" w:cs="仿宋_GB2312" w:eastAsia="仿宋_GB2312"/>
                          </w:rPr>
                          <w:t xml:space="preserve"> Ø输出方式：RS232串行数字输出，默认串口参数9600N81；</w:t>
                        </w:r>
                        <w:r>
                          <w:br/>
                        </w:r>
                        <w:r>
                          <w:rPr>
                            <w:rFonts w:ascii="仿宋_GB2312" w:hAnsi="仿宋_GB2312" w:cs="仿宋_GB2312" w:eastAsia="仿宋_GB2312"/>
                          </w:rPr>
                          <w:t xml:space="preserve"> Ø输出机制：ACSII码传输；</w:t>
                        </w:r>
                        <w:r>
                          <w:br/>
                        </w:r>
                        <w:r>
                          <w:rPr>
                            <w:rFonts w:ascii="仿宋_GB2312" w:hAnsi="仿宋_GB2312" w:cs="仿宋_GB2312" w:eastAsia="仿宋_GB2312"/>
                          </w:rPr>
                          <w:t xml:space="preserve">   环境温度：-45～+55℃；</w:t>
                        </w:r>
                        <w:r>
                          <w:br/>
                        </w:r>
                        <w:r>
                          <w:rPr>
                            <w:rFonts w:ascii="仿宋_GB2312" w:hAnsi="仿宋_GB2312" w:cs="仿宋_GB2312" w:eastAsia="仿宋_GB2312"/>
                          </w:rPr>
                          <w:t xml:space="preserve"> Ø空气湿度：0～100%；</w:t>
                        </w:r>
                        <w:r>
                          <w:br/>
                        </w:r>
                        <w:r>
                          <w:rPr>
                            <w:rFonts w:ascii="仿宋_GB2312" w:hAnsi="仿宋_GB2312" w:cs="仿宋_GB2312" w:eastAsia="仿宋_GB2312"/>
                          </w:rPr>
                          <w:t xml:space="preserve"> Ø大气压力：≥650hPa；</w:t>
                        </w:r>
                        <w:r>
                          <w:br/>
                        </w:r>
                        <w:r>
                          <w:rPr>
                            <w:rFonts w:ascii="仿宋_GB2312" w:hAnsi="仿宋_GB2312" w:cs="仿宋_GB2312" w:eastAsia="仿宋_GB2312"/>
                          </w:rPr>
                          <w:t xml:space="preserve"> Ø耐盐雾性：可在沿海地区使用；</w:t>
                        </w:r>
                        <w:r>
                          <w:br/>
                        </w:r>
                        <w:r>
                          <w:rPr>
                            <w:rFonts w:ascii="仿宋_GB2312" w:hAnsi="仿宋_GB2312" w:cs="仿宋_GB2312" w:eastAsia="仿宋_GB2312"/>
                          </w:rPr>
                          <w:t xml:space="preserve"> Ø抗风强度：75m/s；</w:t>
                        </w:r>
                        <w:r>
                          <w:br/>
                        </w:r>
                        <w:r>
                          <w:rPr>
                            <w:rFonts w:ascii="仿宋_GB2312" w:hAnsi="仿宋_GB2312" w:cs="仿宋_GB2312" w:eastAsia="仿宋_GB2312"/>
                          </w:rPr>
                          <w:t xml:space="preserve"> Ø耐灰尘性：可在灰尘中连续使用；</w:t>
                        </w:r>
                        <w:r>
                          <w:br/>
                        </w:r>
                        <w:r>
                          <w:br/>
                        </w:r>
                        <w:r>
                          <w:rPr>
                            <w:rFonts w:ascii="仿宋_GB2312" w:hAnsi="仿宋_GB2312" w:cs="仿宋_GB2312" w:eastAsia="仿宋_GB2312"/>
                          </w:rPr>
                          <w:t xml:space="preserve"> 遥感路面状况传感器</w:t>
                        </w:r>
                        <w:r>
                          <w:br/>
                        </w:r>
                        <w:r>
                          <w:rPr>
                            <w:rFonts w:ascii="仿宋_GB2312" w:hAnsi="仿宋_GB2312" w:cs="仿宋_GB2312" w:eastAsia="仿宋_GB2312"/>
                          </w:rPr>
                          <w:t xml:space="preserve">  测量原理：利用红外辐射及近红外多光谱测量原理</w:t>
                        </w:r>
                        <w:r>
                          <w:br/>
                        </w:r>
                        <w:r>
                          <w:rPr>
                            <w:rFonts w:ascii="仿宋_GB2312" w:hAnsi="仿宋_GB2312" w:cs="仿宋_GB2312" w:eastAsia="仿宋_GB2312"/>
                          </w:rPr>
                          <w:t xml:space="preserve">  路面状态要素：干、潮、湿、霜/雪、冰、冰水混合</w:t>
                        </w:r>
                        <w:r>
                          <w:br/>
                        </w:r>
                        <w:r>
                          <w:rPr>
                            <w:rFonts w:ascii="仿宋_GB2312" w:hAnsi="仿宋_GB2312" w:cs="仿宋_GB2312" w:eastAsia="仿宋_GB2312"/>
                          </w:rPr>
                          <w:t xml:space="preserve">  精准度：&gt;90%</w:t>
                        </w:r>
                        <w:r>
                          <w:br/>
                        </w:r>
                        <w:r>
                          <w:rPr>
                            <w:rFonts w:ascii="仿宋_GB2312" w:hAnsi="仿宋_GB2312" w:cs="仿宋_GB2312" w:eastAsia="仿宋_GB2312"/>
                          </w:rPr>
                          <w:t xml:space="preserve">  测量厚度：冰、水厚度 0.00～2.00mm 雪厚 0.00～10.0mm</w:t>
                        </w:r>
                        <w:r>
                          <w:br/>
                        </w:r>
                        <w:r>
                          <w:rPr>
                            <w:rFonts w:ascii="仿宋_GB2312" w:hAnsi="仿宋_GB2312" w:cs="仿宋_GB2312" w:eastAsia="仿宋_GB2312"/>
                          </w:rPr>
                          <w:t xml:space="preserve">  分辨率：0.01mm</w:t>
                        </w:r>
                        <w:r>
                          <w:br/>
                        </w:r>
                        <w:r>
                          <w:rPr>
                            <w:rFonts w:ascii="仿宋_GB2312" w:hAnsi="仿宋_GB2312" w:cs="仿宋_GB2312" w:eastAsia="仿宋_GB2312"/>
                          </w:rPr>
                          <w:t xml:space="preserve">  湿滑系数范围：0.01~1.00，分辨率：0.01</w:t>
                        </w:r>
                        <w:r>
                          <w:br/>
                        </w:r>
                        <w:r>
                          <w:rPr>
                            <w:rFonts w:ascii="仿宋_GB2312" w:hAnsi="仿宋_GB2312" w:cs="仿宋_GB2312" w:eastAsia="仿宋_GB2312"/>
                          </w:rPr>
                          <w:t xml:space="preserve">  路面温度测量范围：–40~70℃</w:t>
                        </w:r>
                        <w:r>
                          <w:br/>
                        </w:r>
                        <w:r>
                          <w:rPr>
                            <w:rFonts w:ascii="仿宋_GB2312" w:hAnsi="仿宋_GB2312" w:cs="仿宋_GB2312" w:eastAsia="仿宋_GB2312"/>
                          </w:rPr>
                          <w:t xml:space="preserve">  路面温度精度：±0.8℃ @ 0℃</w:t>
                        </w:r>
                        <w:r>
                          <w:br/>
                        </w:r>
                        <w:r>
                          <w:rPr>
                            <w:rFonts w:ascii="仿宋_GB2312" w:hAnsi="仿宋_GB2312" w:cs="仿宋_GB2312" w:eastAsia="仿宋_GB2312"/>
                          </w:rPr>
                          <w:t xml:space="preserve">  路面温度分辨率：0.1℃</w:t>
                        </w:r>
                        <w:r>
                          <w:br/>
                        </w:r>
                        <w:r>
                          <w:rPr>
                            <w:rFonts w:ascii="仿宋_GB2312" w:hAnsi="仿宋_GB2312" w:cs="仿宋_GB2312" w:eastAsia="仿宋_GB2312"/>
                          </w:rPr>
                          <w:t xml:space="preserve">  数据间隔：10s～60s</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2</w:t>
                        </w:r>
                      </w:p>
                    </w:tc>
                  </w:tr>
                  <w:tr>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数字气象站</w:t>
                        </w:r>
                      </w:p>
                    </w:tc>
                    <w:tc>
                      <w:tcPr>
                        <w:tcW w:type="dxa" w:w="91"/>
                      </w:tcPr>
                      <w:p>
                        <w:pPr>
                          <w:pStyle w:val="null3"/>
                        </w:pPr>
                        <w:r>
                          <w:rPr>
                            <w:rFonts w:ascii="仿宋_GB2312" w:hAnsi="仿宋_GB2312" w:cs="仿宋_GB2312" w:eastAsia="仿宋_GB2312"/>
                          </w:rPr>
                          <w:t>基于热谱地图、气象遥感数据、雨量雷达数据、能见度数据等多元气象数据的气象观测与服务系统。</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2</w:t>
                        </w:r>
                      </w:p>
                    </w:tc>
                  </w:tr>
                  <w:tr>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太阳能光伏板及电池</w:t>
                        </w:r>
                      </w:p>
                    </w:tc>
                    <w:tc>
                      <w:tcPr>
                        <w:tcW w:type="dxa" w:w="91"/>
                      </w:tcPr>
                      <w:p>
                        <w:pPr>
                          <w:pStyle w:val="null3"/>
                        </w:pPr>
                        <w:r>
                          <w:rPr>
                            <w:rFonts w:ascii="仿宋_GB2312" w:hAnsi="仿宋_GB2312" w:cs="仿宋_GB2312" w:eastAsia="仿宋_GB2312"/>
                          </w:rPr>
                          <w:t>单晶硅电池片，转换效率≥20%，峰值功率≥120Wp；蓄电池12V 150AH；防护等级≥IP65。</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2</w:t>
                        </w:r>
                      </w:p>
                    </w:tc>
                  </w:tr>
                  <w:tr>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立柱基础</w:t>
                        </w:r>
                      </w:p>
                    </w:tc>
                    <w:tc>
                      <w:tcPr>
                        <w:tcW w:type="dxa" w:w="91"/>
                      </w:tcPr>
                      <w:p>
                        <w:pPr>
                          <w:pStyle w:val="null3"/>
                        </w:pPr>
                        <w:r>
                          <w:rPr>
                            <w:rFonts w:ascii="仿宋_GB2312" w:hAnsi="仿宋_GB2312" w:cs="仿宋_GB2312" w:eastAsia="仿宋_GB2312"/>
                          </w:rPr>
                          <w:t>1.基础采用混凝土现浇。</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二</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路网运行监测设施</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一体化网络云台摄像机（普通）</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一体化网络云台摄像机（普通）</w:t>
                        </w:r>
                      </w:p>
                    </w:tc>
                    <w:tc>
                      <w:tcPr>
                        <w:tcW w:type="dxa" w:w="91"/>
                      </w:tcPr>
                      <w:p>
                        <w:pPr>
                          <w:pStyle w:val="null3"/>
                        </w:pPr>
                        <w:r>
                          <w:rPr>
                            <w:rFonts w:ascii="仿宋_GB2312" w:hAnsi="仿宋_GB2312" w:cs="仿宋_GB2312" w:eastAsia="仿宋_GB2312"/>
                          </w:rPr>
                          <w:t>支持多种智能资源切换：全结构化，混合目标比对，智能交通，人员布控，400万全彩枪球一体机；</w:t>
                        </w:r>
                        <w:r>
                          <w:br/>
                        </w:r>
                        <w:r>
                          <w:rPr>
                            <w:rFonts w:ascii="仿宋_GB2312" w:hAnsi="仿宋_GB2312" w:cs="仿宋_GB2312" w:eastAsia="仿宋_GB2312"/>
                          </w:rPr>
                          <w:t xml:space="preserve"> Ø支持AR功能，且可实现标签与标签联动的功能；</w:t>
                        </w:r>
                        <w:r>
                          <w:br/>
                        </w:r>
                        <w:r>
                          <w:rPr>
                            <w:rFonts w:ascii="仿宋_GB2312" w:hAnsi="仿宋_GB2312" w:cs="仿宋_GB2312" w:eastAsia="仿宋_GB2312"/>
                          </w:rPr>
                          <w:t xml:space="preserve"> Ø最低照度：彩色：0.0004Lux@(F1.6，AGCON）；黑白：0.0001Lux@(F1.6，</w:t>
                        </w:r>
                        <w:r>
                          <w:br/>
                        </w:r>
                        <w:r>
                          <w:rPr>
                            <w:rFonts w:ascii="仿宋_GB2312" w:hAnsi="仿宋_GB2312" w:cs="仿宋_GB2312" w:eastAsia="仿宋_GB2312"/>
                          </w:rPr>
                          <w:t xml:space="preserve"> AGCON),0LuxwithIR；</w:t>
                        </w:r>
                        <w:r>
                          <w:br/>
                        </w:r>
                        <w:r>
                          <w:rPr>
                            <w:rFonts w:ascii="仿宋_GB2312" w:hAnsi="仿宋_GB2312" w:cs="仿宋_GB2312" w:eastAsia="仿宋_GB2312"/>
                          </w:rPr>
                          <w:t xml:space="preserve"> Ø宽动态：支持；</w:t>
                        </w:r>
                        <w:r>
                          <w:br/>
                        </w:r>
                        <w:r>
                          <w:rPr>
                            <w:rFonts w:ascii="仿宋_GB2312" w:hAnsi="仿宋_GB2312" w:cs="仿宋_GB2312" w:eastAsia="仿宋_GB2312"/>
                          </w:rPr>
                          <w:t xml:space="preserve"> Ø光学变倍：≥35倍；</w:t>
                        </w:r>
                        <w:r>
                          <w:br/>
                        </w:r>
                        <w:r>
                          <w:rPr>
                            <w:rFonts w:ascii="仿宋_GB2312" w:hAnsi="仿宋_GB2312" w:cs="仿宋_GB2312" w:eastAsia="仿宋_GB2312"/>
                          </w:rPr>
                          <w:t xml:space="preserve"> Ø水平范围：360°；</w:t>
                        </w:r>
                        <w:r>
                          <w:br/>
                        </w:r>
                        <w:r>
                          <w:rPr>
                            <w:rFonts w:ascii="仿宋_GB2312" w:hAnsi="仿宋_GB2312" w:cs="仿宋_GB2312" w:eastAsia="仿宋_GB2312"/>
                          </w:rPr>
                          <w:t xml:space="preserve"> Ø垂直范围：-20°～90°（自动翻转）；</w:t>
                        </w:r>
                        <w:r>
                          <w:br/>
                        </w:r>
                        <w:r>
                          <w:rPr>
                            <w:rFonts w:ascii="仿宋_GB2312" w:hAnsi="仿宋_GB2312" w:cs="仿宋_GB2312" w:eastAsia="仿宋_GB2312"/>
                          </w:rPr>
                          <w:t xml:space="preserve"> Ø主码流帧率分辨率：≥25fps（2560×1440），50Hz；30fps（2560×1440），60Hz；</w:t>
                        </w:r>
                        <w:r>
                          <w:br/>
                        </w:r>
                        <w:r>
                          <w:rPr>
                            <w:rFonts w:ascii="仿宋_GB2312" w:hAnsi="仿宋_GB2312" w:cs="仿宋_GB2312" w:eastAsia="仿宋_GB2312"/>
                          </w:rPr>
                          <w:t xml:space="preserve"> Ø视频压缩标准：H.265,H.264,MJPEG；</w:t>
                        </w:r>
                        <w:r>
                          <w:br/>
                        </w:r>
                        <w:r>
                          <w:rPr>
                            <w:rFonts w:ascii="仿宋_GB2312" w:hAnsi="仿宋_GB2312" w:cs="仿宋_GB2312" w:eastAsia="仿宋_GB2312"/>
                          </w:rPr>
                          <w:t xml:space="preserve"> Ø网络存储：NAS(NFS,SMB/CIFS）；</w:t>
                        </w:r>
                        <w:r>
                          <w:br/>
                        </w:r>
                        <w:r>
                          <w:rPr>
                            <w:rFonts w:ascii="仿宋_GB2312" w:hAnsi="仿宋_GB2312" w:cs="仿宋_GB2312" w:eastAsia="仿宋_GB2312"/>
                          </w:rPr>
                          <w:t xml:space="preserve"> Ø外部接口：RJ45网口，自适应10M/100M网络数据，含RS485接口；</w:t>
                        </w:r>
                        <w:r>
                          <w:br/>
                        </w:r>
                        <w:r>
                          <w:rPr>
                            <w:rFonts w:ascii="仿宋_GB2312" w:hAnsi="仿宋_GB2312" w:cs="仿宋_GB2312" w:eastAsia="仿宋_GB2312"/>
                          </w:rPr>
                          <w:t xml:space="preserve"> Ø光纤接口：采用FC接口，内置光纤模块（100M网络数据、波长TX1310/RX1550nm、单纤单模、20km传输距离）；</w:t>
                        </w:r>
                        <w:r>
                          <w:br/>
                        </w:r>
                        <w:r>
                          <w:rPr>
                            <w:rFonts w:ascii="仿宋_GB2312" w:hAnsi="仿宋_GB2312" w:cs="仿宋_GB2312" w:eastAsia="仿宋_GB2312"/>
                          </w:rPr>
                          <w:t xml:space="preserve"> ØSD卡扩展：支持MicroSD（即TF卡）/MicroSDHC/MicroSDXC卡，最大支持256G；</w:t>
                        </w:r>
                        <w:r>
                          <w:br/>
                        </w:r>
                        <w:r>
                          <w:rPr>
                            <w:rFonts w:ascii="仿宋_GB2312" w:hAnsi="仿宋_GB2312" w:cs="仿宋_GB2312" w:eastAsia="仿宋_GB2312"/>
                          </w:rPr>
                          <w:t xml:space="preserve"> ØGPS：内置GPS、北斗卫星定位模块和电子罗盘，支持将视场角、镜头指向、安装位置经纬度等信息上传中心管理平台；</w:t>
                        </w:r>
                        <w:r>
                          <w:br/>
                        </w:r>
                        <w:r>
                          <w:rPr>
                            <w:rFonts w:ascii="仿宋_GB2312" w:hAnsi="仿宋_GB2312" w:cs="仿宋_GB2312" w:eastAsia="仿宋_GB2312"/>
                          </w:rPr>
                          <w:t xml:space="preserve"> Ø红外照射距离：≥250m；</w:t>
                        </w:r>
                        <w:r>
                          <w:br/>
                        </w:r>
                        <w:r>
                          <w:rPr>
                            <w:rFonts w:ascii="仿宋_GB2312" w:hAnsi="仿宋_GB2312" w:cs="仿宋_GB2312" w:eastAsia="仿宋_GB2312"/>
                          </w:rPr>
                          <w:t xml:space="preserve"> Ø防补光过曝：支持；</w:t>
                        </w:r>
                        <w:r>
                          <w:br/>
                        </w:r>
                        <w:r>
                          <w:rPr>
                            <w:rFonts w:ascii="仿宋_GB2312" w:hAnsi="仿宋_GB2312" w:cs="仿宋_GB2312" w:eastAsia="仿宋_GB2312"/>
                          </w:rPr>
                          <w:t xml:space="preserve"> Ø供电方式：AC24V；</w:t>
                        </w:r>
                        <w:r>
                          <w:br/>
                        </w:r>
                        <w:r>
                          <w:rPr>
                            <w:rFonts w:ascii="仿宋_GB2312" w:hAnsi="仿宋_GB2312" w:cs="仿宋_GB2312" w:eastAsia="仿宋_GB2312"/>
                          </w:rPr>
                          <w:t xml:space="preserve"> Ø电流及功耗：62Wmax（其中加热5Wmax，红外灯15Wmax）；含雨刷；</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3</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AI智能分析模块</w:t>
                        </w:r>
                      </w:p>
                    </w:tc>
                    <w:tc>
                      <w:tcPr>
                        <w:tcW w:type="dxa" w:w="91"/>
                      </w:tcPr>
                      <w:p>
                        <w:pPr>
                          <w:pStyle w:val="null3"/>
                        </w:pPr>
                        <w:r>
                          <w:rPr>
                            <w:rFonts w:ascii="仿宋_GB2312" w:hAnsi="仿宋_GB2312" w:cs="仿宋_GB2312" w:eastAsia="仿宋_GB2312"/>
                          </w:rPr>
                          <w:t>监测距离：≥300m；</w:t>
                        </w:r>
                        <w:r>
                          <w:br/>
                        </w:r>
                        <w:r>
                          <w:rPr>
                            <w:rFonts w:ascii="仿宋_GB2312" w:hAnsi="仿宋_GB2312" w:cs="仿宋_GB2312" w:eastAsia="仿宋_GB2312"/>
                          </w:rPr>
                          <w:t xml:space="preserve"> Ø高精度：准确率≥99%；</w:t>
                        </w:r>
                        <w:r>
                          <w:br/>
                        </w:r>
                        <w:r>
                          <w:rPr>
                            <w:rFonts w:ascii="仿宋_GB2312" w:hAnsi="仿宋_GB2312" w:cs="仿宋_GB2312" w:eastAsia="仿宋_GB2312"/>
                          </w:rPr>
                          <w:t xml:space="preserve"> Ø信息联动：可与电子屏、警报器联动；</w:t>
                        </w:r>
                        <w:r>
                          <w:br/>
                        </w:r>
                        <w:r>
                          <w:rPr>
                            <w:rFonts w:ascii="仿宋_GB2312" w:hAnsi="仿宋_GB2312" w:cs="仿宋_GB2312" w:eastAsia="仿宋_GB2312"/>
                          </w:rPr>
                          <w:t xml:space="preserve"> Ø功能扩展：道路垮塌，能见度，道路结冰，异常停车；</w:t>
                        </w:r>
                        <w:r>
                          <w:br/>
                        </w:r>
                        <w:r>
                          <w:rPr>
                            <w:rFonts w:ascii="仿宋_GB2312" w:hAnsi="仿宋_GB2312" w:cs="仿宋_GB2312" w:eastAsia="仿宋_GB2312"/>
                          </w:rPr>
                          <w:t xml:space="preserve"> Ø智能分析模块：可利用已有摄像头（200万像素），融入已有监控平台；</w:t>
                        </w:r>
                        <w:r>
                          <w:br/>
                        </w:r>
                        <w:r>
                          <w:rPr>
                            <w:rFonts w:ascii="仿宋_GB2312" w:hAnsi="仿宋_GB2312" w:cs="仿宋_GB2312" w:eastAsia="仿宋_GB2312"/>
                          </w:rPr>
                          <w:t xml:space="preserve"> Ø边缘计算版本：前端分析识别，可无信号环境应用；</w:t>
                        </w:r>
                        <w:r>
                          <w:br/>
                        </w:r>
                        <w:r>
                          <w:rPr>
                            <w:rFonts w:ascii="仿宋_GB2312" w:hAnsi="仿宋_GB2312" w:cs="仿宋_GB2312" w:eastAsia="仿宋_GB2312"/>
                          </w:rPr>
                          <w:t xml:space="preserve"> Ø高准确率：交通事故事件检测精度达到90%，滑坡检测率达99%；</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4</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一体化网络云台摄像机立柱</w:t>
                        </w:r>
                      </w:p>
                    </w:tc>
                    <w:tc>
                      <w:tcPr>
                        <w:tcW w:type="dxa" w:w="91"/>
                      </w:tcPr>
                      <w:p>
                        <w:pPr>
                          <w:pStyle w:val="null3"/>
                        </w:pPr>
                        <w:r>
                          <w:rPr>
                            <w:rFonts w:ascii="仿宋_GB2312" w:hAnsi="仿宋_GB2312" w:cs="仿宋_GB2312" w:eastAsia="仿宋_GB2312"/>
                          </w:rPr>
                          <w:t>1.立柱高7m</w:t>
                        </w:r>
                        <w:r>
                          <w:br/>
                        </w:r>
                        <w:r>
                          <w:rPr>
                            <w:rFonts w:ascii="仿宋_GB2312" w:hAnsi="仿宋_GB2312" w:cs="仿宋_GB2312" w:eastAsia="仿宋_GB2312"/>
                          </w:rPr>
                          <w:t xml:space="preserve"> 2.立杆为上下变径八边形钢管立杆，底径D280，梢径D220，横臂底径D160，梢径D90，立杆表面酸洗除锈后，再进行热镀锌处理，锌层厚不低于88微米。</w:t>
                        </w:r>
                        <w:r>
                          <w:br/>
                        </w:r>
                        <w:r>
                          <w:rPr>
                            <w:rFonts w:ascii="仿宋_GB2312" w:hAnsi="仿宋_GB2312" w:cs="仿宋_GB2312" w:eastAsia="仿宋_GB2312"/>
                          </w:rPr>
                          <w:t xml:space="preserve"> 3.检修门内配熔断器型接线端子一组(5个)。</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一体化网络云台摄像机横杆</w:t>
                        </w:r>
                      </w:p>
                    </w:tc>
                    <w:tc>
                      <w:tcPr>
                        <w:tcW w:type="dxa" w:w="91"/>
                      </w:tcPr>
                      <w:p>
                        <w:pPr>
                          <w:pStyle w:val="null3"/>
                        </w:pPr>
                        <w:r>
                          <w:rPr>
                            <w:rFonts w:ascii="仿宋_GB2312" w:hAnsi="仿宋_GB2312" w:cs="仿宋_GB2312" w:eastAsia="仿宋_GB2312"/>
                          </w:rPr>
                          <w:t>仙游寺超限站立杆可直接利用，黑河森林公园平交口标志牌立杆可利用，增加横杆。</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一体化网络云台摄像机（高寒）</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一体化网络云台摄像机（高寒）</w:t>
                        </w:r>
                      </w:p>
                    </w:tc>
                    <w:tc>
                      <w:tcPr>
                        <w:tcW w:type="dxa" w:w="91"/>
                      </w:tcPr>
                      <w:p>
                        <w:pPr>
                          <w:pStyle w:val="null3"/>
                        </w:pPr>
                        <w:r>
                          <w:rPr>
                            <w:rFonts w:ascii="仿宋_GB2312" w:hAnsi="仿宋_GB2312" w:cs="仿宋_GB2312" w:eastAsia="仿宋_GB2312"/>
                          </w:rPr>
                          <w:t>Ø智能耐低温防起雾400万冰雪球，40倍变焦镜头350米激光补光；</w:t>
                        </w:r>
                        <w:r>
                          <w:br/>
                        </w:r>
                        <w:r>
                          <w:rPr>
                            <w:rFonts w:ascii="仿宋_GB2312" w:hAnsi="仿宋_GB2312" w:cs="仿宋_GB2312" w:eastAsia="仿宋_GB2312"/>
                          </w:rPr>
                          <w:t xml:space="preserve"> Ø可在-15°低温环境中可有效除雾、除霜、除冰雪，防止球机视窗玻璃起雾结霜；适用于山区野外、滑雪场、冷链、冷库等低温高湿环境；</w:t>
                        </w:r>
                        <w:r>
                          <w:br/>
                        </w:r>
                        <w:r>
                          <w:rPr>
                            <w:rFonts w:ascii="仿宋_GB2312" w:hAnsi="仿宋_GB2312" w:cs="仿宋_GB2312" w:eastAsia="仿宋_GB2312"/>
                          </w:rPr>
                          <w:t xml:space="preserve"> Ø支持人脸抓拍、非机动车识别、车牌识别等全结构化功能，更好地助力平安城市人车管理；</w:t>
                        </w:r>
                        <w:r>
                          <w:br/>
                        </w:r>
                        <w:r>
                          <w:rPr>
                            <w:rFonts w:ascii="仿宋_GB2312" w:hAnsi="仿宋_GB2312" w:cs="仿宋_GB2312" w:eastAsia="仿宋_GB2312"/>
                          </w:rPr>
                          <w:t xml:space="preserve"> Ø支持GB35114安全加密；</w:t>
                        </w:r>
                        <w:r>
                          <w:br/>
                        </w:r>
                        <w:r>
                          <w:rPr>
                            <w:rFonts w:ascii="仿宋_GB2312" w:hAnsi="仿宋_GB2312" w:cs="仿宋_GB2312" w:eastAsia="仿宋_GB2312"/>
                          </w:rPr>
                          <w:t xml:space="preserve"> Ø工作温湿度：-40℃-70℃；</w:t>
                        </w:r>
                        <w:r>
                          <w:br/>
                        </w:r>
                        <w:r>
                          <w:rPr>
                            <w:rFonts w:ascii="仿宋_GB2312" w:hAnsi="仿宋_GB2312" w:cs="仿宋_GB2312" w:eastAsia="仿宋_GB2312"/>
                          </w:rPr>
                          <w:t xml:space="preserve"> Ø焦距6.0—240mm，40倍光学变倍；</w:t>
                        </w:r>
                        <w:r>
                          <w:br/>
                        </w:r>
                        <w:r>
                          <w:rPr>
                            <w:rFonts w:ascii="仿宋_GB2312" w:hAnsi="仿宋_GB2312" w:cs="仿宋_GB2312" w:eastAsia="仿宋_GB2312"/>
                          </w:rPr>
                          <w:t xml:space="preserve"> Ø光学变倍速度：大约5.4；</w:t>
                        </w:r>
                        <w:r>
                          <w:br/>
                        </w:r>
                        <w:r>
                          <w:rPr>
                            <w:rFonts w:ascii="仿宋_GB2312" w:hAnsi="仿宋_GB2312" w:cs="仿宋_GB2312" w:eastAsia="仿宋_GB2312"/>
                          </w:rPr>
                          <w:t xml:space="preserve"> Ø视场角：水平视场角59.0-2.0度（广角-望远）；</w:t>
                        </w:r>
                        <w:r>
                          <w:br/>
                        </w:r>
                        <w:r>
                          <w:rPr>
                            <w:rFonts w:ascii="仿宋_GB2312" w:hAnsi="仿宋_GB2312" w:cs="仿宋_GB2312" w:eastAsia="仿宋_GB2312"/>
                          </w:rPr>
                          <w:t xml:space="preserve"> Ø最大光圈数：F1.4；</w:t>
                        </w:r>
                        <w:r>
                          <w:br/>
                        </w:r>
                        <w:r>
                          <w:rPr>
                            <w:rFonts w:ascii="仿宋_GB2312" w:hAnsi="仿宋_GB2312" w:cs="仿宋_GB2312" w:eastAsia="仿宋_GB2312"/>
                          </w:rPr>
                          <w:t xml:space="preserve"> Ø激光照射距离：≥350m；</w:t>
                        </w:r>
                        <w:r>
                          <w:br/>
                        </w:r>
                        <w:r>
                          <w:rPr>
                            <w:rFonts w:ascii="仿宋_GB2312" w:hAnsi="仿宋_GB2312" w:cs="仿宋_GB2312" w:eastAsia="仿宋_GB2312"/>
                          </w:rPr>
                          <w:t xml:space="preserve"> Ø防补光过曝：支持；</w:t>
                        </w:r>
                        <w:r>
                          <w:br/>
                        </w:r>
                        <w:r>
                          <w:rPr>
                            <w:rFonts w:ascii="仿宋_GB2312" w:hAnsi="仿宋_GB2312" w:cs="仿宋_GB2312" w:eastAsia="仿宋_GB2312"/>
                          </w:rPr>
                          <w:t xml:space="preserve"> Ø水平范围：360°；</w:t>
                        </w:r>
                        <w:r>
                          <w:br/>
                        </w:r>
                        <w:r>
                          <w:rPr>
                            <w:rFonts w:ascii="仿宋_GB2312" w:hAnsi="仿宋_GB2312" w:cs="仿宋_GB2312" w:eastAsia="仿宋_GB2312"/>
                          </w:rPr>
                          <w:t xml:space="preserve"> Ø垂直范围：-20°-90°（自动翻转）；</w:t>
                        </w:r>
                        <w:r>
                          <w:br/>
                        </w:r>
                        <w:r>
                          <w:rPr>
                            <w:rFonts w:ascii="仿宋_GB2312" w:hAnsi="仿宋_GB2312" w:cs="仿宋_GB2312" w:eastAsia="仿宋_GB2312"/>
                          </w:rPr>
                          <w:t xml:space="preserve"> Ø比例变倍：支持；</w:t>
                        </w:r>
                        <w:r>
                          <w:br/>
                        </w:r>
                        <w:r>
                          <w:rPr>
                            <w:rFonts w:ascii="仿宋_GB2312" w:hAnsi="仿宋_GB2312" w:cs="仿宋_GB2312" w:eastAsia="仿宋_GB2312"/>
                          </w:rPr>
                          <w:t xml:space="preserve"> Ø预置点个数：≥300个；</w:t>
                        </w:r>
                        <w:r>
                          <w:br/>
                        </w:r>
                        <w:r>
                          <w:rPr>
                            <w:rFonts w:ascii="仿宋_GB2312" w:hAnsi="仿宋_GB2312" w:cs="仿宋_GB2312" w:eastAsia="仿宋_GB2312"/>
                          </w:rPr>
                          <w:t xml:space="preserve"> Ø巡航扫描：≥8条，每条可添加32个预置点；</w:t>
                        </w:r>
                        <w:r>
                          <w:br/>
                        </w:r>
                        <w:r>
                          <w:rPr>
                            <w:rFonts w:ascii="仿宋_GB2312" w:hAnsi="仿宋_GB2312" w:cs="仿宋_GB2312" w:eastAsia="仿宋_GB2312"/>
                          </w:rPr>
                          <w:t xml:space="preserve"> Ø花样扫描：≥4条，每条路径记录时间大于10分钟；</w:t>
                        </w:r>
                        <w:r>
                          <w:br/>
                        </w:r>
                        <w:r>
                          <w:rPr>
                            <w:rFonts w:ascii="仿宋_GB2312" w:hAnsi="仿宋_GB2312" w:cs="仿宋_GB2312" w:eastAsia="仿宋_GB2312"/>
                          </w:rPr>
                          <w:t xml:space="preserve"> Ø断电记忆：支持；</w:t>
                        </w:r>
                        <w:r>
                          <w:br/>
                        </w:r>
                        <w:r>
                          <w:rPr>
                            <w:rFonts w:ascii="仿宋_GB2312" w:hAnsi="仿宋_GB2312" w:cs="仿宋_GB2312" w:eastAsia="仿宋_GB2312"/>
                          </w:rPr>
                          <w:t xml:space="preserve"> Ø守望功能预置点/花样扫描/巡航扫描/自动扫描/垂直扫描/随机扫描/帧扫描/全景扫描；</w:t>
                        </w:r>
                        <w:r>
                          <w:br/>
                        </w:r>
                        <w:r>
                          <w:rPr>
                            <w:rFonts w:ascii="仿宋_GB2312" w:hAnsi="仿宋_GB2312" w:cs="仿宋_GB2312" w:eastAsia="仿宋_GB2312"/>
                          </w:rPr>
                          <w:t xml:space="preserve"> Ø3D定位支持；</w:t>
                        </w:r>
                        <w:r>
                          <w:br/>
                        </w:r>
                        <w:r>
                          <w:rPr>
                            <w:rFonts w:ascii="仿宋_GB2312" w:hAnsi="仿宋_GB2312" w:cs="仿宋_GB2312" w:eastAsia="仿宋_GB2312"/>
                          </w:rPr>
                          <w:t xml:space="preserve"> Ø方位角信息显示支持；</w:t>
                        </w:r>
                        <w:r>
                          <w:br/>
                        </w:r>
                        <w:r>
                          <w:rPr>
                            <w:rFonts w:ascii="仿宋_GB2312" w:hAnsi="仿宋_GB2312" w:cs="仿宋_GB2312" w:eastAsia="仿宋_GB2312"/>
                          </w:rPr>
                          <w:t xml:space="preserve"> Ø预置点视频冻结支持；</w:t>
                        </w:r>
                        <w:r>
                          <w:br/>
                        </w:r>
                        <w:r>
                          <w:rPr>
                            <w:rFonts w:ascii="仿宋_GB2312" w:hAnsi="仿宋_GB2312" w:cs="仿宋_GB2312" w:eastAsia="仿宋_GB2312"/>
                          </w:rPr>
                          <w:t xml:space="preserve"> Ø跟踪：手动跟踪，事件跟踪，支持多场景巡航跟踪</w:t>
                        </w:r>
                        <w:r>
                          <w:br/>
                        </w:r>
                        <w:r>
                          <w:rPr>
                            <w:rFonts w:ascii="仿宋_GB2312" w:hAnsi="仿宋_GB2312" w:cs="仿宋_GB2312" w:eastAsia="仿宋_GB2312"/>
                          </w:rPr>
                          <w:t xml:space="preserve"> Ø录像：断网续传，智能后检索报警联动：预置点，巡航扫描，花样扫描，SD卡录像，报警输出，邮件，上传中心，上传FTP，声音报警，NAS录像</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5</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一体化网络云台摄像机立柱</w:t>
                        </w:r>
                      </w:p>
                    </w:tc>
                    <w:tc>
                      <w:tcPr>
                        <w:tcW w:type="dxa" w:w="91"/>
                      </w:tcPr>
                      <w:p>
                        <w:pPr>
                          <w:pStyle w:val="null3"/>
                        </w:pPr>
                        <w:r>
                          <w:rPr>
                            <w:rFonts w:ascii="仿宋_GB2312" w:hAnsi="仿宋_GB2312" w:cs="仿宋_GB2312" w:eastAsia="仿宋_GB2312"/>
                          </w:rPr>
                          <w:t>3处H=7米</w:t>
                        </w:r>
                      </w:p>
                      <w:p>
                        <w:pPr>
                          <w:pStyle w:val="null3"/>
                        </w:pPr>
                        <w:r>
                          <w:rPr>
                            <w:rFonts w:ascii="仿宋_GB2312" w:hAnsi="仿宋_GB2312" w:cs="仿宋_GB2312" w:eastAsia="仿宋_GB2312"/>
                          </w:rPr>
                          <w:t>立杆为上下变径八边形钢管立杆，底径D280，梢径D220，横臂底径D160，梢径D90，立杆表面酸洗除锈后，再进行热镀锌处理，锌层厚不低于88微米。</w:t>
                        </w:r>
                        <w:r>
                          <w:br/>
                        </w:r>
                        <w:r>
                          <w:rPr>
                            <w:rFonts w:ascii="仿宋_GB2312" w:hAnsi="仿宋_GB2312" w:cs="仿宋_GB2312" w:eastAsia="仿宋_GB2312"/>
                          </w:rPr>
                          <w:t xml:space="preserve"> 3.检修门内配熔断器型接线端子一组(5个)。</w:t>
                        </w:r>
                      </w:p>
                      <w:p>
                        <w:pPr>
                          <w:pStyle w:val="null3"/>
                        </w:pPr>
                        <w:r>
                          <w:rPr>
                            <w:rFonts w:ascii="仿宋_GB2312" w:hAnsi="仿宋_GB2312" w:cs="仿宋_GB2312" w:eastAsia="仿宋_GB2312"/>
                          </w:rPr>
                          <w:t>1处H=10米</w:t>
                        </w:r>
                        <w:r>
                          <w:br/>
                        </w:r>
                        <w:r>
                          <w:rPr>
                            <w:rFonts w:ascii="仿宋_GB2312" w:hAnsi="仿宋_GB2312" w:cs="仿宋_GB2312" w:eastAsia="仿宋_GB2312"/>
                          </w:rPr>
                          <w:t xml:space="preserve"> 立杆为上下变径八边形钢管立杆，底径D300，梢径D240,横臂底径D120，梢径D90，立杆表面酸洗除锈后，再进行热镀锌处理，锌层厚不低于88微米。</w:t>
                        </w:r>
                        <w:r>
                          <w:br/>
                        </w:r>
                        <w:r>
                          <w:rPr>
                            <w:rFonts w:ascii="仿宋_GB2312" w:hAnsi="仿宋_GB2312" w:cs="仿宋_GB2312" w:eastAsia="仿宋_GB2312"/>
                          </w:rPr>
                          <w:t xml:space="preserve"> 3.检修门内配熔断器型接线端子一组(5个)。</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4</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一体化网络云台摄像机基础</w:t>
                        </w:r>
                      </w:p>
                    </w:tc>
                    <w:tc>
                      <w:tcPr>
                        <w:tcW w:type="dxa" w:w="91"/>
                      </w:tcPr>
                      <w:p>
                        <w:pPr>
                          <w:pStyle w:val="null3"/>
                        </w:pPr>
                        <w:r>
                          <w:rPr>
                            <w:rFonts w:ascii="仿宋_GB2312" w:hAnsi="仿宋_GB2312" w:cs="仿宋_GB2312" w:eastAsia="仿宋_GB2312"/>
                          </w:rPr>
                          <w:t>1.基础采用混凝土现浇。</w:t>
                        </w:r>
                      </w:p>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个</w:t>
                        </w:r>
                      </w:p>
                    </w:tc>
                    <w:tc>
                      <w:tcPr>
                        <w:tcW w:type="dxa" w:w="182"/>
                        <w:gridSpan w:val="2"/>
                      </w:tcPr>
                      <w:p>
                        <w:pPr>
                          <w:pStyle w:val="null3"/>
                        </w:pPr>
                        <w:r>
                          <w:rPr>
                            <w:rFonts w:ascii="仿宋_GB2312" w:hAnsi="仿宋_GB2312" w:cs="仿宋_GB2312" w:eastAsia="仿宋_GB2312"/>
                          </w:rPr>
                          <w:t>4</w:t>
                        </w:r>
                      </w:p>
                    </w:tc>
                  </w:tr>
                  <w:tr>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智能运维箱</w:t>
                        </w:r>
                      </w:p>
                    </w:tc>
                    <w:tc>
                      <w:tcPr>
                        <w:tcW w:type="dxa" w:w="91"/>
                      </w:tcPr>
                      <w:p>
                        <w:pPr>
                          <w:pStyle w:val="null3"/>
                        </w:pPr>
                        <w:r>
                          <w:rPr>
                            <w:rFonts w:ascii="仿宋_GB2312" w:hAnsi="仿宋_GB2312" w:cs="仿宋_GB2312" w:eastAsia="仿宋_GB2312"/>
                          </w:rPr>
                          <w:t>内部包含自动重合闸、电源防雷器、配电单元等。箱内单元采用模块化安装，每个单元均可独立更换，便于维护和升级，同样具备防雨防尘、耐老化等特点，适用于多种视频监控应用。内置防雷模块、空气开关，输入电压数值检测，提供输入电压过载/欠载报警提示。</w:t>
                        </w:r>
                        <w:r>
                          <w:br/>
                        </w:r>
                        <w:r>
                          <w:rPr>
                            <w:rFonts w:ascii="仿宋_GB2312" w:hAnsi="仿宋_GB2312" w:cs="仿宋_GB2312" w:eastAsia="仿宋_GB2312"/>
                          </w:rPr>
                          <w:t xml:space="preserve"> Ø精准故障定位与检测：能精确分析前端设备健康状态，定位设备故障原因，可细化判断市电故障、摄像机供电故障、短路、过载等10余种故障原因。</w:t>
                        </w:r>
                        <w:r>
                          <w:br/>
                        </w:r>
                        <w:r>
                          <w:rPr>
                            <w:rFonts w:ascii="仿宋_GB2312" w:hAnsi="仿宋_GB2312" w:cs="仿宋_GB2312" w:eastAsia="仿宋_GB2312"/>
                          </w:rPr>
                          <w:t xml:space="preserve"> Ø智能故障修复：采用多重状态检测机制实时分析视频故障，能自动分析判断网络状态，在网络传输设备工作异常时，自动重启相关设备供电进行复位修复，可自动修复前端基础故障。</w:t>
                        </w:r>
                        <w:r>
                          <w:br/>
                        </w:r>
                        <w:r>
                          <w:rPr>
                            <w:rFonts w:ascii="仿宋_GB2312" w:hAnsi="仿宋_GB2312" w:cs="仿宋_GB2312" w:eastAsia="仿宋_GB2312"/>
                          </w:rPr>
                          <w:t xml:space="preserve"> Ø远程监控与管理：配套的后台设备运维管理系统，可远程监测智能运维箱自身及外接设备的状态，如设备状态、电源状态、网络状态等，还能实现远程管理，如信息查询、参数配置、远程开关控制等，通过智能策略减轻运维工作。</w:t>
                        </w:r>
                        <w:r>
                          <w:br/>
                        </w:r>
                        <w:r>
                          <w:rPr>
                            <w:rFonts w:ascii="仿宋_GB2312" w:hAnsi="仿宋_GB2312" w:cs="仿宋_GB2312" w:eastAsia="仿宋_GB2312"/>
                          </w:rPr>
                          <w:t xml:space="preserve"> Ø数据统计与分析：视频智慧运维平台具有在线率指标统计、数据报表分析统计、服务质量考核等功能，智能统计分析运维数据，为决策管理提供依据，提升维护工作的系统化和规范化管理。</w:t>
                        </w:r>
                        <w:r>
                          <w:br/>
                        </w:r>
                        <w:r>
                          <w:rPr>
                            <w:rFonts w:ascii="仿宋_GB2312" w:hAnsi="仿宋_GB2312" w:cs="仿宋_GB2312" w:eastAsia="仿宋_GB2312"/>
                          </w:rPr>
                          <w:t xml:space="preserve"> Ø额定工作电压：交流400V；</w:t>
                        </w:r>
                        <w:r>
                          <w:br/>
                        </w:r>
                        <w:r>
                          <w:rPr>
                            <w:rFonts w:ascii="仿宋_GB2312" w:hAnsi="仿宋_GB2312" w:cs="仿宋_GB2312" w:eastAsia="仿宋_GB2312"/>
                          </w:rPr>
                          <w:t xml:space="preserve"> Ø额定频率：50Hz；</w:t>
                        </w:r>
                        <w:r>
                          <w:br/>
                        </w:r>
                        <w:r>
                          <w:rPr>
                            <w:rFonts w:ascii="仿宋_GB2312" w:hAnsi="仿宋_GB2312" w:cs="仿宋_GB2312" w:eastAsia="仿宋_GB2312"/>
                          </w:rPr>
                          <w:t xml:space="preserve"> Ø额定绝缘电压：交流690V；</w:t>
                        </w:r>
                        <w:r>
                          <w:br/>
                        </w:r>
                        <w:r>
                          <w:rPr>
                            <w:rFonts w:ascii="仿宋_GB2312" w:hAnsi="仿宋_GB2312" w:cs="仿宋_GB2312" w:eastAsia="仿宋_GB2312"/>
                          </w:rPr>
                          <w:t xml:space="preserve"> Ø防护等级：≥IP65，能防止大于1.0mm之物体侵入，防止飞溅的水侵入，防止垂直入夹角小于50度方向所喷射之水。</w:t>
                        </w:r>
                        <w:r>
                          <w:br/>
                        </w:r>
                        <w:r>
                          <w:rPr>
                            <w:rFonts w:ascii="仿宋_GB2312" w:hAnsi="仿宋_GB2312" w:cs="仿宋_GB2312" w:eastAsia="仿宋_GB2312"/>
                          </w:rPr>
                          <w:t xml:space="preserve"> Ø计量单元：可根据不同地区要求，选择不同的表计和计量方式，预装标准三相四线电能表金属挂架，配置标准三相四线防窃电联合接线盒，二次导线采用横截面为4平方毫米的单芯国标塑胶铜线。</w:t>
                        </w:r>
                        <w:r>
                          <w:br/>
                        </w:r>
                        <w:r>
                          <w:rPr>
                            <w:rFonts w:ascii="仿宋_GB2312" w:hAnsi="仿宋_GB2312" w:cs="仿宋_GB2312" w:eastAsia="仿宋_GB2312"/>
                          </w:rPr>
                          <w:t xml:space="preserve"> Ø进线单元：进线选用带弹簧储能的熔断器式隔离开关，配置栅式熔丝片和相间隔弧保护装置，预留标准计量用LMZ型穿心电流互感器位置。</w:t>
                        </w:r>
                        <w:r>
                          <w:br/>
                        </w:r>
                        <w:r>
                          <w:rPr>
                            <w:rFonts w:ascii="仿宋_GB2312" w:hAnsi="仿宋_GB2312" w:cs="仿宋_GB2312" w:eastAsia="仿宋_GB2312"/>
                          </w:rPr>
                          <w:t xml:space="preserve"> Ø防雷保护：元件选择Ⅰ类浪涌保护器，其接地线截面积不小于6平方毫米。</w:t>
                        </w:r>
                        <w:r>
                          <w:br/>
                        </w:r>
                        <w:r>
                          <w:rPr>
                            <w:rFonts w:ascii="仿宋_GB2312" w:hAnsi="仿宋_GB2312" w:cs="仿宋_GB2312" w:eastAsia="仿宋_GB2312"/>
                          </w:rPr>
                          <w:t xml:space="preserve"> Ø接地：装置金属外壳可作为装置内、外部接地的主接地体，统一设公共接地端子，接地端子直径不小于ф12mm，装置门与装置主体间，以及装有电气元件且活动的面板与装置主体间，用6平方毫米铜编织线牢固连接。</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7</w:t>
                        </w:r>
                      </w:p>
                    </w:tc>
                  </w:tr>
                  <w:tr>
                    <w:tc>
                      <w:tcPr>
                        <w:tcW w:type="dxa" w:w="91"/>
                      </w:tcPr>
                      <w:p>
                        <w:pPr>
                          <w:pStyle w:val="null3"/>
                        </w:pPr>
                        <w:r>
                          <w:rPr>
                            <w:rFonts w:ascii="仿宋_GB2312" w:hAnsi="仿宋_GB2312" w:cs="仿宋_GB2312" w:eastAsia="仿宋_GB2312"/>
                          </w:rPr>
                          <w:t>三</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多功能交调站</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激光交调设备</w:t>
                        </w:r>
                      </w:p>
                    </w:tc>
                    <w:tc>
                      <w:tcPr>
                        <w:tcW w:type="dxa" w:w="91"/>
                      </w:tcPr>
                      <w:p>
                        <w:pPr>
                          <w:pStyle w:val="null3"/>
                        </w:pPr>
                        <w:r>
                          <w:rPr>
                            <w:rFonts w:ascii="仿宋_GB2312" w:hAnsi="仿宋_GB2312" w:cs="仿宋_GB2312" w:eastAsia="仿宋_GB2312"/>
                          </w:rPr>
                          <w:t>I级及ABC三个类别设备标准及通信协议；满足交通运输部《普通多功能交通流量调查站技术指南》和《陕西省普通国省干线公路路网运行监测站点建设要求》；</w:t>
                        </w:r>
                        <w:r>
                          <w:br/>
                        </w:r>
                        <w:r>
                          <w:rPr>
                            <w:rFonts w:ascii="仿宋_GB2312" w:hAnsi="仿宋_GB2312" w:cs="仿宋_GB2312" w:eastAsia="仿宋_GB2312"/>
                          </w:rPr>
                          <w:t xml:space="preserve"> Ø流量检测精度≥98%；</w:t>
                        </w:r>
                        <w:r>
                          <w:br/>
                        </w:r>
                        <w:r>
                          <w:rPr>
                            <w:rFonts w:ascii="仿宋_GB2312" w:hAnsi="仿宋_GB2312" w:cs="仿宋_GB2312" w:eastAsia="仿宋_GB2312"/>
                          </w:rPr>
                          <w:t xml:space="preserve"> Ø车型检测精度≥95%；</w:t>
                        </w:r>
                        <w:r>
                          <w:br/>
                        </w:r>
                        <w:r>
                          <w:rPr>
                            <w:rFonts w:ascii="仿宋_GB2312" w:hAnsi="仿宋_GB2312" w:cs="仿宋_GB2312" w:eastAsia="仿宋_GB2312"/>
                          </w:rPr>
                          <w:t xml:space="preserve"> Ø车速检测精度≥92%；</w:t>
                        </w:r>
                        <w:r>
                          <w:br/>
                        </w:r>
                        <w:r>
                          <w:rPr>
                            <w:rFonts w:ascii="仿宋_GB2312" w:hAnsi="仿宋_GB2312" w:cs="仿宋_GB2312" w:eastAsia="仿宋_GB2312"/>
                          </w:rPr>
                          <w:t xml:space="preserve"> Ø检测参数：车行、车速、流量等交通参数；</w:t>
                        </w:r>
                        <w:r>
                          <w:br/>
                        </w:r>
                        <w:r>
                          <w:rPr>
                            <w:rFonts w:ascii="仿宋_GB2312" w:hAnsi="仿宋_GB2312" w:cs="仿宋_GB2312" w:eastAsia="仿宋_GB2312"/>
                          </w:rPr>
                          <w:t xml:space="preserve"> Ø数据接口：RS232/485、RJ45、USB；</w:t>
                        </w:r>
                        <w:r>
                          <w:br/>
                        </w:r>
                        <w:r>
                          <w:rPr>
                            <w:rFonts w:ascii="仿宋_GB2312" w:hAnsi="仿宋_GB2312" w:cs="仿宋_GB2312" w:eastAsia="仿宋_GB2312"/>
                          </w:rPr>
                          <w:t xml:space="preserve"> Ø传输方式：宽带或4G无线网络；</w:t>
                        </w:r>
                        <w:r>
                          <w:br/>
                        </w:r>
                        <w:r>
                          <w:rPr>
                            <w:rFonts w:ascii="仿宋_GB2312" w:hAnsi="仿宋_GB2312" w:cs="仿宋_GB2312" w:eastAsia="仿宋_GB2312"/>
                          </w:rPr>
                          <w:t xml:space="preserve"> Ø数据格式：采用交通运输部交调数据标准格式；</w:t>
                        </w:r>
                        <w:r>
                          <w:br/>
                        </w:r>
                        <w:r>
                          <w:rPr>
                            <w:rFonts w:ascii="仿宋_GB2312" w:hAnsi="仿宋_GB2312" w:cs="仿宋_GB2312" w:eastAsia="仿宋_GB2312"/>
                          </w:rPr>
                          <w:t xml:space="preserve"> Ø检测范围：≥正装6车道；</w:t>
                        </w:r>
                        <w:r>
                          <w:br/>
                        </w:r>
                        <w:r>
                          <w:rPr>
                            <w:rFonts w:ascii="仿宋_GB2312" w:hAnsi="仿宋_GB2312" w:cs="仿宋_GB2312" w:eastAsia="仿宋_GB2312"/>
                          </w:rPr>
                          <w:t xml:space="preserve"> Ø数据存储时间：≥5年；</w:t>
                        </w:r>
                        <w:r>
                          <w:br/>
                        </w:r>
                        <w:r>
                          <w:rPr>
                            <w:rFonts w:ascii="仿宋_GB2312" w:hAnsi="仿宋_GB2312" w:cs="仿宋_GB2312" w:eastAsia="仿宋_GB2312"/>
                          </w:rPr>
                          <w:t xml:space="preserve"> Ø远程管理：B/S架构，IE浏览器管理；</w:t>
                        </w:r>
                        <w:r>
                          <w:br/>
                        </w:r>
                        <w:r>
                          <w:rPr>
                            <w:rFonts w:ascii="仿宋_GB2312" w:hAnsi="仿宋_GB2312" w:cs="仿宋_GB2312" w:eastAsia="仿宋_GB2312"/>
                          </w:rPr>
                          <w:t xml:space="preserve"> Ø通信中断，恢复通信后数据自动上传；</w:t>
                        </w:r>
                        <w:r>
                          <w:br/>
                        </w:r>
                        <w:r>
                          <w:rPr>
                            <w:rFonts w:ascii="仿宋_GB2312" w:hAnsi="仿宋_GB2312" w:cs="仿宋_GB2312" w:eastAsia="仿宋_GB2312"/>
                          </w:rPr>
                          <w:t xml:space="preserve"> Ø支持本地或远程设备状态监测；</w:t>
                        </w:r>
                        <w:r>
                          <w:br/>
                        </w:r>
                        <w:r>
                          <w:rPr>
                            <w:rFonts w:ascii="仿宋_GB2312" w:hAnsi="仿宋_GB2312" w:cs="仿宋_GB2312" w:eastAsia="仿宋_GB2312"/>
                          </w:rPr>
                          <w:t xml:space="preserve"> Ø工作电源：AC220V±15%，50HZ±4%；或直流DC12V；</w:t>
                        </w:r>
                        <w:r>
                          <w:br/>
                        </w:r>
                        <w:r>
                          <w:rPr>
                            <w:rFonts w:ascii="仿宋_GB2312" w:hAnsi="仿宋_GB2312" w:cs="仿宋_GB2312" w:eastAsia="仿宋_GB2312"/>
                          </w:rPr>
                          <w:t xml:space="preserve"> Ø最大功率：≤30W，加热时≤90W（-10℃以下启动加热）</w:t>
                        </w:r>
                        <w:r>
                          <w:br/>
                        </w:r>
                        <w:r>
                          <w:rPr>
                            <w:rFonts w:ascii="仿宋_GB2312" w:hAnsi="仿宋_GB2312" w:cs="仿宋_GB2312" w:eastAsia="仿宋_GB2312"/>
                          </w:rPr>
                          <w:t xml:space="preserve"> Ø大气压力：50Kpa～106Kpa；</w:t>
                        </w:r>
                        <w:r>
                          <w:br/>
                        </w:r>
                        <w:r>
                          <w:rPr>
                            <w:rFonts w:ascii="仿宋_GB2312" w:hAnsi="仿宋_GB2312" w:cs="仿宋_GB2312" w:eastAsia="仿宋_GB2312"/>
                          </w:rPr>
                          <w:t xml:space="preserve"> Ø相对湿度：≤98％；</w:t>
                        </w:r>
                        <w:r>
                          <w:br/>
                        </w:r>
                        <w:r>
                          <w:rPr>
                            <w:rFonts w:ascii="仿宋_GB2312" w:hAnsi="仿宋_GB2312" w:cs="仿宋_GB2312" w:eastAsia="仿宋_GB2312"/>
                          </w:rPr>
                          <w:t xml:space="preserve"> Ø工作温度：J级（-55℃～85℃）；</w:t>
                        </w:r>
                        <w:r>
                          <w:br/>
                        </w:r>
                        <w:r>
                          <w:rPr>
                            <w:rFonts w:ascii="仿宋_GB2312" w:hAnsi="仿宋_GB2312" w:cs="仿宋_GB2312" w:eastAsia="仿宋_GB2312"/>
                          </w:rPr>
                          <w:t xml:space="preserve"> Ø平均无故障时间：≥30000h</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车牌识别相机</w:t>
                        </w:r>
                      </w:p>
                    </w:tc>
                    <w:tc>
                      <w:tcPr>
                        <w:tcW w:type="dxa" w:w="91"/>
                      </w:tcPr>
                      <w:p>
                        <w:pPr>
                          <w:pStyle w:val="null3"/>
                        </w:pPr>
                        <w:r>
                          <w:rPr>
                            <w:rFonts w:ascii="仿宋_GB2312" w:hAnsi="仿宋_GB2312" w:cs="仿宋_GB2312" w:eastAsia="仿宋_GB2312"/>
                          </w:rPr>
                          <w:t>分辨率与帧率：≥1920×1080（全高清），帧率≥25fps，支持H.264/H.265编码，确保图像细节清晰、运动轨迹平滑；</w:t>
                        </w:r>
                        <w:r>
                          <w:br/>
                        </w:r>
                        <w:r>
                          <w:rPr>
                            <w:rFonts w:ascii="仿宋_GB2312" w:hAnsi="仿宋_GB2312" w:cs="仿宋_GB2312" w:eastAsia="仿宋_GB2312"/>
                          </w:rPr>
                          <w:t xml:space="preserve"> Ø识别率：白天≥95%，夜间≥90%（含雨、雾、低照度环境），满足全天候稳定抓拍需求；  </w:t>
                        </w:r>
                        <w:r>
                          <w:br/>
                        </w:r>
                        <w:r>
                          <w:rPr>
                            <w:rFonts w:ascii="仿宋_GB2312" w:hAnsi="仿宋_GB2312" w:cs="仿宋_GB2312" w:eastAsia="仿宋_GB2312"/>
                          </w:rPr>
                          <w:t xml:space="preserve"> 字符识别准确率：全字段（汉字+字母+数字+颜色）识别率≥99.5%，单张处理时间≤ 0.1秒，支持多车牌并发识别（单帧≥3辆）；</w:t>
                        </w:r>
                        <w:r>
                          <w:br/>
                        </w:r>
                        <w:r>
                          <w:rPr>
                            <w:rFonts w:ascii="仿宋_GB2312" w:hAnsi="仿宋_GB2312" w:cs="仿宋_GB2312" w:eastAsia="仿宋_GB2312"/>
                          </w:rPr>
                          <w:t xml:space="preserve"> Ø车牌兼容性：全面支持中国标准车牌（蓝牌、黄牌、新能源、使馆、港澳、军警、临时车牌）及2012式、19式武警等特殊号牌； 抗干扰能力：具备强光抑制、逆光补偿、阴阳牌校正、雨雪天气增强算法，适应西安</w:t>
                        </w:r>
                        <w:r>
                          <w:br/>
                        </w:r>
                        <w:r>
                          <w:rPr>
                            <w:rFonts w:ascii="仿宋_GB2312" w:hAnsi="仿宋_GB2312" w:cs="仿宋_GB2312" w:eastAsia="仿宋_GB2312"/>
                          </w:rPr>
                          <w:t xml:space="preserve"> 地区沙尘、冬季结霜、早晚逆光等复杂光照条件。</w:t>
                        </w:r>
                        <w:r>
                          <w:br/>
                        </w:r>
                        <w:r>
                          <w:rPr>
                            <w:rFonts w:ascii="仿宋_GB2312" w:hAnsi="仿宋_GB2312" w:cs="仿宋_GB2312" w:eastAsia="仿宋_GB2312"/>
                          </w:rPr>
                          <w:t xml:space="preserve"> Ø结构化数据格式：输出字段包含车牌号、颜色、车型、置信度、时间戳、图像JPEG，符合《安全防范视频监控联网系统信息传输、交换、控制技术要求》（GB/T28181-2022）；</w:t>
                        </w:r>
                        <w:r>
                          <w:br/>
                        </w:r>
                        <w:r>
                          <w:rPr>
                            <w:rFonts w:ascii="仿宋_GB2312" w:hAnsi="仿宋_GB2312" w:cs="仿宋_GB2312" w:eastAsia="仿宋_GB2312"/>
                          </w:rPr>
                          <w:t xml:space="preserve"> Ø交通专用数据封装：车牌识别结果需封装为符合《交通气象数据元格式》（QX/T</w:t>
                        </w:r>
                        <w:r>
                          <w:br/>
                        </w:r>
                        <w:r>
                          <w:rPr>
                            <w:rFonts w:ascii="仿宋_GB2312" w:hAnsi="仿宋_GB2312" w:cs="仿宋_GB2312" w:eastAsia="仿宋_GB2312"/>
                          </w:rPr>
                          <w:t xml:space="preserve"> 785-2025）的元数据结构，实现与交调站边缘服务器的无缝对接；</w:t>
                        </w:r>
                        <w:r>
                          <w:br/>
                        </w:r>
                        <w:r>
                          <w:rPr>
                            <w:rFonts w:ascii="仿宋_GB2312" w:hAnsi="仿宋_GB2312" w:cs="仿宋_GB2312" w:eastAsia="仿宋_GB2312"/>
                          </w:rPr>
                          <w:t xml:space="preserve"> Ø接口协议：支持TCP/IP、ONVIF、RTSP、RS485，具备私有协议扩展能力，确保与主流边缘计算平台兼容；</w:t>
                        </w:r>
                        <w:r>
                          <w:br/>
                        </w:r>
                        <w:r>
                          <w:rPr>
                            <w:rFonts w:ascii="仿宋_GB2312" w:hAnsi="仿宋_GB2312" w:cs="仿宋_GB2312" w:eastAsia="仿宋_GB2312"/>
                          </w:rPr>
                          <w:t xml:space="preserve"> Ø时间同步：支持NTP协议，设备与服务器时间误差≤30ms，保障数据时空一致性。</w:t>
                        </w:r>
                        <w:r>
                          <w:br/>
                        </w:r>
                        <w:r>
                          <w:rPr>
                            <w:rFonts w:ascii="仿宋_GB2312" w:hAnsi="仿宋_GB2312" w:cs="仿宋_GB2312" w:eastAsia="仿宋_GB2312"/>
                          </w:rPr>
                          <w:t xml:space="preserve"> Ø防护等级：≥IP65，防尘、防水、防腐蚀，满足陕西西安春季沙尘、冬季低温（-15℃）及雨雪环境长期运行要求；</w:t>
                        </w:r>
                        <w:r>
                          <w:br/>
                        </w:r>
                        <w:r>
                          <w:rPr>
                            <w:rFonts w:ascii="仿宋_GB2312" w:hAnsi="仿宋_GB2312" w:cs="仿宋_GB2312" w:eastAsia="仿宋_GB2312"/>
                          </w:rPr>
                          <w:t xml:space="preserve"> Ø工作温度：-20℃～+60℃宽温运行，具备低温启动、结霜自动除雾、补光功率动态补偿功能；</w:t>
                        </w:r>
                        <w:r>
                          <w:br/>
                        </w:r>
                        <w:r>
                          <w:rPr>
                            <w:rFonts w:ascii="仿宋_GB2312" w:hAnsi="仿宋_GB2312" w:cs="仿宋_GB2312" w:eastAsia="仿宋_GB2312"/>
                          </w:rPr>
                          <w:t xml:space="preserve"> Ø电磁兼容性：符合《电磁兼容试验和测量技术》（GB/T17626系列），在ETC门架强电磁环境下稳定工作，无信号干扰或误触发；</w:t>
                        </w:r>
                        <w:r>
                          <w:br/>
                        </w:r>
                        <w:r>
                          <w:rPr>
                            <w:rFonts w:ascii="仿宋_GB2312" w:hAnsi="仿宋_GB2312" w:cs="仿宋_GB2312" w:eastAsia="仿宋_GB2312"/>
                          </w:rPr>
                          <w:t xml:space="preserve"> Ø防雷设计：内置浪涌保护电路，满足《地面气象观测场（室）雷电防护装置检测技术 规范》（QX/T793-2025）对电子设备的抗雷击要求。</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2</w:t>
                        </w:r>
                      </w:p>
                    </w:tc>
                  </w:tr>
                  <w:tr>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辅助灯光设备</w:t>
                        </w:r>
                      </w:p>
                    </w:tc>
                    <w:tc>
                      <w:tcPr>
                        <w:tcW w:type="dxa" w:w="91"/>
                      </w:tcPr>
                      <w:p>
                        <w:pPr>
                          <w:pStyle w:val="null3"/>
                        </w:pPr>
                        <w:r>
                          <w:rPr>
                            <w:rFonts w:ascii="仿宋_GB2312" w:hAnsi="仿宋_GB2312" w:cs="仿宋_GB2312" w:eastAsia="仿宋_GB2312"/>
                          </w:rPr>
                          <w:t>集成高亮度LED光源和氙气灯管光源；</w:t>
                        </w:r>
                        <w:r>
                          <w:br/>
                        </w:r>
                        <w:r>
                          <w:rPr>
                            <w:rFonts w:ascii="仿宋_GB2312" w:hAnsi="仿宋_GB2312" w:cs="仿宋_GB2312" w:eastAsia="仿宋_GB2312"/>
                          </w:rPr>
                          <w:t xml:space="preserve"> ØLED频闪：支持LED频闪同步相机视频补光，车牌补光效果更好；</w:t>
                        </w:r>
                        <w:r>
                          <w:br/>
                        </w:r>
                        <w:r>
                          <w:rPr>
                            <w:rFonts w:ascii="仿宋_GB2312" w:hAnsi="仿宋_GB2312" w:cs="仿宋_GB2312" w:eastAsia="仿宋_GB2312"/>
                          </w:rPr>
                          <w:t xml:space="preserve"> ØLED爆闪：支持LED爆闪同步相机抓拍补光，车窗内人脸和细节效果更优；</w:t>
                        </w:r>
                        <w:r>
                          <w:br/>
                        </w:r>
                        <w:r>
                          <w:rPr>
                            <w:rFonts w:ascii="仿宋_GB2312" w:hAnsi="仿宋_GB2312" w:cs="仿宋_GB2312" w:eastAsia="仿宋_GB2312"/>
                          </w:rPr>
                          <w:t xml:space="preserve"> Ø白光氙气爆闪：支持白光氙气爆闪功能；</w:t>
                        </w:r>
                        <w:r>
                          <w:br/>
                        </w:r>
                        <w:r>
                          <w:rPr>
                            <w:rFonts w:ascii="仿宋_GB2312" w:hAnsi="仿宋_GB2312" w:cs="仿宋_GB2312" w:eastAsia="仿宋_GB2312"/>
                          </w:rPr>
                          <w:t xml:space="preserve"> Ø红外氙气爆闪：支持红外氙气爆闪功能；</w:t>
                        </w:r>
                        <w:r>
                          <w:br/>
                        </w:r>
                        <w:r>
                          <w:rPr>
                            <w:rFonts w:ascii="仿宋_GB2312" w:hAnsi="仿宋_GB2312" w:cs="仿宋_GB2312" w:eastAsia="仿宋_GB2312"/>
                          </w:rPr>
                          <w:t xml:space="preserve"> Ø自动切换模式：支持红外/白光闪光，可自动切换红外和白光模式；</w:t>
                        </w:r>
                        <w:r>
                          <w:br/>
                        </w:r>
                        <w:r>
                          <w:rPr>
                            <w:rFonts w:ascii="仿宋_GB2312" w:hAnsi="仿宋_GB2312" w:cs="仿宋_GB2312" w:eastAsia="仿宋_GB2312"/>
                          </w:rPr>
                          <w:t xml:space="preserve"> Ø亮度调节：支持相机WEB设置LED频闪灯和氙气爆闪灯亮度；</w:t>
                        </w:r>
                        <w:r>
                          <w:br/>
                        </w:r>
                        <w:r>
                          <w:rPr>
                            <w:rFonts w:ascii="仿宋_GB2312" w:hAnsi="仿宋_GB2312" w:cs="仿宋_GB2312" w:eastAsia="仿宋_GB2312"/>
                          </w:rPr>
                          <w:t xml:space="preserve"> Ø脉宽调节：支持相机WEB设置LED频闪脉宽时间0～3ms；</w:t>
                        </w:r>
                        <w:r>
                          <w:br/>
                        </w:r>
                        <w:r>
                          <w:rPr>
                            <w:rFonts w:ascii="仿宋_GB2312" w:hAnsi="仿宋_GB2312" w:cs="仿宋_GB2312" w:eastAsia="仿宋_GB2312"/>
                          </w:rPr>
                          <w:t xml:space="preserve"> Ø回电时间：爆闪回电时间≤70ms，满足交通摄像机连抓两张的需求；</w:t>
                        </w:r>
                        <w:r>
                          <w:br/>
                        </w:r>
                        <w:r>
                          <w:rPr>
                            <w:rFonts w:ascii="仿宋_GB2312" w:hAnsi="仿宋_GB2312" w:cs="仿宋_GB2312" w:eastAsia="仿宋_GB2312"/>
                          </w:rPr>
                          <w:t xml:space="preserve"> Ø触发方式：支持开关量触发方式；</w:t>
                        </w:r>
                        <w:r>
                          <w:br/>
                        </w:r>
                        <w:r>
                          <w:rPr>
                            <w:rFonts w:ascii="仿宋_GB2312" w:hAnsi="仿宋_GB2312" w:cs="仿宋_GB2312" w:eastAsia="仿宋_GB2312"/>
                          </w:rPr>
                          <w:t xml:space="preserve"> Ø频闪统计：支持统计频闪持续时间，方便计算设备寿命；</w:t>
                        </w:r>
                        <w:r>
                          <w:br/>
                        </w:r>
                        <w:r>
                          <w:rPr>
                            <w:rFonts w:ascii="仿宋_GB2312" w:hAnsi="仿宋_GB2312" w:cs="仿宋_GB2312" w:eastAsia="仿宋_GB2312"/>
                          </w:rPr>
                          <w:t xml:space="preserve"> Ø爆闪计数：支持统计爆闪次数和触发次数，可快速定位现场信号干扰问题；</w:t>
                        </w:r>
                        <w:r>
                          <w:br/>
                        </w:r>
                        <w:r>
                          <w:rPr>
                            <w:rFonts w:ascii="仿宋_GB2312" w:hAnsi="仿宋_GB2312" w:cs="仿宋_GB2312" w:eastAsia="仿宋_GB2312"/>
                          </w:rPr>
                          <w:t xml:space="preserve"> Ø故障显示：具备故障显示功能；</w:t>
                        </w:r>
                        <w:r>
                          <w:br/>
                        </w:r>
                        <w:r>
                          <w:rPr>
                            <w:rFonts w:ascii="仿宋_GB2312" w:hAnsi="仿宋_GB2312" w:cs="仿宋_GB2312" w:eastAsia="仿宋_GB2312"/>
                          </w:rPr>
                          <w:t xml:space="preserve"> Ø具有高度的集成性、自动切换功能、亮度调节、脉宽调节、快速回电时间、多种触发方式和统计功能，适用于交通监控场景，能够提供高效、稳定的补光效果，同时减少光污染和能耗。</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2</w:t>
                        </w:r>
                      </w:p>
                    </w:tc>
                  </w:tr>
                  <w:tr>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立柱</w:t>
                        </w:r>
                      </w:p>
                    </w:tc>
                    <w:tc>
                      <w:tcPr>
                        <w:tcW w:type="dxa" w:w="91"/>
                      </w:tcPr>
                      <w:p>
                        <w:pPr>
                          <w:pStyle w:val="null3"/>
                        </w:pPr>
                        <w:r>
                          <w:rPr>
                            <w:rFonts w:ascii="仿宋_GB2312" w:hAnsi="仿宋_GB2312" w:cs="仿宋_GB2312" w:eastAsia="仿宋_GB2312"/>
                          </w:rPr>
                          <w:t>1、杆高7米，悬臂长7米，杆体含反光膜，标志等。</w:t>
                        </w:r>
                        <w:r>
                          <w:br/>
                        </w:r>
                        <w:r>
                          <w:rPr>
                            <w:rFonts w:ascii="仿宋_GB2312" w:hAnsi="仿宋_GB2312" w:cs="仿宋_GB2312" w:eastAsia="仿宋_GB2312"/>
                          </w:rPr>
                          <w:t xml:space="preserve"> 2、设备立柱顶端应设避雷针，使设备处于保护范围内，确保设备运行安全。设备防雷接地电阻应不大于10欧姆，安全接地电阻不大于4欧姆;当共用接地体时，要求其接地电阻不大于1欧姆..</w:t>
                        </w:r>
                        <w:r>
                          <w:br/>
                        </w:r>
                        <w:r>
                          <w:rPr>
                            <w:rFonts w:ascii="仿宋_GB2312" w:hAnsi="仿宋_GB2312" w:cs="仿宋_GB2312" w:eastAsia="仿宋_GB2312"/>
                          </w:rPr>
                          <w:t xml:space="preserve"> 3、激光交调设备通过支架安装在横杆上。</w:t>
                        </w:r>
                        <w:r>
                          <w:br/>
                        </w:r>
                        <w:r>
                          <w:rPr>
                            <w:rFonts w:ascii="仿宋_GB2312" w:hAnsi="仿宋_GB2312" w:cs="仿宋_GB2312" w:eastAsia="仿宋_GB2312"/>
                          </w:rPr>
                          <w:t xml:space="preserve"> 4、路侧立柱上在迎车方向1/2柱面内设置实体标记，设置高度为路面以上2.2m，采用黄黑相间的倾斜线条，材料选用I类反光膜，每处设置面积为2.5平方米。</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5</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设备箱</w:t>
                        </w:r>
                      </w:p>
                    </w:tc>
                    <w:tc>
                      <w:tcPr>
                        <w:tcW w:type="dxa" w:w="91"/>
                      </w:tcPr>
                      <w:p>
                        <w:pPr>
                          <w:pStyle w:val="null3"/>
                        </w:pPr>
                        <w:r>
                          <w:rPr>
                            <w:rFonts w:ascii="仿宋_GB2312" w:hAnsi="仿宋_GB2312" w:cs="仿宋_GB2312" w:eastAsia="仿宋_GB2312"/>
                          </w:rPr>
                          <w:t>保护等级IP65</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6</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UPS电源</w:t>
                        </w:r>
                      </w:p>
                    </w:tc>
                    <w:tc>
                      <w:tcPr>
                        <w:tcW w:type="dxa" w:w="91"/>
                      </w:tcPr>
                      <w:p>
                        <w:pPr>
                          <w:pStyle w:val="null3"/>
                        </w:pPr>
                        <w:r>
                          <w:rPr>
                            <w:rFonts w:ascii="仿宋_GB2312" w:hAnsi="仿宋_GB2312" w:cs="仿宋_GB2312" w:eastAsia="仿宋_GB2312"/>
                          </w:rPr>
                          <w:t>3组24V/600Ah 锂电池 在线式不间断电源，保电时间大于8小时</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7</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多功能交调站基础</w:t>
                        </w:r>
                      </w:p>
                    </w:tc>
                    <w:tc>
                      <w:tcPr>
                        <w:tcW w:type="dxa" w:w="91"/>
                      </w:tcPr>
                      <w:p>
                        <w:pPr>
                          <w:pStyle w:val="null3"/>
                        </w:pPr>
                        <w:r>
                          <w:rPr>
                            <w:rFonts w:ascii="仿宋_GB2312" w:hAnsi="仿宋_GB2312" w:cs="仿宋_GB2312" w:eastAsia="仿宋_GB2312"/>
                          </w:rPr>
                          <w:t>1.基础采用混凝土现浇。</w:t>
                        </w:r>
                      </w:p>
                    </w:tc>
                    <w:tc>
                      <w:tcPr>
                        <w:tcW w:type="dxa" w:w="91"/>
                      </w:tcPr>
                      <w:p>
                        <w:pPr>
                          <w:pStyle w:val="null3"/>
                        </w:pPr>
                        <w:r>
                          <w:rPr>
                            <w:rFonts w:ascii="仿宋_GB2312" w:hAnsi="仿宋_GB2312" w:cs="仿宋_GB2312" w:eastAsia="仿宋_GB2312"/>
                          </w:rPr>
                          <w:t>套</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四</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精准气象预报预警</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气象监测软件GIS平台服务</w:t>
                        </w:r>
                      </w:p>
                    </w:tc>
                    <w:tc>
                      <w:tcPr>
                        <w:tcW w:type="dxa" w:w="91"/>
                      </w:tcPr>
                      <w:p>
                        <w:pPr>
                          <w:pStyle w:val="null3"/>
                        </w:pPr>
                        <w:r>
                          <w:rPr>
                            <w:rFonts w:ascii="仿宋_GB2312" w:hAnsi="仿宋_GB2312" w:cs="仿宋_GB2312" w:eastAsia="仿宋_GB2312"/>
                          </w:rPr>
                          <w:t>融合路网监测设施的视频及结构化数据，并为后续路网监测设施的建设预留开放性接口。</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大雾能见度监测模块</w:t>
                        </w:r>
                      </w:p>
                    </w:tc>
                    <w:tc>
                      <w:tcPr>
                        <w:tcW w:type="dxa" w:w="91"/>
                      </w:tcPr>
                      <w:p>
                        <w:pPr>
                          <w:pStyle w:val="null3"/>
                        </w:pPr>
                        <w:r>
                          <w:rPr>
                            <w:rFonts w:ascii="仿宋_GB2312" w:hAnsi="仿宋_GB2312" w:cs="仿宋_GB2312" w:eastAsia="仿宋_GB2312"/>
                          </w:rPr>
                          <w:t>建立气象实景视频图像采集，应用机器学习等人工智能，实现路面能见度的实时图像监测和智能识别同步输出。</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风力风速监测模块</w:t>
                        </w:r>
                      </w:p>
                    </w:tc>
                    <w:tc>
                      <w:tcPr>
                        <w:tcW w:type="dxa" w:w="91"/>
                      </w:tcPr>
                      <w:p>
                        <w:pPr>
                          <w:pStyle w:val="null3"/>
                        </w:pPr>
                        <w:r>
                          <w:rPr>
                            <w:rFonts w:ascii="仿宋_GB2312" w:hAnsi="仿宋_GB2312" w:cs="仿宋_GB2312" w:eastAsia="仿宋_GB2312"/>
                          </w:rPr>
                          <w:t>通过气象监测设备，获取精确风速风向数据，结合气象部门既有数据，拟合并预报大风天气。</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道路结冰监测模块</w:t>
                        </w:r>
                      </w:p>
                    </w:tc>
                    <w:tc>
                      <w:tcPr>
                        <w:tcW w:type="dxa" w:w="91"/>
                      </w:tcPr>
                      <w:p>
                        <w:pPr>
                          <w:pStyle w:val="null3"/>
                        </w:pPr>
                        <w:r>
                          <w:rPr>
                            <w:rFonts w:ascii="仿宋_GB2312" w:hAnsi="仿宋_GB2312" w:cs="仿宋_GB2312" w:eastAsia="仿宋_GB2312"/>
                          </w:rPr>
                          <w:t>基于热谱地图技术道路结冰预报预警模型，结合周边气象站，通过路面温度的机器学习，实现提前预警道路面结冰情况。</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5</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短时暴雨监测模块</w:t>
                        </w:r>
                      </w:p>
                    </w:tc>
                    <w:tc>
                      <w:tcPr>
                        <w:tcW w:type="dxa" w:w="91"/>
                      </w:tcPr>
                      <w:p>
                        <w:pPr>
                          <w:pStyle w:val="null3"/>
                        </w:pPr>
                        <w:r>
                          <w:rPr>
                            <w:rFonts w:ascii="仿宋_GB2312" w:hAnsi="仿宋_GB2312" w:cs="仿宋_GB2312" w:eastAsia="仿宋_GB2312"/>
                          </w:rPr>
                          <w:t>对降水多波段雷达进行质控、融合，得到一定时间分辨率、空间分辨率下的融合雷达数据集。</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6</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气象预警服务</w:t>
                        </w:r>
                      </w:p>
                    </w:tc>
                    <w:tc>
                      <w:tcPr>
                        <w:tcW w:type="dxa" w:w="91"/>
                      </w:tcPr>
                      <w:p>
                        <w:pPr>
                          <w:pStyle w:val="null3"/>
                        </w:pPr>
                        <w:r>
                          <w:rPr>
                            <w:rFonts w:ascii="仿宋_GB2312" w:hAnsi="仿宋_GB2312" w:cs="仿宋_GB2312" w:eastAsia="仿宋_GB2312"/>
                          </w:rPr>
                          <w:t>通过相控阵天气雷达网，采集山区公路空间气象资料，实时监测路段区域的天气变化，为突发性灾害天气做出及时预警。</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五</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软件平台及配套服务</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路网监测平台扩展</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G108运行监测</w:t>
                        </w:r>
                      </w:p>
                    </w:tc>
                    <w:tc>
                      <w:tcPr>
                        <w:tcW w:type="dxa" w:w="91"/>
                      </w:tcPr>
                      <w:p>
                        <w:pPr>
                          <w:pStyle w:val="null3"/>
                        </w:pPr>
                        <w:r>
                          <w:rPr>
                            <w:rFonts w:ascii="仿宋_GB2312" w:hAnsi="仿宋_GB2312" w:cs="仿宋_GB2312" w:eastAsia="仿宋_GB2312"/>
                          </w:rPr>
                          <w:t>设备资产管理指标</w:t>
                        </w:r>
                        <w:r>
                          <w:br/>
                        </w:r>
                        <w:r>
                          <w:rPr>
                            <w:rFonts w:ascii="仿宋_GB2312" w:hAnsi="仿宋_GB2312" w:cs="仿宋_GB2312" w:eastAsia="仿宋_GB2312"/>
                          </w:rPr>
                          <w:t xml:space="preserve"> 设备唯一标识率：100%。系统需为所有接入的外场设备（摄像机、气象站、交调设备等）分配全局唯一的身份标识（ID）。</w:t>
                        </w:r>
                        <w:r>
                          <w:br/>
                        </w:r>
                        <w:r>
                          <w:rPr>
                            <w:rFonts w:ascii="仿宋_GB2312" w:hAnsi="仿宋_GB2312" w:cs="仿宋_GB2312" w:eastAsia="仿宋_GB2312"/>
                          </w:rPr>
                          <w:t xml:space="preserve"> 资产信息完整度：≥99%。设备台账需包含设备型号、安装位置（经纬度/桩号）、维护记录等核心字段。</w:t>
                        </w:r>
                        <w:r>
                          <w:br/>
                        </w:r>
                        <w:r>
                          <w:rPr>
                            <w:rFonts w:ascii="仿宋_GB2312" w:hAnsi="仿宋_GB2312" w:cs="仿宋_GB2312" w:eastAsia="仿宋_GB2312"/>
                          </w:rPr>
                          <w:t xml:space="preserve"> GIS检索响应时间：≤2秒。在GIS地图上搜索特定设备或筛选设备状态（在线/离线/故障）的响应延迟不超过2秒。</w:t>
                        </w:r>
                        <w:r>
                          <w:br/>
                        </w:r>
                        <w:r>
                          <w:rPr>
                            <w:rFonts w:ascii="仿宋_GB2312" w:hAnsi="仿宋_GB2312" w:cs="仿宋_GB2312" w:eastAsia="仿宋_GB2312"/>
                          </w:rPr>
                          <w:t xml:space="preserve"> 状态更新实时性：≤5秒。设备在线/离线状态变化推送到台账系统的延迟不超过5秒。</w:t>
                        </w:r>
                        <w:r>
                          <w:br/>
                        </w:r>
                        <w:r>
                          <w:rPr>
                            <w:rFonts w:ascii="仿宋_GB2312" w:hAnsi="仿宋_GB2312" w:cs="仿宋_GB2312" w:eastAsia="仿宋_GB2312"/>
                          </w:rPr>
                          <w:t xml:space="preserve"> 视频监控性能指标</w:t>
                        </w:r>
                        <w:r>
                          <w:br/>
                        </w:r>
                        <w:r>
                          <w:rPr>
                            <w:rFonts w:ascii="仿宋_GB2312" w:hAnsi="仿宋_GB2312" w:cs="仿宋_GB2312" w:eastAsia="仿宋_GB2312"/>
                          </w:rPr>
                          <w:t xml:space="preserve"> 视频接入兼容性：支持GB/T 28181、ONVIF等主流标准协议，兼容新建高清摄像机。</w:t>
                        </w:r>
                        <w:r>
                          <w:br/>
                        </w:r>
                        <w:r>
                          <w:rPr>
                            <w:rFonts w:ascii="仿宋_GB2312" w:hAnsi="仿宋_GB2312" w:cs="仿宋_GB2312" w:eastAsia="仿宋_GB2312"/>
                          </w:rPr>
                          <w:t xml:space="preserve"> 视频预览延迟：≤500毫秒。从摄像头采集到客户端画面显示的端到端延迟控制在500ms以内。</w:t>
                        </w:r>
                        <w:r>
                          <w:br/>
                        </w:r>
                        <w:r>
                          <w:rPr>
                            <w:rFonts w:ascii="仿宋_GB2312" w:hAnsi="仿宋_GB2312" w:cs="仿宋_GB2312" w:eastAsia="仿宋_GB2312"/>
                          </w:rPr>
                          <w:t xml:space="preserve"> 多画面分屏能力：支持至少1/4/9/16画面分屏预览，且切换流畅无卡顿。</w:t>
                        </w:r>
                        <w:r>
                          <w:br/>
                        </w:r>
                        <w:r>
                          <w:rPr>
                            <w:rFonts w:ascii="仿宋_GB2312" w:hAnsi="仿宋_GB2312" w:cs="仿宋_GB2312" w:eastAsia="仿宋_GB2312"/>
                          </w:rPr>
                          <w:t xml:space="preserve"> 录像回溯精度：支持按秒级时间轴检索，检索响应时间≤3秒；支持基于事件标签的快速定位。</w:t>
                        </w:r>
                        <w:r>
                          <w:br/>
                        </w:r>
                        <w:r>
                          <w:rPr>
                            <w:rFonts w:ascii="仿宋_GB2312" w:hAnsi="仿宋_GB2312" w:cs="仿宋_GB2312" w:eastAsia="仿宋_GB2312"/>
                          </w:rPr>
                          <w:t xml:space="preserve"> 元数据叠加：视频画面需支持实时叠加设备位置信息、标准时间戳。</w:t>
                        </w:r>
                        <w:r>
                          <w:br/>
                        </w:r>
                        <w:r>
                          <w:rPr>
                            <w:rFonts w:ascii="仿宋_GB2312" w:hAnsi="仿宋_GB2312" w:cs="仿宋_GB2312" w:eastAsia="仿宋_GB2312"/>
                          </w:rPr>
                          <w:t xml:space="preserve"> 气象数据监测指标</w:t>
                        </w:r>
                        <w:r>
                          <w:br/>
                        </w:r>
                        <w:r>
                          <w:rPr>
                            <w:rFonts w:ascii="仿宋_GB2312" w:hAnsi="仿宋_GB2312" w:cs="仿宋_GB2312" w:eastAsia="仿宋_GB2312"/>
                          </w:rPr>
                          <w:t xml:space="preserve"> 数据同步频率：≤1分钟/次。天气现象智能仪、数字气象站的数据采集与上传频率不低于每分钟一次。</w:t>
                        </w:r>
                        <w:r>
                          <w:br/>
                        </w:r>
                        <w:r>
                          <w:rPr>
                            <w:rFonts w:ascii="仿宋_GB2312" w:hAnsi="仿宋_GB2312" w:cs="仿宋_GB2312" w:eastAsia="仿宋_GB2312"/>
                          </w:rPr>
                          <w:t xml:space="preserve"> 监测参数覆盖：至少包含风速、能见度、路面温度、降水类型等关键指标。</w:t>
                        </w:r>
                        <w:r>
                          <w:br/>
                        </w:r>
                        <w:r>
                          <w:rPr>
                            <w:rFonts w:ascii="仿宋_GB2312" w:hAnsi="仿宋_GB2312" w:cs="仿宋_GB2312" w:eastAsia="仿宋_GB2312"/>
                          </w:rPr>
                          <w:t xml:space="preserve"> 异常标注响应：≤10秒。当监测数据触发阈值（如大雾、结冰）时，地图上动态图标（预警图标）的更新与标注延迟不超过10秒。</w:t>
                        </w:r>
                        <w:r>
                          <w:br/>
                        </w:r>
                        <w:r>
                          <w:rPr>
                            <w:rFonts w:ascii="仿宋_GB2312" w:hAnsi="仿宋_GB2312" w:cs="仿宋_GB2312" w:eastAsia="仿宋_GB2312"/>
                          </w:rPr>
                          <w:t xml:space="preserve"> 数据准确率：≥99.9%。传输过程中的数据丢包率低于0.1%。</w:t>
                        </w:r>
                        <w:r>
                          <w:br/>
                        </w:r>
                        <w:r>
                          <w:rPr>
                            <w:rFonts w:ascii="仿宋_GB2312" w:hAnsi="仿宋_GB2312" w:cs="仿宋_GB2312" w:eastAsia="仿宋_GB2312"/>
                          </w:rPr>
                          <w:t xml:space="preserve"> 车流数据分析指标</w:t>
                        </w:r>
                        <w:r>
                          <w:br/>
                        </w:r>
                        <w:r>
                          <w:rPr>
                            <w:rFonts w:ascii="仿宋_GB2312" w:hAnsi="仿宋_GB2312" w:cs="仿宋_GB2312" w:eastAsia="仿宋_GB2312"/>
                          </w:rPr>
                          <w:t xml:space="preserve"> 数据接入吞吐量：支持≥1000条/秒的并发车流数据写入。</w:t>
                        </w:r>
                        <w:r>
                          <w:br/>
                        </w:r>
                        <w:r>
                          <w:rPr>
                            <w:rFonts w:ascii="仿宋_GB2312" w:hAnsi="仿宋_GB2312" w:cs="仿宋_GB2312" w:eastAsia="仿宋_GB2312"/>
                          </w:rPr>
                          <w:t xml:space="preserve"> 实时指标计算延迟：≤5秒。车流量、车型分布、平均车速等实时指标的计算与展示延迟不超过5秒。</w:t>
                        </w:r>
                        <w:r>
                          <w:br/>
                        </w:r>
                        <w:r>
                          <w:rPr>
                            <w:rFonts w:ascii="仿宋_GB2312" w:hAnsi="仿宋_GB2312" w:cs="仿宋_GB2312" w:eastAsia="仿宋_GB2312"/>
                          </w:rPr>
                          <w:t xml:space="preserve"> 趋势分析维度：支持按小时、日、周、月等多维度自动生成流量趋势曲线。</w:t>
                        </w:r>
                        <w:r>
                          <w:br/>
                        </w:r>
                        <w:r>
                          <w:rPr>
                            <w:rFonts w:ascii="仿宋_GB2312" w:hAnsi="仿宋_GB2312" w:cs="仿宋_GB2312" w:eastAsia="仿宋_GB2312"/>
                          </w:rPr>
                          <w:t xml:space="preserve"> 历史数据存储周期：结构化车流数据存储≥3年，支持快速查询与报表导出。</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路段综合风险评价</w:t>
                        </w:r>
                      </w:p>
                    </w:tc>
                    <w:tc>
                      <w:tcPr>
                        <w:tcW w:type="dxa" w:w="91"/>
                      </w:tcPr>
                      <w:p>
                        <w:pPr>
                          <w:pStyle w:val="null3"/>
                        </w:pPr>
                        <w:r>
                          <w:rPr>
                            <w:rFonts w:ascii="仿宋_GB2312" w:hAnsi="仿宋_GB2312" w:cs="仿宋_GB2312" w:eastAsia="仿宋_GB2312"/>
                          </w:rPr>
                          <w:t>风险指标体系构建</w:t>
                        </w:r>
                        <w:r>
                          <w:br/>
                        </w:r>
                        <w:r>
                          <w:rPr>
                            <w:rFonts w:ascii="仿宋_GB2312" w:hAnsi="仿宋_GB2312" w:cs="仿宋_GB2312" w:eastAsia="仿宋_GB2312"/>
                          </w:rPr>
                          <w:t xml:space="preserve"> 多维度数据融合：系统需支持接入并整合至少三类核心数据：历史事故数据、实时气象数据（如雨雪、大风）、实时路况信息（如拥堵、施工）。</w:t>
                        </w:r>
                        <w:r>
                          <w:br/>
                        </w:r>
                        <w:r>
                          <w:rPr>
                            <w:rFonts w:ascii="仿宋_GB2312" w:hAnsi="仿宋_GB2312" w:cs="仿宋_GB2312" w:eastAsia="仿宋_GB2312"/>
                          </w:rPr>
                          <w:t xml:space="preserve"> 专家知识库支持：指标体系的构建需经过交通工程及安全领域专家的评审与确认，确保评价维度的科学性与权威性。</w:t>
                        </w:r>
                        <w:r>
                          <w:br/>
                        </w:r>
                        <w:r>
                          <w:rPr>
                            <w:rFonts w:ascii="仿宋_GB2312" w:hAnsi="仿宋_GB2312" w:cs="仿宋_GB2312" w:eastAsia="仿宋_GB2312"/>
                          </w:rPr>
                          <w:t xml:space="preserve"> 风险评估算法与模型</w:t>
                        </w:r>
                        <w:r>
                          <w:br/>
                        </w:r>
                        <w:r>
                          <w:rPr>
                            <w:rFonts w:ascii="仿宋_GB2312" w:hAnsi="仿宋_GB2312" w:cs="仿宋_GB2312" w:eastAsia="仿宋_GB2312"/>
                          </w:rPr>
                          <w:t xml:space="preserve"> 综合评价算法：采用模糊综合评价算法或同类成熟算法模型，能够对多源异构数据进行标准化处理与计算。</w:t>
                        </w:r>
                        <w:r>
                          <w:br/>
                        </w:r>
                        <w:r>
                          <w:rPr>
                            <w:rFonts w:ascii="仿宋_GB2312" w:hAnsi="仿宋_GB2312" w:cs="仿宋_GB2312" w:eastAsia="仿宋_GB2312"/>
                          </w:rPr>
                          <w:t xml:space="preserve"> 计算流程自动化：系统需自动完成从数据输入、隶属度计算、权重生成的全流程，无需人工干预。</w:t>
                        </w:r>
                        <w:r>
                          <w:br/>
                        </w:r>
                        <w:r>
                          <w:rPr>
                            <w:rFonts w:ascii="仿宋_GB2312" w:hAnsi="仿宋_GB2312" w:cs="仿宋_GB2312" w:eastAsia="仿宋_GB2312"/>
                          </w:rPr>
                          <w:t xml:space="preserve"> 风险等级划分与展示</w:t>
                        </w:r>
                        <w:r>
                          <w:br/>
                        </w:r>
                        <w:r>
                          <w:rPr>
                            <w:rFonts w:ascii="仿宋_GB2312" w:hAnsi="仿宋_GB2312" w:cs="仿宋_GB2312" w:eastAsia="仿宋_GB2312"/>
                          </w:rPr>
                          <w:t xml:space="preserve"> 四级风险分级：系统必须将路段风险明确划分为四个等级：低风险、中等风险、高风险、极高风险。</w:t>
                        </w:r>
                        <w:r>
                          <w:br/>
                        </w:r>
                        <w:r>
                          <w:rPr>
                            <w:rFonts w:ascii="仿宋_GB2312" w:hAnsi="仿宋_GB2312" w:cs="仿宋_GB2312" w:eastAsia="仿宋_GB2312"/>
                          </w:rPr>
                          <w:t xml:space="preserve"> 可视化展示：在GIS地图或监控大屏上，需通过不同颜色（如绿、黄、橙、红）直观展示各路段当前的实时风险等级。</w:t>
                        </w:r>
                        <w:r>
                          <w:br/>
                        </w:r>
                        <w:r>
                          <w:rPr>
                            <w:rFonts w:ascii="仿宋_GB2312" w:hAnsi="仿宋_GB2312" w:cs="仿宋_GB2312" w:eastAsia="仿宋_GB2312"/>
                          </w:rPr>
                          <w:t xml:space="preserve"> 预警与策略推荐</w:t>
                        </w:r>
                        <w:r>
                          <w:br/>
                        </w:r>
                        <w:r>
                          <w:rPr>
                            <w:rFonts w:ascii="仿宋_GB2312" w:hAnsi="仿宋_GB2312" w:cs="仿宋_GB2312" w:eastAsia="仿宋_GB2312"/>
                          </w:rPr>
                          <w:t xml:space="preserve"> 动态阈值设定：支持根据历史数据和专家经验，为每个风险等级灵活配置预警阈值。</w:t>
                        </w:r>
                        <w:r>
                          <w:br/>
                        </w:r>
                        <w:r>
                          <w:rPr>
                            <w:rFonts w:ascii="仿宋_GB2312" w:hAnsi="仿宋_GB2312" w:cs="仿宋_GB2312" w:eastAsia="仿宋_GB2312"/>
                          </w:rPr>
                          <w:t xml:space="preserve"> 自动触发机制：当实时计算出的风险值达到或超过设定阈值时，系统需在≤5秒内自动触发预警信号。</w:t>
                        </w:r>
                        <w:r>
                          <w:br/>
                        </w:r>
                        <w:r>
                          <w:rPr>
                            <w:rFonts w:ascii="仿宋_GB2312" w:hAnsi="仿宋_GB2312" w:cs="仿宋_GB2312" w:eastAsia="仿宋_GB2312"/>
                          </w:rPr>
                          <w:t xml:space="preserve"> 策略智能匹配：系统需内置风险应对策略知识库，能够根据当前的风险等级和类型，自动推荐相应的处置建议（如限速、封闭、诱导分流等）供管理人员参考。</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事件跟踪</w:t>
                        </w:r>
                      </w:p>
                    </w:tc>
                    <w:tc>
                      <w:tcPr>
                        <w:tcW w:type="dxa" w:w="91"/>
                      </w:tcPr>
                      <w:p>
                        <w:pPr>
                          <w:pStyle w:val="null3"/>
                        </w:pPr>
                        <w:r>
                          <w:rPr>
                            <w:rFonts w:ascii="仿宋_GB2312" w:hAnsi="仿宋_GB2312" w:cs="仿宋_GB2312" w:eastAsia="仿宋_GB2312"/>
                          </w:rPr>
                          <w:t>监控视频快速定位</w:t>
                        </w:r>
                        <w:r>
                          <w:br/>
                        </w:r>
                        <w:r>
                          <w:rPr>
                            <w:rFonts w:ascii="仿宋_GB2312" w:hAnsi="仿宋_GB2312" w:cs="仿宋_GB2312" w:eastAsia="仿宋_GB2312"/>
                          </w:rPr>
                          <w:t xml:space="preserve"> 多模式检索：支持通过电子地图点击定位、路段名称模糊检索、事件类型（如事故、拥堵、施工）筛选三种以上方式查找视频。</w:t>
                        </w:r>
                        <w:r>
                          <w:br/>
                        </w:r>
                        <w:r>
                          <w:rPr>
                            <w:rFonts w:ascii="仿宋_GB2312" w:hAnsi="仿宋_GB2312" w:cs="仿宋_GB2312" w:eastAsia="仿宋_GB2312"/>
                          </w:rPr>
                          <w:t xml:space="preserve"> 视频加载速度：采用视频流预取与缓存技术，确保点击后视频首帧加载时间≤2秒，播放流畅无卡顿。</w:t>
                        </w:r>
                        <w:r>
                          <w:br/>
                        </w:r>
                        <w:r>
                          <w:rPr>
                            <w:rFonts w:ascii="仿宋_GB2312" w:hAnsi="仿宋_GB2312" w:cs="仿宋_GB2312" w:eastAsia="仿宋_GB2312"/>
                          </w:rPr>
                          <w:t xml:space="preserve"> 关联视频推荐：系统能自动识别事件位置，并在地图上高亮显示周边500米范围内的所有可用监控点位。</w:t>
                        </w:r>
                        <w:r>
                          <w:br/>
                        </w:r>
                        <w:r>
                          <w:rPr>
                            <w:rFonts w:ascii="仿宋_GB2312" w:hAnsi="仿宋_GB2312" w:cs="仿宋_GB2312" w:eastAsia="仿宋_GB2312"/>
                          </w:rPr>
                          <w:t xml:space="preserve"> 多源信息整合展示</w:t>
                        </w:r>
                        <w:r>
                          <w:br/>
                        </w:r>
                        <w:r>
                          <w:rPr>
                            <w:rFonts w:ascii="仿宋_GB2312" w:hAnsi="仿宋_GB2312" w:cs="仿宋_GB2312" w:eastAsia="仿宋_GB2312"/>
                          </w:rPr>
                          <w:t xml:space="preserve"> 数据融合能力：能将事件周边的卡口过车数据（车牌、车型、通行时间）与实时气象数据（天气、气温、风速）进行时空关联。</w:t>
                        </w:r>
                        <w:r>
                          <w:br/>
                        </w:r>
                        <w:r>
                          <w:rPr>
                            <w:rFonts w:ascii="仿宋_GB2312" w:hAnsi="仿宋_GB2312" w:cs="仿宋_GB2312" w:eastAsia="仿宋_GB2312"/>
                          </w:rPr>
                          <w:t xml:space="preserve"> 信息展示界面：提供统一的综合事件视图，将视频画面、车辆轨迹、气象信息在同一界面分屏或叠加展示。</w:t>
                        </w:r>
                        <w:r>
                          <w:br/>
                        </w:r>
                        <w:r>
                          <w:rPr>
                            <w:rFonts w:ascii="仿宋_GB2312" w:hAnsi="仿宋_GB2312" w:cs="仿宋_GB2312" w:eastAsia="仿宋_GB2312"/>
                          </w:rPr>
                          <w:t xml:space="preserve"> 数据同步延迟：卡口数据与气象数据在事件发生后的同步延迟不超过10秒。</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AI事件监测</w:t>
                        </w:r>
                      </w:p>
                    </w:tc>
                    <w:tc>
                      <w:tcPr>
                        <w:tcW w:type="dxa" w:w="91"/>
                      </w:tcPr>
                      <w:p>
                        <w:pPr>
                          <w:pStyle w:val="null3"/>
                        </w:pPr>
                        <w:r>
                          <w:rPr>
                            <w:rFonts w:ascii="仿宋_GB2312" w:hAnsi="仿宋_GB2312" w:cs="仿宋_GB2312" w:eastAsia="仿宋_GB2312"/>
                          </w:rPr>
                          <w:t>智能设备接入：支持接入智能视频监控设备，构建可靠的监测感知体系。</w:t>
                        </w:r>
                        <w:r>
                          <w:br/>
                        </w:r>
                        <w:r>
                          <w:rPr>
                            <w:rFonts w:ascii="仿宋_GB2312" w:hAnsi="仿宋_GB2312" w:cs="仿宋_GB2312" w:eastAsia="仿宋_GB2312"/>
                          </w:rPr>
                          <w:t xml:space="preserve"> 风险预警模型</w:t>
                        </w:r>
                        <w:r>
                          <w:br/>
                        </w:r>
                        <w:r>
                          <w:rPr>
                            <w:rFonts w:ascii="仿宋_GB2312" w:hAnsi="仿宋_GB2312" w:cs="仿宋_GB2312" w:eastAsia="仿宋_GB2312"/>
                          </w:rPr>
                          <w:t xml:space="preserve"> 多源数据融合：预警模型需融合历史事件数据库、视频监控实时数据及气象环境因子。</w:t>
                        </w:r>
                        <w:r>
                          <w:br/>
                        </w:r>
                        <w:r>
                          <w:rPr>
                            <w:rFonts w:ascii="仿宋_GB2312" w:hAnsi="仿宋_GB2312" w:cs="仿宋_GB2312" w:eastAsia="仿宋_GB2312"/>
                          </w:rPr>
                          <w:t xml:space="preserve"> 动态评估能力：系统需能对108国道周至山区段全线路段的事件风险进行动态评估与预判。</w:t>
                        </w:r>
                        <w:r>
                          <w:br/>
                        </w:r>
                        <w:r>
                          <w:rPr>
                            <w:rFonts w:ascii="仿宋_GB2312" w:hAnsi="仿宋_GB2312" w:cs="仿宋_GB2312" w:eastAsia="仿宋_GB2312"/>
                          </w:rPr>
                          <w:t xml:space="preserve"> 恶劣天气重点监测：在暴雨、强风等恶劣天气条件下，系统需自动对高风险区域实施重点监测。</w:t>
                        </w:r>
                        <w:r>
                          <w:br/>
                        </w:r>
                        <w:r>
                          <w:rPr>
                            <w:rFonts w:ascii="仿宋_GB2312" w:hAnsi="仿宋_GB2312" w:cs="仿宋_GB2312" w:eastAsia="仿宋_GB2312"/>
                          </w:rPr>
                          <w:t xml:space="preserve"> 系统性能指标</w:t>
                        </w:r>
                        <w:r>
                          <w:br/>
                        </w:r>
                        <w:r>
                          <w:rPr>
                            <w:rFonts w:ascii="仿宋_GB2312" w:hAnsi="仿宋_GB2312" w:cs="仿宋_GB2312" w:eastAsia="仿宋_GB2312"/>
                          </w:rPr>
                          <w:t xml:space="preserve"> 预警响应时间：从事件发生到系统发出预警的响应时间应小于等于5秒。</w:t>
                        </w:r>
                        <w:r>
                          <w:br/>
                        </w:r>
                        <w:r>
                          <w:rPr>
                            <w:rFonts w:ascii="仿宋_GB2312" w:hAnsi="仿宋_GB2312" w:cs="仿宋_GB2312" w:eastAsia="仿宋_GB2312"/>
                          </w:rPr>
                          <w:t xml:space="preserve"> 风险预判准确率：在恶劣天气条件下，高风险区域的事件风险预判准确率应不低于90%。</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-5</w:t>
                        </w:r>
                      </w:p>
                    </w:tc>
                    <w:tc>
                      <w:tcPr>
                        <w:tcW w:type="dxa" w:w="91"/>
                      </w:tcPr>
                      <w:p>
                        <w:pPr>
                          <w:pStyle w:val="null3"/>
                        </w:pPr>
                        <w:r>
                          <w:rPr>
                            <w:rFonts w:ascii="仿宋_GB2312" w:hAnsi="仿宋_GB2312" w:cs="仿宋_GB2312" w:eastAsia="仿宋_GB2312"/>
                          </w:rPr>
                          <w:t>公路运行监测智能体</w:t>
                        </w:r>
                      </w:p>
                    </w:tc>
                    <w:tc>
                      <w:tcPr>
                        <w:tcW w:type="dxa" w:w="91"/>
                      </w:tcPr>
                      <w:p>
                        <w:pPr>
                          <w:pStyle w:val="null3"/>
                        </w:pPr>
                        <w:r>
                          <w:rPr>
                            <w:rFonts w:ascii="仿宋_GB2312" w:hAnsi="仿宋_GB2312" w:cs="仿宋_GB2312" w:eastAsia="仿宋_GB2312"/>
                          </w:rPr>
                          <w:t>应急事件智能感知与处置</w:t>
                        </w:r>
                        <w:r>
                          <w:br/>
                        </w:r>
                        <w:r>
                          <w:rPr>
                            <w:rFonts w:ascii="仿宋_GB2312" w:hAnsi="仿宋_GB2312" w:cs="仿宋_GB2312" w:eastAsia="仿宋_GB2312"/>
                          </w:rPr>
                          <w:t xml:space="preserve"> 信息汇聚：基于微信机器人实时汇聚碎片化事件报告。</w:t>
                        </w:r>
                        <w:r>
                          <w:br/>
                        </w:r>
                        <w:r>
                          <w:rPr>
                            <w:rFonts w:ascii="仿宋_GB2312" w:hAnsi="仿宋_GB2312" w:cs="仿宋_GB2312" w:eastAsia="仿宋_GB2312"/>
                          </w:rPr>
                          <w:t xml:space="preserve"> 要素提取：利用大模型自动提取事件类型、位置、严重程度等关键要素。</w:t>
                        </w:r>
                        <w:r>
                          <w:br/>
                        </w:r>
                        <w:r>
                          <w:rPr>
                            <w:rFonts w:ascii="仿宋_GB2312" w:hAnsi="仿宋_GB2312" w:cs="仿宋_GB2312" w:eastAsia="仿宋_GB2312"/>
                          </w:rPr>
                          <w:t xml:space="preserve"> 响应效率：实现秒级告警并自动生成上报初稿，一键同步至省市级平台，将应急响应发现-上报环节从十分钟级压缩至分钟级。</w:t>
                        </w:r>
                        <w:r>
                          <w:br/>
                        </w:r>
                        <w:r>
                          <w:rPr>
                            <w:rFonts w:ascii="仿宋_GB2312" w:hAnsi="仿宋_GB2312" w:cs="仿宋_GB2312" w:eastAsia="仿宋_GB2312"/>
                          </w:rPr>
                          <w:t xml:space="preserve"> 路网运行监测辅助</w:t>
                        </w:r>
                        <w:r>
                          <w:br/>
                        </w:r>
                        <w:r>
                          <w:rPr>
                            <w:rFonts w:ascii="仿宋_GB2312" w:hAnsi="仿宋_GB2312" w:cs="仿宋_GB2312" w:eastAsia="仿宋_GB2312"/>
                          </w:rPr>
                          <w:t xml:space="preserve"> 数据融合：整合微信碎片信息与气象等外部数据。</w:t>
                        </w:r>
                        <w:r>
                          <w:br/>
                        </w:r>
                        <w:r>
                          <w:rPr>
                            <w:rFonts w:ascii="仿宋_GB2312" w:hAnsi="仿宋_GB2312" w:cs="仿宋_GB2312" w:eastAsia="仿宋_GB2312"/>
                          </w:rPr>
                          <w:t xml:space="preserve"> 关联分析：经大模型关联分析，生成日常巡查清单、动态预警及月度/季度运行报告。</w:t>
                        </w:r>
                        <w:r>
                          <w:br/>
                        </w:r>
                        <w:r>
                          <w:rPr>
                            <w:rFonts w:ascii="仿宋_GB2312" w:hAnsi="仿宋_GB2312" w:cs="仿宋_GB2312" w:eastAsia="仿宋_GB2312"/>
                          </w:rPr>
                          <w:t xml:space="preserve"> 决策支持：辅助管理策略制定，提供路网运行态势、事件信息、重点主体、预警信息等的智能问答。</w:t>
                        </w:r>
                        <w:r>
                          <w:br/>
                        </w:r>
                        <w:r>
                          <w:rPr>
                            <w:rFonts w:ascii="仿宋_GB2312" w:hAnsi="仿宋_GB2312" w:cs="仿宋_GB2312" w:eastAsia="仿宋_GB2312"/>
                          </w:rPr>
                          <w:t xml:space="preserve"> 节假日拥堵及道路保畅建议</w:t>
                        </w:r>
                        <w:r>
                          <w:br/>
                        </w:r>
                        <w:r>
                          <w:rPr>
                            <w:rFonts w:ascii="仿宋_GB2312" w:hAnsi="仿宋_GB2312" w:cs="仿宋_GB2312" w:eastAsia="仿宋_GB2312"/>
                          </w:rPr>
                          <w:t xml:space="preserve"> 拥堵预测：基于历史与实时数据，预测主干道拥堵时段与路段。</w:t>
                        </w:r>
                        <w:r>
                          <w:br/>
                        </w:r>
                        <w:r>
                          <w:rPr>
                            <w:rFonts w:ascii="仿宋_GB2312" w:hAnsi="仿宋_GB2312" w:cs="仿宋_GB2312" w:eastAsia="仿宋_GB2312"/>
                          </w:rPr>
                          <w:t xml:space="preserve"> 保畅方案：自动生成保畅方案，辅助提前干预，保障公众节假日顺畅出行。</w:t>
                        </w:r>
                        <w:r>
                          <w:br/>
                        </w:r>
                        <w:r>
                          <w:rPr>
                            <w:rFonts w:ascii="仿宋_GB2312" w:hAnsi="仿宋_GB2312" w:cs="仿宋_GB2312" w:eastAsia="仿宋_GB2312"/>
                          </w:rPr>
                          <w:t xml:space="preserve"> 恶劣天气突发事件预测及处置建议</w:t>
                        </w:r>
                        <w:r>
                          <w:br/>
                        </w:r>
                        <w:r>
                          <w:rPr>
                            <w:rFonts w:ascii="仿宋_GB2312" w:hAnsi="仿宋_GB2312" w:cs="仿宋_GB2312" w:eastAsia="仿宋_GB2312"/>
                          </w:rPr>
                          <w:t xml:space="preserve"> 风险预测：融合气象预警与实时路网数据，分析特定路段（如桥梁、陡坡）在恶劣天气下的风险。</w:t>
                        </w:r>
                        <w:r>
                          <w:br/>
                        </w:r>
                        <w:r>
                          <w:rPr>
                            <w:rFonts w:ascii="仿宋_GB2312" w:hAnsi="仿宋_GB2312" w:cs="仿宋_GB2312" w:eastAsia="仿宋_GB2312"/>
                          </w:rPr>
                          <w:t xml:space="preserve"> 处置预案：预测突发事件并自动生成包含管制、分流等要素的处置预案，变被动应对为主动预警。</w:t>
                        </w:r>
                        <w:r>
                          <w:br/>
                        </w:r>
                        <w:r>
                          <w:rPr>
                            <w:rFonts w:ascii="仿宋_GB2312" w:hAnsi="仿宋_GB2312" w:cs="仿宋_GB2312" w:eastAsia="仿宋_GB2312"/>
                          </w:rPr>
                          <w:t xml:space="preserve"> 交通管制及群众出行信息发布建议</w:t>
                        </w:r>
                        <w:r>
                          <w:br/>
                        </w:r>
                        <w:r>
                          <w:rPr>
                            <w:rFonts w:ascii="仿宋_GB2312" w:hAnsi="仿宋_GB2312" w:cs="仿宋_GB2312" w:eastAsia="仿宋_GB2312"/>
                          </w:rPr>
                          <w:t xml:space="preserve"> 影响分析：分析管制措施对路网的影响，自动评估最优绕行路径。</w:t>
                        </w:r>
                        <w:r>
                          <w:br/>
                        </w:r>
                        <w:r>
                          <w:rPr>
                            <w:rFonts w:ascii="仿宋_GB2312" w:hAnsi="仿宋_GB2312" w:cs="仿宋_GB2312" w:eastAsia="仿宋_GB2312"/>
                          </w:rPr>
                          <w:t xml:space="preserve"> 信息发布：一键生成精准的公众出行提示，并推荐多渠道发布策略，提升信息服务效能。</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-6</w:t>
                        </w:r>
                      </w:p>
                    </w:tc>
                    <w:tc>
                      <w:tcPr>
                        <w:tcW w:type="dxa" w:w="91"/>
                      </w:tcPr>
                      <w:p>
                        <w:pPr>
                          <w:pStyle w:val="null3"/>
                        </w:pPr>
                        <w:r>
                          <w:rPr>
                            <w:rFonts w:ascii="仿宋_GB2312" w:hAnsi="仿宋_GB2312" w:cs="仿宋_GB2312" w:eastAsia="仿宋_GB2312"/>
                          </w:rPr>
                          <w:t>整合发布渠道</w:t>
                        </w:r>
                      </w:p>
                    </w:tc>
                    <w:tc>
                      <w:tcPr>
                        <w:tcW w:type="dxa" w:w="91"/>
                      </w:tcPr>
                      <w:p>
                        <w:pPr>
                          <w:pStyle w:val="null3"/>
                        </w:pPr>
                        <w:r>
                          <w:rPr>
                            <w:rFonts w:ascii="仿宋_GB2312" w:hAnsi="仿宋_GB2312" w:cs="仿宋_GB2312" w:eastAsia="仿宋_GB2312"/>
                          </w:rPr>
                          <w:t>扩展直播视频推送上限，新增临时公告模块提升直播间提醒能力，增强字幕轮播频率，并支持在线实时编辑字幕。</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“西安路网”小程序扩容</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气象监测信息</w:t>
                        </w:r>
                      </w:p>
                    </w:tc>
                    <w:tc>
                      <w:tcPr>
                        <w:tcW w:type="dxa" w:w="91"/>
                      </w:tcPr>
                      <w:p>
                        <w:pPr>
                          <w:pStyle w:val="null3"/>
                        </w:pPr>
                        <w:r>
                          <w:rPr>
                            <w:rFonts w:ascii="仿宋_GB2312" w:hAnsi="仿宋_GB2312" w:cs="仿宋_GB2312" w:eastAsia="仿宋_GB2312"/>
                          </w:rPr>
                          <w:t>实时数据接入与可视化</w:t>
                        </w:r>
                        <w:r>
                          <w:br/>
                        </w:r>
                        <w:r>
                          <w:rPr>
                            <w:rFonts w:ascii="仿宋_GB2312" w:hAnsi="仿宋_GB2312" w:cs="仿宋_GB2312" w:eastAsia="仿宋_GB2312"/>
                          </w:rPr>
                          <w:t xml:space="preserve"> 数据接入能力：系统需具备接入气象部门实时数据流的能力，确保气象信息的及时更新。</w:t>
                        </w:r>
                        <w:r>
                          <w:br/>
                        </w:r>
                        <w:r>
                          <w:rPr>
                            <w:rFonts w:ascii="仿宋_GB2312" w:hAnsi="仿宋_GB2312" w:cs="仿宋_GB2312" w:eastAsia="仿宋_GB2312"/>
                          </w:rPr>
                          <w:t xml:space="preserve"> 可视化界面：设计直观的气象数据展示界面，能够以图表、地图等形式清晰呈现当前气象状况。</w:t>
                        </w:r>
                        <w:r>
                          <w:br/>
                        </w:r>
                        <w:r>
                          <w:rPr>
                            <w:rFonts w:ascii="仿宋_GB2312" w:hAnsi="仿宋_GB2312" w:cs="仿宋_GB2312" w:eastAsia="仿宋_GB2312"/>
                          </w:rPr>
                          <w:t xml:space="preserve"> 气象灾害预警功能</w:t>
                        </w:r>
                        <w:r>
                          <w:br/>
                        </w:r>
                        <w:r>
                          <w:rPr>
                            <w:rFonts w:ascii="仿宋_GB2312" w:hAnsi="仿宋_GB2312" w:cs="仿宋_GB2312" w:eastAsia="仿宋_GB2312"/>
                          </w:rPr>
                          <w:t xml:space="preserve"> 预警信息分类：支持接入并分类展示暴雨、大雾、大风、暴雪等多种气象灾害预警。</w:t>
                        </w:r>
                        <w:r>
                          <w:br/>
                        </w:r>
                        <w:r>
                          <w:rPr>
                            <w:rFonts w:ascii="仿宋_GB2312" w:hAnsi="仿宋_GB2312" w:cs="仿宋_GB2312" w:eastAsia="仿宋_GB2312"/>
                          </w:rPr>
                          <w:t xml:space="preserve"> 预警级别展示：按照蓝色、黄色、橙色、红色四个级别对预警信息进行分级，并在小程序中明确标识。</w:t>
                        </w:r>
                        <w:r>
                          <w:br/>
                        </w:r>
                        <w:r>
                          <w:rPr>
                            <w:rFonts w:ascii="仿宋_GB2312" w:hAnsi="仿宋_GB2312" w:cs="仿宋_GB2312" w:eastAsia="仿宋_GB2312"/>
                          </w:rPr>
                          <w:t xml:space="preserve"> 提醒方式：采用弹窗提醒、顶部悬浮提示条等醒目方式，确保用户能第一时间注意到预警信息。</w:t>
                        </w:r>
                        <w:r>
                          <w:br/>
                        </w:r>
                        <w:r>
                          <w:rPr>
                            <w:rFonts w:ascii="仿宋_GB2312" w:hAnsi="仿宋_GB2312" w:cs="仿宋_GB2312" w:eastAsia="仿宋_GB2312"/>
                          </w:rPr>
                          <w:t xml:space="preserve"> 应对建议生成</w:t>
                        </w:r>
                        <w:r>
                          <w:br/>
                        </w:r>
                        <w:r>
                          <w:rPr>
                            <w:rFonts w:ascii="仿宋_GB2312" w:hAnsi="仿宋_GB2312" w:cs="仿宋_GB2312" w:eastAsia="仿宋_GB2312"/>
                          </w:rPr>
                          <w:t xml:space="preserve"> 安全指南整合：针对不同灾害类型，系统需整合相关部门制定的应对措施和安全指南。</w:t>
                        </w:r>
                        <w:r>
                          <w:br/>
                        </w:r>
                        <w:r>
                          <w:rPr>
                            <w:rFonts w:ascii="仿宋_GB2312" w:hAnsi="仿宋_GB2312" w:cs="仿宋_GB2312" w:eastAsia="仿宋_GB2312"/>
                          </w:rPr>
                          <w:t xml:space="preserve"> 建议内容生成：能够生成详细、可操作的应对建议内容，为用户提供具体的行动指导。</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大雾能见度信息</w:t>
                        </w:r>
                      </w:p>
                    </w:tc>
                    <w:tc>
                      <w:tcPr>
                        <w:tcW w:type="dxa" w:w="91"/>
                      </w:tcPr>
                      <w:p>
                        <w:pPr>
                          <w:pStyle w:val="null3"/>
                        </w:pPr>
                        <w:r>
                          <w:rPr>
                            <w:rFonts w:ascii="仿宋_GB2312" w:hAnsi="仿宋_GB2312" w:cs="仿宋_GB2312" w:eastAsia="仿宋_GB2312"/>
                          </w:rPr>
                          <w:t>预警阈值设定</w:t>
                        </w:r>
                        <w:r>
                          <w:br/>
                        </w:r>
                        <w:r>
                          <w:rPr>
                            <w:rFonts w:ascii="仿宋_GB2312" w:hAnsi="仿宋_GB2312" w:cs="仿宋_GB2312" w:eastAsia="仿宋_GB2312"/>
                          </w:rPr>
                          <w:t xml:space="preserve"> 分级预警：依据交通管理规定，设定三个能见度预警阈值：</w:t>
                        </w:r>
                        <w:r>
                          <w:br/>
                        </w:r>
                        <w:r>
                          <w:rPr>
                            <w:rFonts w:ascii="仿宋_GB2312" w:hAnsi="仿宋_GB2312" w:cs="仿宋_GB2312" w:eastAsia="仿宋_GB2312"/>
                          </w:rPr>
                          <w:t xml:space="preserve"> 一级预警：能见度 &lt; 200米</w:t>
                        </w:r>
                        <w:r>
                          <w:br/>
                        </w:r>
                        <w:r>
                          <w:rPr>
                            <w:rFonts w:ascii="仿宋_GB2312" w:hAnsi="仿宋_GB2312" w:cs="仿宋_GB2312" w:eastAsia="仿宋_GB2312"/>
                          </w:rPr>
                          <w:t xml:space="preserve"> 二级预警：能见度 &lt; 100米</w:t>
                        </w:r>
                        <w:r>
                          <w:br/>
                        </w:r>
                        <w:r>
                          <w:rPr>
                            <w:rFonts w:ascii="仿宋_GB2312" w:hAnsi="仿宋_GB2312" w:cs="仿宋_GB2312" w:eastAsia="仿宋_GB2312"/>
                          </w:rPr>
                          <w:t xml:space="preserve"> 三级预警：能见度 &lt; 50米</w:t>
                        </w:r>
                        <w:r>
                          <w:br/>
                        </w:r>
                        <w:r>
                          <w:rPr>
                            <w:rFonts w:ascii="仿宋_GB2312" w:hAnsi="仿宋_GB2312" w:cs="仿宋_GB2312" w:eastAsia="仿宋_GB2312"/>
                          </w:rPr>
                          <w:t xml:space="preserve"> 阈值可配置：系统支持管理人员根据实际路段情况调整上述阈值。</w:t>
                        </w:r>
                        <w:r>
                          <w:br/>
                        </w:r>
                        <w:r>
                          <w:rPr>
                            <w:rFonts w:ascii="仿宋_GB2312" w:hAnsi="仿宋_GB2312" w:cs="仿宋_GB2312" w:eastAsia="仿宋_GB2312"/>
                          </w:rPr>
                          <w:t xml:space="preserve"> 数据监测与接入</w:t>
                        </w:r>
                        <w:r>
                          <w:br/>
                        </w:r>
                        <w:r>
                          <w:rPr>
                            <w:rFonts w:ascii="仿宋_GB2312" w:hAnsi="仿宋_GB2312" w:cs="仿宋_GB2312" w:eastAsia="仿宋_GB2312"/>
                          </w:rPr>
                          <w:t xml:space="preserve"> 多源数据支持：系统需同时支持接入公路沿线的实时能见度监测设备数据，以及气象部门发布的能见度预报信息。</w:t>
                        </w:r>
                        <w:r>
                          <w:br/>
                        </w:r>
                        <w:r>
                          <w:rPr>
                            <w:rFonts w:ascii="仿宋_GB2312" w:hAnsi="仿宋_GB2312" w:cs="仿宋_GB2312" w:eastAsia="仿宋_GB2312"/>
                          </w:rPr>
                          <w:t xml:space="preserve"> 实时监测：后台需对大雾天气下的能见度数据进行7x24小时不间断监测。</w:t>
                        </w:r>
                        <w:r>
                          <w:br/>
                        </w:r>
                        <w:r>
                          <w:rPr>
                            <w:rFonts w:ascii="仿宋_GB2312" w:hAnsi="仿宋_GB2312" w:cs="仿宋_GB2312" w:eastAsia="仿宋_GB2312"/>
                          </w:rPr>
                          <w:t xml:space="preserve"> 预警触发机制</w:t>
                        </w:r>
                        <w:r>
                          <w:br/>
                        </w:r>
                        <w:r>
                          <w:rPr>
                            <w:rFonts w:ascii="仿宋_GB2312" w:hAnsi="仿宋_GB2312" w:cs="仿宋_GB2312" w:eastAsia="仿宋_GB2312"/>
                          </w:rPr>
                          <w:t xml:space="preserve"> 自动触发：当监测到的实时能见度或预报能见度低于设定阈值时，系统应自动触发对应级别的预警。</w:t>
                        </w:r>
                        <w:r>
                          <w:br/>
                        </w:r>
                        <w:r>
                          <w:rPr>
                            <w:rFonts w:ascii="仿宋_GB2312" w:hAnsi="仿宋_GB2312" w:cs="仿宋_GB2312" w:eastAsia="仿宋_GB2312"/>
                          </w:rPr>
                          <w:t xml:space="preserve"> 响应时效：从数据更新到预警触发的延迟应小于1分钟。</w:t>
                        </w:r>
                      </w:p>
                    </w:tc>
                    <w:tc>
                      <w:tcPr>
                        <w:tcW w:type="dxa" w:w="91"/>
                      </w:tcPr>
                      <w:p>
                        <w:pPr>
                          <w:pStyle w:val="null3"/>
                        </w:pPr>
                        <w:r>
                          <w:rPr>
                            <w:rFonts w:ascii="仿宋_GB2312" w:hAnsi="仿宋_GB2312" w:cs="仿宋_GB2312" w:eastAsia="仿宋_GB2312"/>
                          </w:rPr>
                          <w:t>项</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风力风速信息</w:t>
                        </w:r>
                      </w:p>
                    </w:tc>
                    <w:tc>
                      <w:tcPr>
                        <w:tcW w:type="dxa" w:w="91"/>
                      </w:tcPr>
                      <w:p>
                        <w:pPr>
                          <w:pStyle w:val="null3"/>
                        </w:pPr>
                        <w:r>
                          <w:rPr>
                            <w:rFonts w:ascii="仿宋_GB2312" w:hAnsi="仿宋_GB2312" w:cs="仿宋_GB2312" w:eastAsia="仿宋_GB2312"/>
                          </w:rPr>
                          <w:t>可视化展示方式</w:t>
                        </w:r>
                        <w:r>
                          <w:br/>
                        </w:r>
                        <w:r>
                          <w:rPr>
                            <w:rFonts w:ascii="仿宋_GB2312" w:hAnsi="仿宋_GB2312" w:cs="仿宋_GB2312" w:eastAsia="仿宋_GB2312"/>
                          </w:rPr>
                          <w:t xml:space="preserve"> 动态图标：采用风向标动画和风力等级指示器。</w:t>
                        </w:r>
                        <w:r>
                          <w:br/>
                        </w:r>
                        <w:r>
                          <w:rPr>
                            <w:rFonts w:ascii="仿宋_GB2312" w:hAnsi="仿宋_GB2312" w:cs="仿宋_GB2312" w:eastAsia="仿宋_GB2312"/>
                          </w:rPr>
                          <w:t xml:space="preserve"> 风向标：需根据实时风向数据进行旋转，直观指示风的来向。</w:t>
                        </w:r>
                        <w:r>
                          <w:br/>
                        </w:r>
                        <w:r>
                          <w:rPr>
                            <w:rFonts w:ascii="仿宋_GB2312" w:hAnsi="仿宋_GB2312" w:cs="仿宋_GB2312" w:eastAsia="仿宋_GB2312"/>
                          </w:rPr>
                          <w:t xml:space="preserve"> 风力等级指示器：需使用不同颜色和数字标识当前风力等级（0-12级），便于用户快速识别。</w:t>
                        </w:r>
                        <w:r>
                          <w:br/>
                        </w:r>
                        <w:r>
                          <w:rPr>
                            <w:rFonts w:ascii="仿宋_GB2312" w:hAnsi="仿宋_GB2312" w:cs="仿宋_GB2312" w:eastAsia="仿宋_GB2312"/>
                          </w:rPr>
                          <w:t xml:space="preserve"> 矢量图结合：将动态图标与矢量图相结合，在地图上直观展示各监测点的风向和风速分布情况。</w:t>
                        </w:r>
                        <w:r>
                          <w:br/>
                        </w:r>
                        <w:r>
                          <w:rPr>
                            <w:rFonts w:ascii="仿宋_GB2312" w:hAnsi="仿宋_GB2312" w:cs="仿宋_GB2312" w:eastAsia="仿宋_GB2312"/>
                          </w:rPr>
                          <w:t xml:space="preserve"> 数据呈现要求</w:t>
                        </w:r>
                        <w:r>
                          <w:br/>
                        </w:r>
                        <w:r>
                          <w:rPr>
                            <w:rFonts w:ascii="仿宋_GB2312" w:hAnsi="仿宋_GB2312" w:cs="仿宋_GB2312" w:eastAsia="仿宋_GB2312"/>
                          </w:rPr>
                          <w:t xml:space="preserve"> 实时性：风向标的旋转角度和风力等级指示器的数值需与实时监测数据同步更新。</w:t>
                        </w:r>
                        <w:r>
                          <w:br/>
                        </w:r>
                        <w:r>
                          <w:rPr>
                            <w:rFonts w:ascii="仿宋_GB2312" w:hAnsi="仿宋_GB2312" w:cs="仿宋_GB2312" w:eastAsia="仿宋_GB2312"/>
                          </w:rPr>
                          <w:t xml:space="preserve"> 直观性：用户应能“一目了然”地了解当前的风力情况，无需复杂的解读过程。</w:t>
                        </w:r>
                        <w:r>
                          <w:br/>
                        </w:r>
                        <w:r>
                          <w:rPr>
                            <w:rFonts w:ascii="仿宋_GB2312" w:hAnsi="仿宋_GB2312" w:cs="仿宋_GB2312" w:eastAsia="仿宋_GB2312"/>
                          </w:rPr>
                          <w:t xml:space="preserve"> 数据范围</w:t>
                        </w:r>
                        <w:r>
                          <w:br/>
                        </w:r>
                        <w:r>
                          <w:rPr>
                            <w:rFonts w:ascii="仿宋_GB2312" w:hAnsi="仿宋_GB2312" w:cs="仿宋_GB2312" w:eastAsia="仿宋_GB2312"/>
                          </w:rPr>
                          <w:t xml:space="preserve"> 风力等级覆盖：系统需支持显示0至12级的风力等级。</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道路结冰信息区域预警</w:t>
                        </w:r>
                      </w:p>
                    </w:tc>
                    <w:tc>
                      <w:tcPr>
                        <w:tcW w:type="dxa" w:w="91"/>
                      </w:tcPr>
                      <w:p>
                        <w:pPr>
                          <w:pStyle w:val="null3"/>
                        </w:pPr>
                        <w:r>
                          <w:rPr>
                            <w:rFonts w:ascii="仿宋_GB2312" w:hAnsi="仿宋_GB2312" w:cs="仿宋_GB2312" w:eastAsia="仿宋_GB2312"/>
                          </w:rPr>
                          <w:t>风险评估模型构建</w:t>
                        </w:r>
                        <w:r>
                          <w:br/>
                        </w:r>
                        <w:r>
                          <w:rPr>
                            <w:rFonts w:ascii="仿宋_GB2312" w:hAnsi="仿宋_GB2312" w:cs="仿宋_GB2312" w:eastAsia="仿宋_GB2312"/>
                          </w:rPr>
                          <w:t xml:space="preserve"> 多源数据融合：基于地理信息系统（GIS）基础数据，深度融合实时气象数据（如气温、降水、湿度等），构建道路结冰风险评估模型。</w:t>
                        </w:r>
                        <w:r>
                          <w:br/>
                        </w:r>
                        <w:r>
                          <w:rPr>
                            <w:rFonts w:ascii="仿宋_GB2312" w:hAnsi="仿宋_GB2312" w:cs="仿宋_GB2312" w:eastAsia="仿宋_GB2312"/>
                          </w:rPr>
                          <w:t xml:space="preserve"> 风险研判：模型需具备自动分析能力，能根据气象变化动态评估路段结冰风险等级。</w:t>
                        </w:r>
                        <w:r>
                          <w:br/>
                        </w:r>
                        <w:r>
                          <w:rPr>
                            <w:rFonts w:ascii="仿宋_GB2312" w:hAnsi="仿宋_GB2312" w:cs="仿宋_GB2312" w:eastAsia="仿宋_GB2312"/>
                          </w:rPr>
                          <w:t xml:space="preserve"> 精准预警推送</w:t>
                        </w:r>
                        <w:r>
                          <w:br/>
                        </w:r>
                        <w:r>
                          <w:rPr>
                            <w:rFonts w:ascii="仿宋_GB2312" w:hAnsi="仿宋_GB2312" w:cs="仿宋_GB2312" w:eastAsia="仿宋_GB2312"/>
                          </w:rPr>
                          <w:t xml:space="preserve"> 地理位置匹配：利用用户的实时地理位置信息（LBS），与系统判定的结冰风险区域进行空间匹配。</w:t>
                        </w:r>
                        <w:r>
                          <w:br/>
                        </w:r>
                        <w:r>
                          <w:rPr>
                            <w:rFonts w:ascii="仿宋_GB2312" w:hAnsi="仿宋_GB2312" w:cs="仿宋_GB2312" w:eastAsia="仿宋_GB2312"/>
                          </w:rPr>
                          <w:t xml:space="preserve"> 定向推送机制：实现预警信息的精准投送，确保只有身处或即将进入受影响区域的用户才能收到预警，避免无效信息干扰。</w:t>
                        </w:r>
                        <w:r>
                          <w:br/>
                        </w:r>
                        <w:r>
                          <w:rPr>
                            <w:rFonts w:ascii="仿宋_GB2312" w:hAnsi="仿宋_GB2312" w:cs="仿宋_GB2312" w:eastAsia="仿宋_GB2312"/>
                          </w:rPr>
                          <w:t xml:space="preserve"> 预警有效性</w:t>
                        </w:r>
                        <w:r>
                          <w:br/>
                        </w:r>
                        <w:r>
                          <w:rPr>
                            <w:rFonts w:ascii="仿宋_GB2312" w:hAnsi="仿宋_GB2312" w:cs="仿宋_GB2312" w:eastAsia="仿宋_GB2312"/>
                          </w:rPr>
                          <w:t xml:space="preserve"> 针对性：确保预警信息仅覆盖实际受影响的地理范围。</w:t>
                        </w:r>
                        <w:r>
                          <w:br/>
                        </w:r>
                        <w:r>
                          <w:rPr>
                            <w:rFonts w:ascii="仿宋_GB2312" w:hAnsi="仿宋_GB2312" w:cs="仿宋_GB2312" w:eastAsia="仿宋_GB2312"/>
                          </w:rPr>
                          <w:t xml:space="preserve"> 时效性：保证风险评估与推送的实时性，提高预警的实际应用效果。</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-5</w:t>
                        </w:r>
                      </w:p>
                    </w:tc>
                    <w:tc>
                      <w:tcPr>
                        <w:tcW w:type="dxa" w:w="91"/>
                      </w:tcPr>
                      <w:p>
                        <w:pPr>
                          <w:pStyle w:val="null3"/>
                        </w:pPr>
                        <w:r>
                          <w:rPr>
                            <w:rFonts w:ascii="仿宋_GB2312" w:hAnsi="仿宋_GB2312" w:cs="仿宋_GB2312" w:eastAsia="仿宋_GB2312"/>
                          </w:rPr>
                          <w:t>短时暴雨信息</w:t>
                        </w:r>
                      </w:p>
                    </w:tc>
                    <w:tc>
                      <w:tcPr>
                        <w:tcW w:type="dxa" w:w="91"/>
                      </w:tcPr>
                      <w:p>
                        <w:pPr>
                          <w:pStyle w:val="null3"/>
                        </w:pPr>
                        <w:r>
                          <w:rPr>
                            <w:rFonts w:ascii="仿宋_GB2312" w:hAnsi="仿宋_GB2312" w:cs="仿宋_GB2312" w:eastAsia="仿宋_GB2312"/>
                          </w:rPr>
                          <w:t>气象预测模型应用</w:t>
                        </w:r>
                        <w:r>
                          <w:br/>
                        </w:r>
                        <w:r>
                          <w:rPr>
                            <w:rFonts w:ascii="仿宋_GB2312" w:hAnsi="仿宋_GB2312" w:cs="仿宋_GB2312" w:eastAsia="仿宋_GB2312"/>
                          </w:rPr>
                          <w:t xml:space="preserve"> 先进模型引入：系统需引入如WRF-Chem等先进的气象预测模型，以实现对短时暴雨的高精度预报。</w:t>
                        </w:r>
                        <w:r>
                          <w:br/>
                        </w:r>
                        <w:r>
                          <w:rPr>
                            <w:rFonts w:ascii="仿宋_GB2312" w:hAnsi="仿宋_GB2312" w:cs="仿宋_GB2312" w:eastAsia="仿宋_GB2312"/>
                          </w:rPr>
                          <w:t xml:space="preserve"> 本地化适配：必须结合本地的地形地貌、气候特征等数据，对预测模型进行本地化适配和优化，确保预报结果符合当地实际情况。</w:t>
                        </w:r>
                        <w:r>
                          <w:br/>
                        </w:r>
                        <w:r>
                          <w:rPr>
                            <w:rFonts w:ascii="仿宋_GB2312" w:hAnsi="仿宋_GB2312" w:cs="仿宋_GB2312" w:eastAsia="仿宋_GB2312"/>
                          </w:rPr>
                          <w:t xml:space="preserve"> 个性化避险指南</w:t>
                        </w:r>
                        <w:r>
                          <w:br/>
                        </w:r>
                        <w:r>
                          <w:rPr>
                            <w:rFonts w:ascii="仿宋_GB2312" w:hAnsi="仿宋_GB2312" w:cs="仿宋_GB2312" w:eastAsia="仿宋_GB2312"/>
                          </w:rPr>
                          <w:t xml:space="preserve"> 多维度定制：根据用户的地理位置、出行方式（如驾车、步行）和活动类型，定制个性化的短时暴雨避险指南。</w:t>
                        </w:r>
                        <w:r>
                          <w:br/>
                        </w:r>
                        <w:r>
                          <w:rPr>
                            <w:rFonts w:ascii="仿宋_GB2312" w:hAnsi="仿宋_GB2312" w:cs="仿宋_GB2312" w:eastAsia="仿宋_GB2312"/>
                          </w:rPr>
                          <w:t xml:space="preserve"> 驾驶员专项提示：针对驾驶员群体，提供具体的雨天行车安全注意事项，包括但不限于：降低车速、保持车距、开启雨刮和雾灯等</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-6</w:t>
                        </w:r>
                      </w:p>
                    </w:tc>
                    <w:tc>
                      <w:tcPr>
                        <w:tcW w:type="dxa" w:w="91"/>
                      </w:tcPr>
                      <w:p>
                        <w:pPr>
                          <w:pStyle w:val="null3"/>
                        </w:pPr>
                        <w:r>
                          <w:rPr>
                            <w:rFonts w:ascii="仿宋_GB2312" w:hAnsi="仿宋_GB2312" w:cs="仿宋_GB2312" w:eastAsia="仿宋_GB2312"/>
                          </w:rPr>
                          <w:t>出行助手</w:t>
                        </w:r>
                      </w:p>
                    </w:tc>
                    <w:tc>
                      <w:tcPr>
                        <w:tcW w:type="dxa" w:w="91"/>
                      </w:tcPr>
                      <w:p>
                        <w:pPr>
                          <w:pStyle w:val="null3"/>
                        </w:pPr>
                        <w:r>
                          <w:rPr>
                            <w:rFonts w:ascii="仿宋_GB2312" w:hAnsi="仿宋_GB2312" w:cs="仿宋_GB2312" w:eastAsia="仿宋_GB2312"/>
                          </w:rPr>
                          <w:t>路况地图功能</w:t>
                        </w:r>
                        <w:r>
                          <w:br/>
                        </w:r>
                        <w:r>
                          <w:rPr>
                            <w:rFonts w:ascii="仿宋_GB2312" w:hAnsi="仿宋_GB2312" w:cs="仿宋_GB2312" w:eastAsia="仿宋_GB2312"/>
                          </w:rPr>
                          <w:t xml:space="preserve"> 地图渲染技术：采用先进的地图渲染技术，在小程序中直观展示不同路段的实时路况。</w:t>
                        </w:r>
                        <w:r>
                          <w:br/>
                        </w:r>
                        <w:r>
                          <w:rPr>
                            <w:rFonts w:ascii="仿宋_GB2312" w:hAnsi="仿宋_GB2312" w:cs="仿宋_GB2312" w:eastAsia="仿宋_GB2312"/>
                          </w:rPr>
                          <w:t xml:space="preserve"> 色彩标识体系：使用标准化的色彩系统区分路况等级：</w:t>
                        </w:r>
                        <w:r>
                          <w:br/>
                        </w:r>
                        <w:r>
                          <w:rPr>
                            <w:rFonts w:ascii="仿宋_GB2312" w:hAnsi="仿宋_GB2312" w:cs="仿宋_GB2312" w:eastAsia="仿宋_GB2312"/>
                          </w:rPr>
                          <w:t xml:space="preserve"> 绿色：畅通</w:t>
                        </w:r>
                        <w:r>
                          <w:br/>
                        </w:r>
                        <w:r>
                          <w:rPr>
                            <w:rFonts w:ascii="仿宋_GB2312" w:hAnsi="仿宋_GB2312" w:cs="仿宋_GB2312" w:eastAsia="仿宋_GB2312"/>
                          </w:rPr>
                          <w:t xml:space="preserve"> 黄色：轻度拥堵</w:t>
                        </w:r>
                        <w:r>
                          <w:br/>
                        </w:r>
                        <w:r>
                          <w:rPr>
                            <w:rFonts w:ascii="仿宋_GB2312" w:hAnsi="仿宋_GB2312" w:cs="仿宋_GB2312" w:eastAsia="仿宋_GB2312"/>
                          </w:rPr>
                          <w:t xml:space="preserve"> 橙色：中度拥堵</w:t>
                        </w:r>
                        <w:r>
                          <w:br/>
                        </w:r>
                        <w:r>
                          <w:rPr>
                            <w:rFonts w:ascii="仿宋_GB2312" w:hAnsi="仿宋_GB2312" w:cs="仿宋_GB2312" w:eastAsia="仿宋_GB2312"/>
                          </w:rPr>
                          <w:t xml:space="preserve"> 红色：严重拥堵</w:t>
                        </w:r>
                        <w:r>
                          <w:br/>
                        </w:r>
                        <w:r>
                          <w:rPr>
                            <w:rFonts w:ascii="仿宋_GB2312" w:hAnsi="仿宋_GB2312" w:cs="仿宋_GB2312" w:eastAsia="仿宋_GB2312"/>
                          </w:rPr>
                          <w:t xml:space="preserve"> 交通信息标注：在地图上清晰标注事故多发点、施工路段、收费站等重要交通信息，辅助用户做出出行决策。</w:t>
                        </w:r>
                        <w:r>
                          <w:br/>
                        </w:r>
                        <w:r>
                          <w:rPr>
                            <w:rFonts w:ascii="仿宋_GB2312" w:hAnsi="仿宋_GB2312" w:cs="仿宋_GB2312" w:eastAsia="仿宋_GB2312"/>
                          </w:rPr>
                          <w:t xml:space="preserve"> 交旅助手功能</w:t>
                        </w:r>
                        <w:r>
                          <w:br/>
                        </w:r>
                        <w:r>
                          <w:rPr>
                            <w:rFonts w:ascii="仿宋_GB2312" w:hAnsi="仿宋_GB2312" w:cs="仿宋_GB2312" w:eastAsia="仿宋_GB2312"/>
                          </w:rPr>
                          <w:t xml:space="preserve"> 大模型赋能：依托大模型的文本生成能力，提供智能化的交互体验。</w:t>
                        </w:r>
                        <w:r>
                          <w:br/>
                        </w:r>
                        <w:r>
                          <w:rPr>
                            <w:rFonts w:ascii="仿宋_GB2312" w:hAnsi="仿宋_GB2312" w:cs="仿宋_GB2312" w:eastAsia="仿宋_GB2312"/>
                          </w:rPr>
                          <w:t xml:space="preserve"> 知识库挂载：集成“西安交旅旅游知识库”，确保信息的权威性和准确性。</w:t>
                        </w:r>
                        <w:r>
                          <w:br/>
                        </w:r>
                        <w:r>
                          <w:rPr>
                            <w:rFonts w:ascii="仿宋_GB2312" w:hAnsi="仿宋_GB2312" w:cs="仿宋_GB2312" w:eastAsia="仿宋_GB2312"/>
                          </w:rPr>
                          <w:t xml:space="preserve"> 核心功能：</w:t>
                        </w:r>
                        <w:r>
                          <w:br/>
                        </w:r>
                        <w:r>
                          <w:rPr>
                            <w:rFonts w:ascii="仿宋_GB2312" w:hAnsi="仿宋_GB2312" w:cs="仿宋_GB2312" w:eastAsia="仿宋_GB2312"/>
                          </w:rPr>
                          <w:t xml:space="preserve"> 智能问答：支持用户以自然语言提问，获取交通、旅游相关信息。</w:t>
                        </w:r>
                        <w:r>
                          <w:br/>
                        </w:r>
                        <w:r>
                          <w:rPr>
                            <w:rFonts w:ascii="仿宋_GB2312" w:hAnsi="仿宋_GB2312" w:cs="仿宋_GB2312" w:eastAsia="仿宋_GB2312"/>
                          </w:rPr>
                          <w:t xml:space="preserve"> 个性化路线规划：根据用户需求，提供定制化的出行路线建议。</w:t>
                        </w:r>
                        <w:r>
                          <w:br/>
                        </w:r>
                        <w:r>
                          <w:rPr>
                            <w:rFonts w:ascii="仿宋_GB2312" w:hAnsi="仿宋_GB2312" w:cs="仿宋_GB2312" w:eastAsia="仿宋_GB2312"/>
                          </w:rPr>
                          <w:t xml:space="preserve"> 景点推荐与导览：基于用户偏好和位置，推荐周边景点并提供导览服务。</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-7</w:t>
                        </w:r>
                      </w:p>
                    </w:tc>
                    <w:tc>
                      <w:tcPr>
                        <w:tcW w:type="dxa" w:w="91"/>
                      </w:tcPr>
                      <w:p>
                        <w:pPr>
                          <w:pStyle w:val="null3"/>
                        </w:pPr>
                        <w:r>
                          <w:rPr>
                            <w:rFonts w:ascii="仿宋_GB2312" w:hAnsi="仿宋_GB2312" w:cs="仿宋_GB2312" w:eastAsia="仿宋_GB2312"/>
                          </w:rPr>
                          <w:t>山区公路安全运行态势看板</w:t>
                        </w:r>
                      </w:p>
                    </w:tc>
                    <w:tc>
                      <w:tcPr>
                        <w:tcW w:type="dxa" w:w="91"/>
                      </w:tcPr>
                      <w:p>
                        <w:pPr>
                          <w:pStyle w:val="null3"/>
                        </w:pPr>
                        <w:r>
                          <w:rPr>
                            <w:rFonts w:ascii="仿宋_GB2312" w:hAnsi="仿宋_GB2312" w:cs="仿宋_GB2312" w:eastAsia="仿宋_GB2312"/>
                          </w:rPr>
                          <w:t>多源动态信息接入</w:t>
                        </w:r>
                        <w:r>
                          <w:br/>
                        </w:r>
                        <w:r>
                          <w:rPr>
                            <w:rFonts w:ascii="仿宋_GB2312" w:hAnsi="仿宋_GB2312" w:cs="仿宋_GB2312" w:eastAsia="仿宋_GB2312"/>
                          </w:rPr>
                          <w:t xml:space="preserve"> 数据类型：需接入108国道山区段的多维度动态信息，具体包括：气象信息：交通流量、温度、湿度、降水量、能见度。</w:t>
                        </w:r>
                        <w:r>
                          <w:br/>
                        </w:r>
                        <w:r>
                          <w:rPr>
                            <w:rFonts w:ascii="仿宋_GB2312" w:hAnsi="仿宋_GB2312" w:cs="仿宋_GB2312" w:eastAsia="仿宋_GB2312"/>
                          </w:rPr>
                          <w:t xml:space="preserve"> 交通运行信息：实时路况、事件信息等。</w:t>
                        </w:r>
                        <w:r>
                          <w:br/>
                        </w:r>
                        <w:r>
                          <w:rPr>
                            <w:rFonts w:ascii="仿宋_GB2312" w:hAnsi="仿宋_GB2312" w:cs="仿宋_GB2312" w:eastAsia="仿宋_GB2312"/>
                          </w:rPr>
                          <w:t xml:space="preserve"> 态势看板建设</w:t>
                        </w:r>
                        <w:r>
                          <w:br/>
                        </w:r>
                        <w:r>
                          <w:rPr>
                            <w:rFonts w:ascii="仿宋_GB2312" w:hAnsi="仿宋_GB2312" w:cs="仿宋_GB2312" w:eastAsia="仿宋_GB2312"/>
                          </w:rPr>
                          <w:t xml:space="preserve"> 功能定位：建立专门的“山区公路安全运行态势看板”，作为信息集中展示的核心载体。</w:t>
                        </w:r>
                        <w:r>
                          <w:br/>
                        </w:r>
                        <w:r>
                          <w:rPr>
                            <w:rFonts w:ascii="仿宋_GB2312" w:hAnsi="仿宋_GB2312" w:cs="仿宋_GB2312" w:eastAsia="仿宋_GB2312"/>
                          </w:rPr>
                          <w:t xml:space="preserve"> 视频监控集成：看板需支持远程调阅沿途视频监控画面，实现对现场情况的实时可视化监管。</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-8</w:t>
                        </w:r>
                      </w:p>
                    </w:tc>
                    <w:tc>
                      <w:tcPr>
                        <w:tcW w:type="dxa" w:w="91"/>
                      </w:tcPr>
                      <w:p>
                        <w:pPr>
                          <w:pStyle w:val="null3"/>
                        </w:pPr>
                        <w:r>
                          <w:rPr>
                            <w:rFonts w:ascii="仿宋_GB2312" w:hAnsi="仿宋_GB2312" w:cs="仿宋_GB2312" w:eastAsia="仿宋_GB2312"/>
                          </w:rPr>
                          <w:t>风险隐患地图</w:t>
                        </w:r>
                      </w:p>
                    </w:tc>
                    <w:tc>
                      <w:tcPr>
                        <w:tcW w:type="dxa" w:w="91"/>
                      </w:tcPr>
                      <w:p>
                        <w:pPr>
                          <w:pStyle w:val="null3"/>
                        </w:pPr>
                        <w:r>
                          <w:rPr>
                            <w:rFonts w:ascii="仿宋_GB2312" w:hAnsi="仿宋_GB2312" w:cs="仿宋_GB2312" w:eastAsia="仿宋_GB2312"/>
                          </w:rPr>
                          <w:t>数据驱动：基于前端感知设备（如摄像头、传感器）对公路安全风险隐患的智能识别结果，自动生成动态的公路风险隐患地图。</w:t>
                        </w:r>
                        <w:r>
                          <w:br/>
                        </w:r>
                        <w:r>
                          <w:rPr>
                            <w:rFonts w:ascii="仿宋_GB2312" w:hAnsi="仿宋_GB2312" w:cs="仿宋_GB2312" w:eastAsia="仿宋_GB2312"/>
                          </w:rPr>
                          <w:t xml:space="preserve"> 可视化集成：将识别出的隐患点（如落石、滑坡、积水等）在地图上进行空间化落点，形成可视化的风险分布图层。</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应用支撑</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大模型中台</w:t>
                        </w:r>
                      </w:p>
                    </w:tc>
                    <w:tc>
                      <w:tcPr>
                        <w:tcW w:type="dxa" w:w="91"/>
                      </w:tcPr>
                      <w:p>
                        <w:pPr>
                          <w:pStyle w:val="null3"/>
                        </w:pPr>
                        <w:r>
                          <w:rPr>
                            <w:rFonts w:ascii="仿宋_GB2312" w:hAnsi="仿宋_GB2312" w:cs="仿宋_GB2312" w:eastAsia="仿宋_GB2312"/>
                          </w:rPr>
                          <w:t>承接基模资源调度与智能体全生命周期管理，提供标准化接口支撑上层交通智能体的语义理解、数据融合、智能问答、报告生成等业务。</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GIS一张图扩展</w:t>
                        </w:r>
                      </w:p>
                    </w:tc>
                    <w:tc>
                      <w:tcPr>
                        <w:tcW w:type="dxa" w:w="91"/>
                      </w:tcPr>
                      <w:p>
                        <w:pPr>
                          <w:pStyle w:val="null3"/>
                        </w:pPr>
                        <w:r>
                          <w:rPr>
                            <w:rFonts w:ascii="仿宋_GB2312" w:hAnsi="仿宋_GB2312" w:cs="仿宋_GB2312" w:eastAsia="仿宋_GB2312"/>
                          </w:rPr>
                          <w:t>在GIS一张图扩展108国道基本图层在“在役干线公路基础设施与安全应急数字化平台”一张图基础上，增加108国道山区段公路基础图层，公路动态监测图层，公路风险隐患图层，公路应急资源图层，公路突发事件图层等相关图层。</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数据库建设</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基础数据库</w:t>
                        </w:r>
                      </w:p>
                    </w:tc>
                    <w:tc>
                      <w:tcPr>
                        <w:tcW w:type="dxa" w:w="91"/>
                      </w:tcPr>
                      <w:p>
                        <w:pPr>
                          <w:pStyle w:val="null3"/>
                        </w:pPr>
                        <w:r>
                          <w:rPr>
                            <w:rFonts w:ascii="仿宋_GB2312" w:hAnsi="仿宋_GB2312" w:cs="仿宋_GB2312" w:eastAsia="仿宋_GB2312"/>
                          </w:rPr>
                          <w:t>包括应急人员信息、应急机构信息、应急物资信息等基本信息。</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业务数据库</w:t>
                        </w:r>
                      </w:p>
                    </w:tc>
                    <w:tc>
                      <w:tcPr>
                        <w:tcW w:type="dxa" w:w="91"/>
                      </w:tcPr>
                      <w:p>
                        <w:pPr>
                          <w:pStyle w:val="null3"/>
                        </w:pPr>
                        <w:r>
                          <w:rPr>
                            <w:rFonts w:ascii="仿宋_GB2312" w:hAnsi="仿宋_GB2312" w:cs="仿宋_GB2312" w:eastAsia="仿宋_GB2312"/>
                          </w:rPr>
                          <w:t>包括动态监测信息、案例信息、突发事件信息等和应急业务相关的数据。</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5</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数据资源云服务</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云处理资源</w:t>
                        </w:r>
                      </w:p>
                    </w:tc>
                    <w:tc>
                      <w:tcPr>
                        <w:tcW w:type="dxa" w:w="91"/>
                      </w:tcPr>
                      <w:p>
                        <w:pPr>
                          <w:pStyle w:val="null3"/>
                        </w:pPr>
                        <w:r>
                          <w:rPr>
                            <w:rFonts w:ascii="仿宋_GB2312" w:hAnsi="仿宋_GB2312" w:cs="仿宋_GB2312" w:eastAsia="仿宋_GB2312"/>
                          </w:rPr>
                          <w:t>租用云端服务器完成数据视频的存储和管理</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云计算资源</w:t>
                        </w:r>
                      </w:p>
                    </w:tc>
                    <w:tc>
                      <w:tcPr>
                        <w:tcW w:type="dxa" w:w="91"/>
                      </w:tcPr>
                      <w:p>
                        <w:pPr>
                          <w:pStyle w:val="null3"/>
                        </w:pPr>
                        <w:r>
                          <w:rPr>
                            <w:rFonts w:ascii="仿宋_GB2312" w:hAnsi="仿宋_GB2312" w:cs="仿宋_GB2312" w:eastAsia="仿宋_GB2312"/>
                          </w:rPr>
                          <w:t>租用云端服务器完成路网运行监测智能体和大模型算力资源部署</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网络安全等级保护</w:t>
                        </w:r>
                      </w:p>
                    </w:tc>
                    <w:tc>
                      <w:tcPr>
                        <w:tcW w:type="dxa" w:w="91"/>
                      </w:tcPr>
                      <w:p>
                        <w:pPr>
                          <w:pStyle w:val="null3"/>
                        </w:pPr>
                        <w:r>
                          <w:rPr>
                            <w:rFonts w:ascii="仿宋_GB2312" w:hAnsi="仿宋_GB2312" w:cs="仿宋_GB2312" w:eastAsia="仿宋_GB2312"/>
                          </w:rPr>
                          <w:t>网络安全二级保护</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密码应用安全评估</w:t>
                        </w:r>
                      </w:p>
                    </w:tc>
                    <w:tc>
                      <w:tcPr>
                        <w:tcW w:type="dxa" w:w="91"/>
                      </w:tcPr>
                      <w:p>
                        <w:pPr>
                          <w:pStyle w:val="null3"/>
                        </w:pPr>
                        <w:r>
                          <w:rPr>
                            <w:rFonts w:ascii="仿宋_GB2312" w:hAnsi="仿宋_GB2312" w:cs="仿宋_GB2312" w:eastAsia="仿宋_GB2312"/>
                          </w:rPr>
                          <w:t>密码安全二级评估</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6</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传输系统</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网络、交换机、路由器等</w:t>
                        </w:r>
                      </w:p>
                    </w:tc>
                    <w:tc>
                      <w:tcPr>
                        <w:tcW w:type="dxa" w:w="91"/>
                      </w:tcPr>
                      <w:p>
                        <w:pPr>
                          <w:pStyle w:val="null3"/>
                        </w:pPr>
                        <w:r>
                          <w:rPr>
                            <w:rFonts w:ascii="仿宋_GB2312" w:hAnsi="仿宋_GB2312" w:cs="仿宋_GB2312" w:eastAsia="仿宋_GB2312"/>
                          </w:rPr>
                          <w:t>全双工模式、接口速率不小于10Mbit/s</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六</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线缆及附件</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r>
                    <w:tc>
                      <w:tcPr>
                        <w:tcW w:type="dxa" w:w="91"/>
                      </w:tcPr>
                      <w:p>
                        <w:pPr>
                          <w:pStyle w:val="null3"/>
                        </w:pPr>
                        <w:r>
                          <w:rPr>
                            <w:rFonts w:ascii="仿宋_GB2312" w:hAnsi="仿宋_GB2312" w:cs="仿宋_GB2312" w:eastAsia="仿宋_GB2312"/>
                          </w:rPr>
                          <w:t>1</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光纤</w:t>
                        </w:r>
                      </w:p>
                    </w:tc>
                    <w:tc>
                      <w:tcPr>
                        <w:tcW w:type="dxa" w:w="91"/>
                      </w:tcPr>
                      <w:p>
                        <w:pPr>
                          <w:pStyle w:val="null3"/>
                        </w:pPr>
                        <w:r>
                          <w:rPr>
                            <w:rFonts w:ascii="仿宋_GB2312" w:hAnsi="仿宋_GB2312" w:cs="仿宋_GB2312" w:eastAsia="仿宋_GB2312"/>
                          </w:rPr>
                          <w:t>GYTA-单模光纤G.652.D-8芯</w:t>
                        </w:r>
                      </w:p>
                    </w:tc>
                    <w:tc>
                      <w:tcPr>
                        <w:tcW w:type="dxa" w:w="91"/>
                      </w:tcPr>
                      <w:p>
                        <w:pPr>
                          <w:pStyle w:val="null3"/>
                        </w:pPr>
                        <w:r>
                          <w:rPr>
                            <w:rFonts w:ascii="仿宋_GB2312" w:hAnsi="仿宋_GB2312" w:cs="仿宋_GB2312" w:eastAsia="仿宋_GB2312"/>
                          </w:rPr>
                          <w:t>米</w:t>
                        </w:r>
                      </w:p>
                    </w:tc>
                    <w:tc>
                      <w:tcPr>
                        <w:tcW w:type="dxa" w:w="182"/>
                        <w:gridSpan w:val="2"/>
                      </w:tcPr>
                      <w:p>
                        <w:pPr>
                          <w:pStyle w:val="null3"/>
                        </w:pPr>
                        <w:r>
                          <w:rPr>
                            <w:rFonts w:ascii="仿宋_GB2312" w:hAnsi="仿宋_GB2312" w:cs="仿宋_GB2312" w:eastAsia="仿宋_GB2312"/>
                          </w:rPr>
                          <w:t>2380</w:t>
                        </w:r>
                      </w:p>
                    </w:tc>
                  </w:tr>
                  <w:tr>
                    <w:tc>
                      <w:tcPr>
                        <w:tcW w:type="dxa" w:w="91"/>
                      </w:tcPr>
                      <w:p>
                        <w:pPr>
                          <w:pStyle w:val="null3"/>
                        </w:pPr>
                        <w:r>
                          <w:rPr>
                            <w:rFonts w:ascii="仿宋_GB2312" w:hAnsi="仿宋_GB2312" w:cs="仿宋_GB2312" w:eastAsia="仿宋_GB2312"/>
                          </w:rPr>
                          <w:t>2</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网线</w:t>
                        </w:r>
                      </w:p>
                    </w:tc>
                    <w:tc>
                      <w:tcPr>
                        <w:tcW w:type="dxa" w:w="91"/>
                      </w:tcPr>
                      <w:p>
                        <w:pPr>
                          <w:pStyle w:val="null3"/>
                        </w:pPr>
                        <w:r>
                          <w:rPr>
                            <w:rFonts w:ascii="仿宋_GB2312" w:hAnsi="仿宋_GB2312" w:cs="仿宋_GB2312" w:eastAsia="仿宋_GB2312"/>
                          </w:rPr>
                          <w:t>六类网线Cat6</w:t>
                        </w:r>
                      </w:p>
                    </w:tc>
                    <w:tc>
                      <w:tcPr>
                        <w:tcW w:type="dxa" w:w="91"/>
                      </w:tcPr>
                      <w:p>
                        <w:pPr>
                          <w:pStyle w:val="null3"/>
                        </w:pPr>
                        <w:r>
                          <w:rPr>
                            <w:rFonts w:ascii="仿宋_GB2312" w:hAnsi="仿宋_GB2312" w:cs="仿宋_GB2312" w:eastAsia="仿宋_GB2312"/>
                          </w:rPr>
                          <w:t>米</w:t>
                        </w:r>
                      </w:p>
                    </w:tc>
                    <w:tc>
                      <w:tcPr>
                        <w:tcW w:type="dxa" w:w="182"/>
                        <w:gridSpan w:val="2"/>
                      </w:tcPr>
                      <w:p>
                        <w:pPr>
                          <w:pStyle w:val="null3"/>
                        </w:pPr>
                        <w:r>
                          <w:rPr>
                            <w:rFonts w:ascii="仿宋_GB2312" w:hAnsi="仿宋_GB2312" w:cs="仿宋_GB2312" w:eastAsia="仿宋_GB2312"/>
                          </w:rPr>
                          <w:t>300</w:t>
                        </w:r>
                      </w:p>
                    </w:tc>
                  </w:tr>
                  <w:tr>
                    <w:tc>
                      <w:tcPr>
                        <w:tcW w:type="dxa" w:w="91"/>
                      </w:tcPr>
                      <w:p>
                        <w:pPr>
                          <w:pStyle w:val="null3"/>
                        </w:pPr>
                        <w:r>
                          <w:rPr>
                            <w:rFonts w:ascii="仿宋_GB2312" w:hAnsi="仿宋_GB2312" w:cs="仿宋_GB2312" w:eastAsia="仿宋_GB2312"/>
                          </w:rPr>
                          <w:t>3</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电力电缆</w:t>
                        </w:r>
                      </w:p>
                    </w:tc>
                    <w:tc>
                      <w:tcPr>
                        <w:tcW w:type="dxa" w:w="91"/>
                      </w:tcPr>
                      <w:p>
                        <w:pPr>
                          <w:pStyle w:val="null3"/>
                        </w:pPr>
                        <w:r>
                          <w:rPr>
                            <w:rFonts w:ascii="仿宋_GB2312" w:hAnsi="仿宋_GB2312" w:cs="仿宋_GB2312" w:eastAsia="仿宋_GB2312"/>
                          </w:rPr>
                          <w:t>YJV-1kV-2×4mm</w:t>
                        </w:r>
                      </w:p>
                    </w:tc>
                    <w:tc>
                      <w:tcPr>
                        <w:tcW w:type="dxa" w:w="91"/>
                      </w:tcPr>
                      <w:p>
                        <w:pPr>
                          <w:pStyle w:val="null3"/>
                        </w:pPr>
                        <w:r>
                          <w:rPr>
                            <w:rFonts w:ascii="仿宋_GB2312" w:hAnsi="仿宋_GB2312" w:cs="仿宋_GB2312" w:eastAsia="仿宋_GB2312"/>
                          </w:rPr>
                          <w:t>米</w:t>
                        </w:r>
                      </w:p>
                    </w:tc>
                    <w:tc>
                      <w:tcPr>
                        <w:tcW w:type="dxa" w:w="182"/>
                        <w:gridSpan w:val="2"/>
                      </w:tcPr>
                      <w:p>
                        <w:pPr>
                          <w:pStyle w:val="null3"/>
                        </w:pPr>
                        <w:r>
                          <w:rPr>
                            <w:rFonts w:ascii="仿宋_GB2312" w:hAnsi="仿宋_GB2312" w:cs="仿宋_GB2312" w:eastAsia="仿宋_GB2312"/>
                          </w:rPr>
                          <w:t>480</w:t>
                        </w:r>
                      </w:p>
                    </w:tc>
                  </w:tr>
                  <w:tr>
                    <w:tc>
                      <w:tcPr>
                        <w:tcW w:type="dxa" w:w="91"/>
                      </w:tcPr>
                      <w:p>
                        <w:pPr>
                          <w:pStyle w:val="null3"/>
                        </w:pPr>
                        <w:r>
                          <w:rPr>
                            <w:rFonts w:ascii="仿宋_GB2312" w:hAnsi="仿宋_GB2312" w:cs="仿宋_GB2312" w:eastAsia="仿宋_GB2312"/>
                          </w:rPr>
                          <w:t>4</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电力电缆</w:t>
                        </w:r>
                      </w:p>
                    </w:tc>
                    <w:tc>
                      <w:tcPr>
                        <w:tcW w:type="dxa" w:w="91"/>
                      </w:tcPr>
                      <w:p>
                        <w:pPr>
                          <w:pStyle w:val="null3"/>
                        </w:pPr>
                        <w:r>
                          <w:rPr>
                            <w:rFonts w:ascii="仿宋_GB2312" w:hAnsi="仿宋_GB2312" w:cs="仿宋_GB2312" w:eastAsia="仿宋_GB2312"/>
                          </w:rPr>
                          <w:t>YJV-1kV-2×6mm</w:t>
                        </w:r>
                      </w:p>
                    </w:tc>
                    <w:tc>
                      <w:tcPr>
                        <w:tcW w:type="dxa" w:w="91"/>
                      </w:tcPr>
                      <w:p>
                        <w:pPr>
                          <w:pStyle w:val="null3"/>
                        </w:pPr>
                        <w:r>
                          <w:rPr>
                            <w:rFonts w:ascii="仿宋_GB2312" w:hAnsi="仿宋_GB2312" w:cs="仿宋_GB2312" w:eastAsia="仿宋_GB2312"/>
                          </w:rPr>
                          <w:t>米</w:t>
                        </w:r>
                      </w:p>
                    </w:tc>
                    <w:tc>
                      <w:tcPr>
                        <w:tcW w:type="dxa" w:w="182"/>
                        <w:gridSpan w:val="2"/>
                      </w:tcPr>
                      <w:p>
                        <w:pPr>
                          <w:pStyle w:val="null3"/>
                        </w:pPr>
                        <w:r>
                          <w:rPr>
                            <w:rFonts w:ascii="仿宋_GB2312" w:hAnsi="仿宋_GB2312" w:cs="仿宋_GB2312" w:eastAsia="仿宋_GB2312"/>
                          </w:rPr>
                          <w:t>1900</w:t>
                        </w:r>
                      </w:p>
                    </w:tc>
                  </w:tr>
                  <w:tr>
                    <w:tc>
                      <w:tcPr>
                        <w:tcW w:type="dxa" w:w="91"/>
                      </w:tcPr>
                      <w:p>
                        <w:pPr>
                          <w:pStyle w:val="null3"/>
                        </w:pPr>
                        <w:r>
                          <w:rPr>
                            <w:rFonts w:ascii="仿宋_GB2312" w:hAnsi="仿宋_GB2312" w:cs="仿宋_GB2312" w:eastAsia="仿宋_GB2312"/>
                          </w:rPr>
                          <w:t>5</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电力电缆</w:t>
                        </w:r>
                      </w:p>
                    </w:tc>
                    <w:tc>
                      <w:tcPr>
                        <w:tcW w:type="dxa" w:w="91"/>
                      </w:tcPr>
                      <w:p>
                        <w:pPr>
                          <w:pStyle w:val="null3"/>
                        </w:pPr>
                        <w:r>
                          <w:rPr>
                            <w:rFonts w:ascii="仿宋_GB2312" w:hAnsi="仿宋_GB2312" w:cs="仿宋_GB2312" w:eastAsia="仿宋_GB2312"/>
                          </w:rPr>
                          <w:t>BV-0.45kV-3×2.5mm</w:t>
                        </w:r>
                      </w:p>
                    </w:tc>
                    <w:tc>
                      <w:tcPr>
                        <w:tcW w:type="dxa" w:w="91"/>
                      </w:tcPr>
                      <w:p>
                        <w:pPr>
                          <w:pStyle w:val="null3"/>
                        </w:pPr>
                        <w:r>
                          <w:rPr>
                            <w:rFonts w:ascii="仿宋_GB2312" w:hAnsi="仿宋_GB2312" w:cs="仿宋_GB2312" w:eastAsia="仿宋_GB2312"/>
                          </w:rPr>
                          <w:t>米</w:t>
                        </w:r>
                      </w:p>
                    </w:tc>
                    <w:tc>
                      <w:tcPr>
                        <w:tcW w:type="dxa" w:w="182"/>
                        <w:gridSpan w:val="2"/>
                      </w:tcPr>
                      <w:p>
                        <w:pPr>
                          <w:pStyle w:val="null3"/>
                        </w:pPr>
                        <w:r>
                          <w:rPr>
                            <w:rFonts w:ascii="仿宋_GB2312" w:hAnsi="仿宋_GB2312" w:cs="仿宋_GB2312" w:eastAsia="仿宋_GB2312"/>
                          </w:rPr>
                          <w:t>800</w:t>
                        </w:r>
                      </w:p>
                    </w:tc>
                  </w:tr>
                  <w:tr>
                    <w:tc>
                      <w:tcPr>
                        <w:tcW w:type="dxa" w:w="91"/>
                      </w:tcPr>
                      <w:p>
                        <w:pPr>
                          <w:pStyle w:val="null3"/>
                        </w:pPr>
                        <w:r>
                          <w:rPr>
                            <w:rFonts w:ascii="仿宋_GB2312" w:hAnsi="仿宋_GB2312" w:cs="仿宋_GB2312" w:eastAsia="仿宋_GB2312"/>
                          </w:rPr>
                          <w:t>6</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监测点运营商专线服务费</w:t>
                        </w:r>
                      </w:p>
                    </w:tc>
                    <w:tc>
                      <w:tcPr>
                        <w:tcW w:type="dxa" w:w="91"/>
                      </w:tcPr>
                      <w:p>
                        <w:pPr>
                          <w:pStyle w:val="null3"/>
                        </w:pPr>
                        <w:r>
                          <w:rPr>
                            <w:rFonts w:ascii="仿宋_GB2312" w:hAnsi="仿宋_GB2312" w:cs="仿宋_GB2312" w:eastAsia="仿宋_GB2312"/>
                          </w:rPr>
                          <w:t>根据现场情况选择运营商网络，按1年计费</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1</w:t>
                        </w:r>
                      </w:p>
                    </w:tc>
                  </w:tr>
                  <w:tr>
                    <w:tc>
                      <w:tcPr>
                        <w:tcW w:type="dxa" w:w="91"/>
                      </w:tcPr>
                      <w:p>
                        <w:pPr>
                          <w:pStyle w:val="null3"/>
                        </w:pPr>
                        <w:r>
                          <w:rPr>
                            <w:rFonts w:ascii="仿宋_GB2312" w:hAnsi="仿宋_GB2312" w:cs="仿宋_GB2312" w:eastAsia="仿宋_GB2312"/>
                          </w:rPr>
                          <w:t>7</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外电引入费</w:t>
                        </w:r>
                      </w:p>
                    </w:tc>
                    <w:tc>
                      <w:tcPr>
                        <w:tcW w:type="dxa" w:w="91"/>
                      </w:tcPr>
                      <w:p>
                        <w:pPr>
                          <w:pStyle w:val="null3"/>
                        </w:pPr>
                        <w:r>
                          <w:rPr>
                            <w:rFonts w:ascii="仿宋_GB2312" w:hAnsi="仿宋_GB2312" w:cs="仿宋_GB2312" w:eastAsia="仿宋_GB2312"/>
                          </w:rPr>
                          <w:t>7处路网监测、1处交调站，就近取电</w:t>
                        </w:r>
                      </w:p>
                    </w:tc>
                    <w:tc>
                      <w:tcPr>
                        <w:tcW w:type="dxa" w:w="91"/>
                      </w:tcPr>
                      <w:p>
                        <w:pPr>
                          <w:pStyle w:val="null3"/>
                        </w:pPr>
                        <w:r>
                          <w:rPr>
                            <w:rFonts w:ascii="仿宋_GB2312" w:hAnsi="仿宋_GB2312" w:cs="仿宋_GB2312" w:eastAsia="仿宋_GB2312"/>
                          </w:rPr>
                          <w:t>项</w:t>
                        </w:r>
                      </w:p>
                    </w:tc>
                    <w:tc>
                      <w:tcPr>
                        <w:tcW w:type="dxa" w:w="182"/>
                        <w:gridSpan w:val="2"/>
                      </w:tcPr>
                      <w:p>
                        <w:pPr>
                          <w:pStyle w:val="null3"/>
                        </w:pPr>
                        <w:r>
                          <w:rPr>
                            <w:rFonts w:ascii="仿宋_GB2312" w:hAnsi="仿宋_GB2312" w:cs="仿宋_GB2312" w:eastAsia="仿宋_GB2312"/>
                          </w:rPr>
                          <w:t>8</w:t>
                        </w:r>
                      </w:p>
                    </w:tc>
                  </w:tr>
                  <w:tr>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91"/>
                      </w:tcPr>
                      <w:p>
                        <w:pPr>
                          <w:pStyle w:val="null3"/>
                        </w:pPr>
                        <w:r>
                          <w:rPr>
                            <w:rFonts w:ascii="仿宋_GB2312" w:hAnsi="仿宋_GB2312" w:cs="仿宋_GB2312" w:eastAsia="仿宋_GB2312"/>
                          </w:rPr>
                          <w:t xml:space="preserve"> </w:t>
                        </w:r>
                      </w:p>
                    </w:tc>
                    <w:tc>
                      <w:tcPr>
                        <w:tcW w:type="dxa" w:w="182"/>
                        <w:gridSpan w:val="2"/>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2.设计图纸：另册提供。</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1.工期：自合同签订之日起90日历天</w:t>
                  </w:r>
                </w:p>
                <w:p>
                  <w:pPr>
                    <w:pStyle w:val="null3"/>
                  </w:pPr>
                  <w:r>
                    <w:rPr>
                      <w:rFonts w:ascii="仿宋_GB2312" w:hAnsi="仿宋_GB2312" w:cs="仿宋_GB2312" w:eastAsia="仿宋_GB2312"/>
                    </w:rPr>
                    <w:t>2.质量保修期：本项目竣工验收合格通过之日起2年。</w:t>
                  </w:r>
                </w:p>
                <w:p>
                  <w:pPr>
                    <w:pStyle w:val="null3"/>
                  </w:pPr>
                  <w:r>
                    <w:rPr>
                      <w:rFonts w:ascii="仿宋_GB2312" w:hAnsi="仿宋_GB2312" w:cs="仿宋_GB2312" w:eastAsia="仿宋_GB2312"/>
                    </w:rPr>
                    <w:t>3.质量要求：工程质量符合国家现行有关施工质量验收规范要求“合格”标准。</w:t>
                  </w:r>
                </w:p>
                <w:p>
                  <w:pPr>
                    <w:pStyle w:val="null3"/>
                  </w:pPr>
                  <w:r>
                    <w:rPr>
                      <w:rFonts w:ascii="仿宋_GB2312" w:hAnsi="仿宋_GB2312" w:cs="仿宋_GB2312" w:eastAsia="仿宋_GB2312"/>
                    </w:rPr>
                    <w:t>4.付款方式：合同签订后，达到付款条件起10日内，支付合同总金额的40%；设备安装、调试正常，软件开发完成且初步验收后，达到付款条件起10日内，支付合同总金额的40%；项目试运行满一个月，达到付款条件起10日内，支付合同总金额的20%。</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工程质量符合国家现行有关施工质量验收规范要求“合格”标准。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满足招标文件、工程量清单、图纸要求。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 80000万元以下的为中小微型企业。其中，营业收入6000万元及以上，且资产总额5000万元及以上的为中型企业；营业收 入300万元及以上，且资产总额300万元及以上的为小型企业；营业收入300万元以下或资产总额300万元以下的为微型企业。 2.顺利推进本项目政府采购工作，供应商须在陕西省政府采购电子化交易平台上传电子版响应文件并完成签章、加密，同时，线下递交纸质版响应文件正本一份、副本一份。若电子版响应文件与纸质版响应文件不一致的，以陕西省政府采购电子化交易平台上传的电子版响应文件为准。纸质版响应文件递交截止时间同磋商截止时间，递交地点为西安市唐延路37号class公馆B栋1103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递交响应文件截止之日前六个月内已缴存任意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供应商提供递交响应文件截止之日前六个月内已缴存任意一个月的纳税证明或完税证明，依法免税的单位应提供相关证明材料；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须具备公路交通工程专业承包（公路机电工程）二级及以上资质，并具备有效的安全生产许可证；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拟派项目经理具备公路工程专业或机电工程专业二级（含）及以上注册建造师资格和安全生产考核合格证（建安B证）在本单位注册且未担任其他在施建设工程项目；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信誉记录</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供应商未被“信用中国”网站列入失信被执行人、重大税收违法失信主体名单，未被“中国政府采购网”网站列入政府采购严重违法失信行为记录名单，以开标后的网站查询记录为准；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关联关系声明</w:t>
            </w:r>
          </w:p>
        </w:tc>
        <w:tc>
          <w:tcPr>
            <w:tcW w:type="dxa" w:w="3322"/>
          </w:tcPr>
          <w:p>
            <w:pPr>
              <w:pStyle w:val="null3"/>
            </w:pPr>
            <w:r>
              <w:rPr>
                <w:rFonts w:ascii="仿宋_GB2312" w:hAnsi="仿宋_GB2312" w:cs="仿宋_GB2312" w:eastAsia="仿宋_GB2312"/>
              </w:rPr>
              <w:t>包括：①控股管理关系（不得与参加本项目的其他供应商单位负责人为同一人或者存在直接控股、管理关系），②未为本项目提供整体设计、规范编制或者项目管理、监理、检测等服务；</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授权代表参与磋商的提供授权代表合法有效的法定代表人身份证明书及被授权委托人授权委托书；法定代表人参与磋商的只需提供法定代表人身份证明书；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是否面向中、小企业采购</w:t>
            </w:r>
          </w:p>
        </w:tc>
        <w:tc>
          <w:tcPr>
            <w:tcW w:type="dxa" w:w="3322"/>
          </w:tcPr>
          <w:p>
            <w:pPr>
              <w:pStyle w:val="null3"/>
            </w:pPr>
            <w:r>
              <w:rPr>
                <w:rFonts w:ascii="仿宋_GB2312" w:hAnsi="仿宋_GB2312" w:cs="仿宋_GB2312" w:eastAsia="仿宋_GB2312"/>
              </w:rPr>
              <w:t>本项目为专门面向中小企业采购项目；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已标价工程量清单报价1.docx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w:t>
            </w:r>
          </w:p>
        </w:tc>
        <w:tc>
          <w:tcPr>
            <w:tcW w:type="dxa" w:w="1661"/>
          </w:tcPr>
          <w:p>
            <w:pPr>
              <w:pStyle w:val="null3"/>
            </w:pPr>
            <w:r>
              <w:rPr>
                <w:rFonts w:ascii="仿宋_GB2312" w:hAnsi="仿宋_GB2312" w:cs="仿宋_GB2312" w:eastAsia="仿宋_GB2312"/>
              </w:rPr>
              <w:t>已标价工程量清单 标的清单 已标价工程量清单报价1.docx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响应文件封面 技术、服务偏离表.docx 响应函 商务偏离表.docx 已标价工程量清单报价1.docx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无不符合法律法规或磋商文件规定的磋商无效条款</w:t>
            </w:r>
          </w:p>
        </w:tc>
        <w:tc>
          <w:tcPr>
            <w:tcW w:type="dxa" w:w="1661"/>
          </w:tcPr>
          <w:p>
            <w:pPr>
              <w:pStyle w:val="null3"/>
            </w:pPr>
            <w:r>
              <w:rPr>
                <w:rFonts w:ascii="仿宋_GB2312" w:hAnsi="仿宋_GB2312" w:cs="仿宋_GB2312" w:eastAsia="仿宋_GB2312"/>
              </w:rPr>
              <w:t>响应文件封面 供应商认为有必要说明的其他资料.docx 响应函 供应商承诺书.docx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根据供应商提供的项目理解方案，包括但不限于①项目背景、项目现状理解、项目需求分析、项目升级目标；②项目重点难点分析及应对措施； 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项目理解.docx</w:t>
            </w:r>
          </w:p>
        </w:tc>
      </w:tr>
      <w:tr>
        <w:tc>
          <w:tcPr>
            <w:tcW w:type="dxa" w:w="831"/>
            <w:vMerge/>
          </w:tcPr>
          <w:p/>
        </w:tc>
        <w:tc>
          <w:tcPr>
            <w:tcW w:type="dxa" w:w="1661"/>
          </w:tcPr>
          <w:p>
            <w:pPr>
              <w:pStyle w:val="null3"/>
            </w:pPr>
            <w:r>
              <w:rPr>
                <w:rFonts w:ascii="仿宋_GB2312" w:hAnsi="仿宋_GB2312" w:cs="仿宋_GB2312" w:eastAsia="仿宋_GB2312"/>
              </w:rPr>
              <w:t>软件系统施工方案</w:t>
            </w:r>
          </w:p>
        </w:tc>
        <w:tc>
          <w:tcPr>
            <w:tcW w:type="dxa" w:w="2492"/>
          </w:tcPr>
          <w:p>
            <w:pPr>
              <w:pStyle w:val="null3"/>
            </w:pPr>
            <w:r>
              <w:rPr>
                <w:rFonts w:ascii="仿宋_GB2312" w:hAnsi="仿宋_GB2312" w:cs="仿宋_GB2312" w:eastAsia="仿宋_GB2312"/>
              </w:rPr>
              <w:t>根据供应商提供的软件系统施工方案，包括但不限于①总体设计方案，包括功能架构设计、数据架构设计、网络架构设计；②系统、数据融合方案，与原有系统对接方案；③气象监测系统设计及施工方案；④路网运行监测系统设计及施工方案；⑤网电传输与配套设施设计及施工方案；⑥软件平台与信息发布系统设计及施工方案； 评审标准：方案各部分内容全面详细、阐述条理清晰详尽、符合本项目采购需求，能保障本项目实施得18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软件系统施工方案.docx</w:t>
            </w:r>
          </w:p>
        </w:tc>
      </w:tr>
      <w:tr>
        <w:tc>
          <w:tcPr>
            <w:tcW w:type="dxa" w:w="831"/>
            <w:vMerge/>
          </w:tcPr>
          <w:p/>
        </w:tc>
        <w:tc>
          <w:tcPr>
            <w:tcW w:type="dxa" w:w="1661"/>
          </w:tcPr>
          <w:p>
            <w:pPr>
              <w:pStyle w:val="null3"/>
            </w:pPr>
            <w:r>
              <w:rPr>
                <w:rFonts w:ascii="仿宋_GB2312" w:hAnsi="仿宋_GB2312" w:cs="仿宋_GB2312" w:eastAsia="仿宋_GB2312"/>
              </w:rPr>
              <w:t>硬件指标响应</w:t>
            </w:r>
          </w:p>
        </w:tc>
        <w:tc>
          <w:tcPr>
            <w:tcW w:type="dxa" w:w="2492"/>
          </w:tcPr>
          <w:p>
            <w:pPr>
              <w:pStyle w:val="null3"/>
            </w:pPr>
            <w:r>
              <w:rPr>
                <w:rFonts w:ascii="仿宋_GB2312" w:hAnsi="仿宋_GB2312" w:cs="仿宋_GB2312" w:eastAsia="仿宋_GB2312"/>
              </w:rPr>
              <w:t>根据供应商针对交通气象监测站、一体化网络云台摄像机、激光交调设备要求响应情况进行评审，技术指标、参数完全符合、满足磋商文件要求，没有负偏离的得10分，每有一项未响应或负偏离的扣0.1分，扣完为止。 注：应提供充足的佐证材料（包括但不限于检验报告、产品彩页、产品说明书、官网功能截图等），予以证明参数的技术响应性。供应商对材料的真实性、完整性、有效性及针对性承担责任，自行承担因材料提供不全导致采购要求被认定为不满足或负偏离的风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硬件指标响应.docx</w:t>
            </w:r>
          </w:p>
        </w:tc>
      </w:tr>
      <w:tr>
        <w:tc>
          <w:tcPr>
            <w:tcW w:type="dxa" w:w="831"/>
            <w:vMerge/>
          </w:tcPr>
          <w:p/>
        </w:tc>
        <w:tc>
          <w:tcPr>
            <w:tcW w:type="dxa" w:w="1661"/>
          </w:tcPr>
          <w:p>
            <w:pPr>
              <w:pStyle w:val="null3"/>
            </w:pPr>
            <w:r>
              <w:rPr>
                <w:rFonts w:ascii="仿宋_GB2312" w:hAnsi="仿宋_GB2312" w:cs="仿宋_GB2312" w:eastAsia="仿宋_GB2312"/>
              </w:rPr>
              <w:t>施工进度安排及工期保障措施</w:t>
            </w:r>
          </w:p>
        </w:tc>
        <w:tc>
          <w:tcPr>
            <w:tcW w:type="dxa" w:w="2492"/>
          </w:tcPr>
          <w:p>
            <w:pPr>
              <w:pStyle w:val="null3"/>
            </w:pPr>
            <w:r>
              <w:rPr>
                <w:rFonts w:ascii="仿宋_GB2312" w:hAnsi="仿宋_GB2312" w:cs="仿宋_GB2312" w:eastAsia="仿宋_GB2312"/>
              </w:rPr>
              <w:t>根据供应商提供的确保施工进度及工期保障措施，包括但不限于①工期进度计划安排；②工期目标控制和保证措施（包括施工进度表或施工网络图）； 评审标准：方案各部分内容全面详细、阐述条理清晰详尽、符合本项目采购需求，能保障本项目实施得4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施工进度安排及工期保障措施.docx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根据供应商提供的确保施工质量保证措施，包括但不限于①工程质量控制体系及量保证措施；②材料和构配件的质量控制等；③数据及系统安全保密承诺；④安装调试与验收的质量保证； 评审标准：方案各部分内容全面详细、阐述条理清晰详尽、符合本项目采购需求，能保障本项目实施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施工质量保证措施.docx</w:t>
            </w:r>
          </w:p>
        </w:tc>
      </w:tr>
      <w:tr>
        <w:tc>
          <w:tcPr>
            <w:tcW w:type="dxa" w:w="831"/>
            <w:vMerge/>
          </w:tcPr>
          <w:p/>
        </w:tc>
        <w:tc>
          <w:tcPr>
            <w:tcW w:type="dxa" w:w="1661"/>
          </w:tcPr>
          <w:p>
            <w:pPr>
              <w:pStyle w:val="null3"/>
            </w:pPr>
            <w:r>
              <w:rPr>
                <w:rFonts w:ascii="仿宋_GB2312" w:hAnsi="仿宋_GB2312" w:cs="仿宋_GB2312" w:eastAsia="仿宋_GB2312"/>
              </w:rPr>
              <w:t>团队配置</w:t>
            </w:r>
          </w:p>
        </w:tc>
        <w:tc>
          <w:tcPr>
            <w:tcW w:type="dxa" w:w="2492"/>
          </w:tcPr>
          <w:p>
            <w:pPr>
              <w:pStyle w:val="null3"/>
            </w:pPr>
            <w:r>
              <w:rPr>
                <w:rFonts w:ascii="仿宋_GB2312" w:hAnsi="仿宋_GB2312" w:cs="仿宋_GB2312" w:eastAsia="仿宋_GB2312"/>
              </w:rPr>
              <w:t>根据供应商提供的项目团队人员配备情况，包括但不限于①人员岗位分工及管理制度；②专业技术人员投入情况（提供包括不限于人员资格证书或岗位证书、劳动合同或本单位近3个月内任意1个月的社保缴纳证明、身份证复印件等证明材料）。 评审标准：方案各部分内容全面详细、阐述条理清晰详尽、符合本项目采购需求，能保障本项目实施得6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团队配置.docx</w:t>
            </w:r>
          </w:p>
        </w:tc>
      </w:tr>
      <w:tr>
        <w:tc>
          <w:tcPr>
            <w:tcW w:type="dxa" w:w="831"/>
            <w:vMerge/>
          </w:tcPr>
          <w:p/>
        </w:tc>
        <w:tc>
          <w:tcPr>
            <w:tcW w:type="dxa" w:w="1661"/>
          </w:tcPr>
          <w:p>
            <w:pPr>
              <w:pStyle w:val="null3"/>
            </w:pPr>
            <w:r>
              <w:rPr>
                <w:rFonts w:ascii="仿宋_GB2312" w:hAnsi="仿宋_GB2312" w:cs="仿宋_GB2312" w:eastAsia="仿宋_GB2312"/>
              </w:rPr>
              <w:t>产品质量与保修服务方案</w:t>
            </w:r>
          </w:p>
        </w:tc>
        <w:tc>
          <w:tcPr>
            <w:tcW w:type="dxa" w:w="2492"/>
          </w:tcPr>
          <w:p>
            <w:pPr>
              <w:pStyle w:val="null3"/>
            </w:pPr>
            <w:r>
              <w:rPr>
                <w:rFonts w:ascii="仿宋_GB2312" w:hAnsi="仿宋_GB2312" w:cs="仿宋_GB2312" w:eastAsia="仿宋_GB2312"/>
              </w:rPr>
              <w:t>根据供应商提供的产品质量与保修服务方案，包括但不限于①硬件产品来源渠道合法性（提供包括但不限于销售协议、代理协议、原厂授权等证明材料）；②产品质量问题处理（保修、退换、响应）等措施；③售后响应时间、故障排除时间、售后人员配置安排计划；④设备及系统出现故障后的补救措施等；⑤培训内容及计划、培训方式、培训人员安排等； 评审标准：方案各部分内容全面详细、阐述条理清晰详尽、符合本项目采购需求，能保障本项目实施得10分；评审内容每缺一项扣2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产品质量与保修服务方案.docx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供应商应提供自2023年5月1日以来至今（时间以合同签订时间为准）已承接类似业绩证明材料，提供1项有效业绩证明材料的复印件或扫描件得2分,本项最高得6分，未提供的不得分。 评审依据：业绩证明材料以合同的复印件或扫描件加盖公章为准，复印件或扫描件必须清晰体现签约主体和日期、项目名称及内容、合同金额等核心要素，否则不计为有效业绩。</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已标价工程量清单报价1.docx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评标基准价，其价格分为满分。其他供应商的价格分统一按照下列公式计算：磋商报价得分=(磋商基准价／磋商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已标价工程量清单报价1.docx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详见附件：已标价工程量清单报价1.docx</w:t>
      </w:r>
    </w:p>
    <w:p>
      <w:pPr>
        <w:pStyle w:val="null3"/>
        <w:ind w:firstLine="960"/>
      </w:pPr>
      <w:r>
        <w:rPr>
          <w:rFonts w:ascii="仿宋_GB2312" w:hAnsi="仿宋_GB2312" w:cs="仿宋_GB2312" w:eastAsia="仿宋_GB2312"/>
        </w:rPr>
        <w:t>详见附件：技术、服务偏离表.docx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详见附件：类似业绩情况表.docx</w:t>
      </w:r>
    </w:p>
    <w:p>
      <w:pPr>
        <w:pStyle w:val="null3"/>
        <w:ind w:firstLine="960"/>
      </w:pPr>
      <w:r>
        <w:rPr>
          <w:rFonts w:ascii="仿宋_GB2312" w:hAnsi="仿宋_GB2312" w:cs="仿宋_GB2312" w:eastAsia="仿宋_GB2312"/>
        </w:rPr>
        <w:t>详见附件：供应商认为有必要说明的其他资料.docx</w:t>
      </w:r>
    </w:p>
    <w:p>
      <w:pPr>
        <w:pStyle w:val="null3"/>
        <w:ind w:firstLine="960"/>
      </w:pPr>
      <w:r>
        <w:rPr>
          <w:rFonts w:ascii="仿宋_GB2312" w:hAnsi="仿宋_GB2312" w:cs="仿宋_GB2312" w:eastAsia="仿宋_GB2312"/>
        </w:rPr>
        <w:t>详见附件：项目理解.docx</w:t>
      </w:r>
    </w:p>
    <w:p>
      <w:pPr>
        <w:pStyle w:val="null3"/>
        <w:ind w:firstLine="960"/>
      </w:pPr>
      <w:r>
        <w:rPr>
          <w:rFonts w:ascii="仿宋_GB2312" w:hAnsi="仿宋_GB2312" w:cs="仿宋_GB2312" w:eastAsia="仿宋_GB2312"/>
        </w:rPr>
        <w:t>详见附件：软件系统施工方案.docx</w:t>
      </w:r>
    </w:p>
    <w:p>
      <w:pPr>
        <w:pStyle w:val="null3"/>
        <w:ind w:firstLine="960"/>
      </w:pPr>
      <w:r>
        <w:rPr>
          <w:rFonts w:ascii="仿宋_GB2312" w:hAnsi="仿宋_GB2312" w:cs="仿宋_GB2312" w:eastAsia="仿宋_GB2312"/>
        </w:rPr>
        <w:t>详见附件：硬件指标响应.docx</w:t>
      </w:r>
    </w:p>
    <w:p>
      <w:pPr>
        <w:pStyle w:val="null3"/>
        <w:ind w:firstLine="960"/>
      </w:pPr>
      <w:r>
        <w:rPr>
          <w:rFonts w:ascii="仿宋_GB2312" w:hAnsi="仿宋_GB2312" w:cs="仿宋_GB2312" w:eastAsia="仿宋_GB2312"/>
        </w:rPr>
        <w:t>详见附件：施工进度安排及工期保障措施.docx</w:t>
      </w:r>
    </w:p>
    <w:p>
      <w:pPr>
        <w:pStyle w:val="null3"/>
        <w:ind w:firstLine="960"/>
      </w:pPr>
      <w:r>
        <w:rPr>
          <w:rFonts w:ascii="仿宋_GB2312" w:hAnsi="仿宋_GB2312" w:cs="仿宋_GB2312" w:eastAsia="仿宋_GB2312"/>
        </w:rPr>
        <w:t>详见附件：施工质量保证措施.docx</w:t>
      </w:r>
    </w:p>
    <w:p>
      <w:pPr>
        <w:pStyle w:val="null3"/>
        <w:ind w:firstLine="960"/>
      </w:pPr>
      <w:r>
        <w:rPr>
          <w:rFonts w:ascii="仿宋_GB2312" w:hAnsi="仿宋_GB2312" w:cs="仿宋_GB2312" w:eastAsia="仿宋_GB2312"/>
        </w:rPr>
        <w:t>详见附件：团队配置.docx</w:t>
      </w:r>
    </w:p>
    <w:p>
      <w:pPr>
        <w:pStyle w:val="null3"/>
        <w:ind w:firstLine="960"/>
      </w:pPr>
      <w:r>
        <w:rPr>
          <w:rFonts w:ascii="仿宋_GB2312" w:hAnsi="仿宋_GB2312" w:cs="仿宋_GB2312" w:eastAsia="仿宋_GB2312"/>
        </w:rPr>
        <w:t>详见附件：产品质量与保修服务方案.docx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