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256B95">
      <w:pPr>
        <w:pStyle w:val="9"/>
        <w:spacing w:line="360" w:lineRule="auto"/>
        <w:rPr>
          <w:rFonts w:hint="default" w:ascii="仿宋" w:hAnsi="仿宋" w:eastAsia="仿宋" w:cs="仿宋"/>
          <w:color w:val="auto"/>
          <w:sz w:val="21"/>
          <w:szCs w:val="21"/>
          <w:highlight w:val="none"/>
        </w:rPr>
      </w:pPr>
      <w:r>
        <w:rPr>
          <w:rFonts w:ascii="仿宋" w:hAnsi="仿宋" w:eastAsia="仿宋" w:cs="仿宋"/>
          <w:color w:val="auto"/>
          <w:sz w:val="21"/>
          <w:szCs w:val="21"/>
          <w:highlight w:val="none"/>
        </w:rPr>
        <w:t>详见附件：拟签订的合同文本.docx</w:t>
      </w:r>
    </w:p>
    <w:p w14:paraId="08240EC6">
      <w:pPr>
        <w:pStyle w:val="9"/>
        <w:spacing w:line="360" w:lineRule="auto"/>
        <w:jc w:val="center"/>
        <w:outlineLvl w:val="1"/>
        <w:rPr>
          <w:rFonts w:hint="default" w:ascii="仿宋" w:hAnsi="仿宋" w:eastAsia="仿宋" w:cs="仿宋"/>
          <w:color w:val="auto"/>
          <w:sz w:val="21"/>
          <w:szCs w:val="21"/>
          <w:highlight w:val="none"/>
        </w:rPr>
      </w:pPr>
      <w:bookmarkStart w:id="0" w:name="_Toc17740"/>
      <w:bookmarkStart w:id="1" w:name="_Toc24356"/>
      <w:bookmarkStart w:id="2" w:name="_Toc32018"/>
      <w:bookmarkStart w:id="3" w:name="_Toc26893"/>
      <w:bookmarkStart w:id="4" w:name="_Toc11252"/>
      <w:r>
        <w:rPr>
          <w:rFonts w:ascii="仿宋" w:hAnsi="仿宋" w:eastAsia="仿宋" w:cs="仿宋"/>
          <w:b/>
          <w:color w:val="auto"/>
          <w:sz w:val="40"/>
          <w:szCs w:val="21"/>
          <w:highlight w:val="none"/>
        </w:rPr>
        <w:t>拟签订采购合同文本</w:t>
      </w:r>
    </w:p>
    <w:p w14:paraId="59978369">
      <w:pPr>
        <w:spacing w:line="360" w:lineRule="auto"/>
        <w:ind w:firstLine="481"/>
        <w:jc w:val="left"/>
        <w:outlineLvl w:val="1"/>
        <w:rPr>
          <w:rFonts w:ascii="仿宋" w:hAnsi="仿宋" w:eastAsia="仿宋" w:cs="仿宋"/>
          <w:b/>
          <w:color w:val="auto"/>
          <w:sz w:val="24"/>
          <w:highlight w:val="none"/>
          <w:u w:val="single"/>
        </w:rPr>
      </w:pPr>
      <w:bookmarkStart w:id="302" w:name="_GoBack"/>
      <w:bookmarkEnd w:id="302"/>
      <w:r>
        <w:rPr>
          <w:rFonts w:hint="eastAsia" w:ascii="仿宋" w:hAnsi="仿宋" w:eastAsia="仿宋" w:cs="仿宋"/>
          <w:b/>
          <w:color w:val="auto"/>
          <w:sz w:val="24"/>
          <w:highlight w:val="none"/>
          <w:u w:val="single"/>
        </w:rPr>
        <w:t>注：本合同仅为合同的参考文本，合同签订双方可根据项目的具体要求进行修订。</w:t>
      </w:r>
      <w:bookmarkEnd w:id="0"/>
      <w:bookmarkEnd w:id="1"/>
      <w:bookmarkEnd w:id="2"/>
      <w:bookmarkEnd w:id="3"/>
      <w:bookmarkEnd w:id="4"/>
    </w:p>
    <w:p w14:paraId="6C126251">
      <w:pPr>
        <w:spacing w:line="360" w:lineRule="auto"/>
        <w:jc w:val="center"/>
        <w:outlineLvl w:val="1"/>
        <w:rPr>
          <w:rFonts w:ascii="仿宋" w:hAnsi="仿宋" w:eastAsia="仿宋" w:cs="仿宋"/>
          <w:color w:val="auto"/>
          <w:sz w:val="32"/>
          <w:szCs w:val="32"/>
          <w:highlight w:val="none"/>
        </w:rPr>
      </w:pPr>
      <w:bookmarkStart w:id="5" w:name="_Toc19396"/>
      <w:bookmarkStart w:id="6" w:name="_Toc24645"/>
      <w:bookmarkStart w:id="7" w:name="_Toc483349426"/>
      <w:bookmarkStart w:id="8" w:name="_Toc25256"/>
      <w:bookmarkStart w:id="9" w:name="_Toc24759"/>
      <w:bookmarkStart w:id="10" w:name="_Toc484353362"/>
      <w:bookmarkStart w:id="11" w:name="_Toc23240"/>
      <w:bookmarkStart w:id="12" w:name="_Toc17018"/>
      <w:bookmarkStart w:id="13" w:name="_Toc4752"/>
      <w:r>
        <w:rPr>
          <w:rFonts w:hint="eastAsia" w:ascii="仿宋" w:hAnsi="仿宋" w:eastAsia="仿宋" w:cs="仿宋"/>
          <w:color w:val="auto"/>
          <w:sz w:val="32"/>
          <w:szCs w:val="32"/>
          <w:highlight w:val="none"/>
        </w:rPr>
        <w:t>一、</w:t>
      </w:r>
      <w:bookmarkEnd w:id="5"/>
      <w:r>
        <w:rPr>
          <w:rFonts w:hint="eastAsia" w:ascii="仿宋" w:hAnsi="仿宋" w:eastAsia="仿宋" w:cs="仿宋"/>
          <w:color w:val="auto"/>
          <w:sz w:val="32"/>
          <w:szCs w:val="32"/>
          <w:highlight w:val="none"/>
        </w:rPr>
        <w:t>政府采购合同</w:t>
      </w:r>
      <w:bookmarkEnd w:id="6"/>
      <w:bookmarkEnd w:id="7"/>
      <w:bookmarkEnd w:id="8"/>
      <w:bookmarkEnd w:id="9"/>
      <w:bookmarkEnd w:id="10"/>
      <w:bookmarkEnd w:id="11"/>
      <w:bookmarkEnd w:id="12"/>
      <w:bookmarkEnd w:id="13"/>
    </w:p>
    <w:p w14:paraId="111162FF">
      <w:pPr>
        <w:spacing w:line="360" w:lineRule="auto"/>
        <w:ind w:firstLine="720" w:firstLineChars="300"/>
        <w:rPr>
          <w:rFonts w:ascii="仿宋" w:hAnsi="仿宋" w:eastAsia="仿宋" w:cs="仿宋"/>
          <w:color w:val="auto"/>
          <w:sz w:val="24"/>
          <w:highlight w:val="none"/>
        </w:rPr>
      </w:pPr>
      <w:r>
        <w:rPr>
          <w:rFonts w:hint="eastAsia" w:ascii="仿宋" w:hAnsi="仿宋" w:eastAsia="仿宋" w:cs="仿宋"/>
          <w:color w:val="auto"/>
          <w:sz w:val="24"/>
          <w:highlight w:val="none"/>
        </w:rPr>
        <w:t>2026</w:t>
      </w:r>
      <w:r>
        <w:rPr>
          <w:rFonts w:hint="eastAsia" w:ascii="仿宋" w:hAnsi="仿宋" w:eastAsia="仿宋" w:cs="仿宋"/>
          <w:color w:val="auto"/>
          <w:sz w:val="24"/>
          <w:highlight w:val="none"/>
          <w:lang w:val="zh-CN"/>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val="zh-CN"/>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val="zh-CN"/>
        </w:rPr>
        <w:t>日</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西安市公路局</w:t>
      </w:r>
      <w:r>
        <w:rPr>
          <w:rFonts w:hint="eastAsia" w:ascii="仿宋" w:hAnsi="仿宋" w:eastAsia="仿宋" w:cs="仿宋"/>
          <w:color w:val="auto"/>
          <w:sz w:val="24"/>
          <w:highlight w:val="none"/>
        </w:rPr>
        <w:t>以</w:t>
      </w:r>
      <w:r>
        <w:rPr>
          <w:rFonts w:hint="eastAsia" w:ascii="仿宋" w:hAnsi="仿宋" w:eastAsia="仿宋" w:cs="仿宋"/>
          <w:color w:val="auto"/>
          <w:sz w:val="24"/>
          <w:highlight w:val="none"/>
          <w:u w:val="single"/>
        </w:rPr>
        <w:t>竞争性磋商</w:t>
      </w:r>
      <w:r>
        <w:rPr>
          <w:rFonts w:hint="eastAsia" w:ascii="仿宋" w:hAnsi="仿宋" w:eastAsia="仿宋" w:cs="仿宋"/>
          <w:color w:val="auto"/>
          <w:sz w:val="24"/>
          <w:highlight w:val="none"/>
        </w:rPr>
        <w:t>的方式对</w:t>
      </w:r>
      <w:r>
        <w:rPr>
          <w:rFonts w:hint="eastAsia" w:ascii="仿宋" w:hAnsi="仿宋" w:eastAsia="仿宋" w:cs="仿宋"/>
          <w:color w:val="auto"/>
          <w:sz w:val="24"/>
          <w:highlight w:val="none"/>
          <w:u w:val="single"/>
        </w:rPr>
        <w:t>“西安市108国道山区公路气象融合监测能力提升项目”</w:t>
      </w:r>
      <w:r>
        <w:rPr>
          <w:rFonts w:hint="eastAsia" w:ascii="仿宋" w:hAnsi="仿宋" w:eastAsia="仿宋" w:cs="仿宋"/>
          <w:color w:val="auto"/>
          <w:sz w:val="24"/>
          <w:highlight w:val="none"/>
        </w:rPr>
        <w:t>进行了采购。经</w:t>
      </w:r>
      <w:r>
        <w:rPr>
          <w:rFonts w:hint="eastAsia" w:ascii="仿宋" w:hAnsi="仿宋" w:eastAsia="仿宋" w:cs="仿宋"/>
          <w:color w:val="auto"/>
          <w:sz w:val="24"/>
          <w:highlight w:val="none"/>
          <w:u w:val="single"/>
        </w:rPr>
        <w:t>磋商小组</w:t>
      </w:r>
      <w:r>
        <w:rPr>
          <w:rFonts w:hint="eastAsia" w:ascii="仿宋" w:hAnsi="仿宋" w:eastAsia="仿宋" w:cs="仿宋"/>
          <w:color w:val="auto"/>
          <w:sz w:val="24"/>
          <w:highlight w:val="none"/>
        </w:rPr>
        <w:t>评定，</w:t>
      </w:r>
      <w:r>
        <w:rPr>
          <w:rFonts w:hint="eastAsia" w:ascii="仿宋" w:hAnsi="仿宋" w:eastAsia="仿宋" w:cs="仿宋"/>
          <w:color w:val="auto"/>
          <w:sz w:val="24"/>
          <w:highlight w:val="none"/>
          <w:u w:val="single"/>
        </w:rPr>
        <w:t xml:space="preserve">  （成交供应商名称） </w:t>
      </w:r>
      <w:r>
        <w:rPr>
          <w:rFonts w:hint="eastAsia" w:ascii="仿宋" w:hAnsi="仿宋" w:eastAsia="仿宋" w:cs="仿宋"/>
          <w:color w:val="auto"/>
          <w:sz w:val="24"/>
          <w:highlight w:val="none"/>
        </w:rPr>
        <w:t>为该项目成交供应商。现于成交通知书发出之日起三十日内，按照采购文件确定的事项签订本合同。</w:t>
      </w:r>
    </w:p>
    <w:p w14:paraId="4D6F3501">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lang w:val="zh-CN"/>
        </w:rPr>
        <w:t>根据《中华人民共和国</w:t>
      </w:r>
      <w:r>
        <w:rPr>
          <w:rFonts w:hint="eastAsia" w:ascii="仿宋" w:hAnsi="仿宋" w:eastAsia="仿宋" w:cs="仿宋"/>
          <w:color w:val="auto"/>
          <w:sz w:val="24"/>
          <w:highlight w:val="none"/>
        </w:rPr>
        <w:t>民法典</w:t>
      </w:r>
      <w:r>
        <w:rPr>
          <w:rFonts w:hint="eastAsia" w:ascii="仿宋" w:hAnsi="仿宋" w:eastAsia="仿宋" w:cs="仿宋"/>
          <w:color w:val="auto"/>
          <w:sz w:val="24"/>
          <w:highlight w:val="none"/>
          <w:lang w:val="zh-CN"/>
        </w:rPr>
        <w:t>》、《中华人民共和国政府采购法》等相关法律法规之规定，按照平等、自愿、公平和诚实信用的原则，经</w:t>
      </w:r>
      <w:r>
        <w:rPr>
          <w:rFonts w:hint="eastAsia" w:ascii="仿宋" w:hAnsi="仿宋" w:eastAsia="仿宋" w:cs="仿宋"/>
          <w:color w:val="auto"/>
          <w:sz w:val="24"/>
          <w:highlight w:val="none"/>
          <w:u w:val="single"/>
        </w:rPr>
        <w:t>西安市公路局</w:t>
      </w:r>
      <w:r>
        <w:rPr>
          <w:rFonts w:hint="eastAsia" w:ascii="仿宋" w:hAnsi="仿宋" w:eastAsia="仿宋" w:cs="仿宋"/>
          <w:color w:val="auto"/>
          <w:sz w:val="24"/>
          <w:highlight w:val="none"/>
          <w:lang w:val="zh-CN"/>
        </w:rPr>
        <w:t>(以下简称：甲方)和</w:t>
      </w:r>
      <w:r>
        <w:rPr>
          <w:rFonts w:hint="eastAsia" w:ascii="仿宋" w:hAnsi="仿宋" w:eastAsia="仿宋" w:cs="仿宋"/>
          <w:color w:val="auto"/>
          <w:sz w:val="24"/>
          <w:highlight w:val="none"/>
          <w:u w:val="single"/>
        </w:rPr>
        <w:t xml:space="preserve">   （成交供应商名称）   </w:t>
      </w:r>
      <w:r>
        <w:rPr>
          <w:rFonts w:hint="eastAsia" w:ascii="仿宋" w:hAnsi="仿宋" w:eastAsia="仿宋" w:cs="仿宋"/>
          <w:color w:val="auto"/>
          <w:sz w:val="24"/>
          <w:highlight w:val="none"/>
          <w:lang w:val="zh-CN"/>
        </w:rPr>
        <w:t>(以下简称：乙方)协商一致，约定以下合同</w:t>
      </w:r>
      <w:r>
        <w:rPr>
          <w:rFonts w:hint="eastAsia" w:ascii="仿宋" w:hAnsi="仿宋" w:eastAsia="仿宋" w:cs="仿宋"/>
          <w:color w:val="auto"/>
          <w:sz w:val="24"/>
          <w:highlight w:val="none"/>
        </w:rPr>
        <w:t>条款，以兹共同遵守、全面履行。</w:t>
      </w:r>
    </w:p>
    <w:p w14:paraId="271A62DF">
      <w:pPr>
        <w:spacing w:line="360" w:lineRule="auto"/>
        <w:ind w:firstLine="482" w:firstLineChars="200"/>
        <w:outlineLvl w:val="0"/>
        <w:rPr>
          <w:rFonts w:ascii="仿宋" w:hAnsi="仿宋" w:eastAsia="仿宋" w:cs="仿宋"/>
          <w:color w:val="auto"/>
          <w:sz w:val="24"/>
          <w:highlight w:val="none"/>
        </w:rPr>
      </w:pPr>
      <w:bookmarkStart w:id="14" w:name="_Toc19273"/>
      <w:bookmarkStart w:id="15" w:name="_Toc26482"/>
      <w:bookmarkStart w:id="16" w:name="_Toc15367"/>
      <w:bookmarkStart w:id="17" w:name="_Toc22967"/>
      <w:bookmarkStart w:id="18" w:name="_Toc28855"/>
      <w:bookmarkStart w:id="19" w:name="_Toc6601"/>
      <w:bookmarkStart w:id="20" w:name="_Toc9470"/>
      <w:bookmarkStart w:id="21" w:name="_Toc28060"/>
      <w:bookmarkStart w:id="22" w:name="_Toc20421"/>
      <w:r>
        <w:rPr>
          <w:rFonts w:hint="eastAsia" w:ascii="仿宋" w:hAnsi="仿宋" w:eastAsia="仿宋" w:cs="仿宋"/>
          <w:b/>
          <w:color w:val="auto"/>
          <w:sz w:val="24"/>
          <w:highlight w:val="none"/>
        </w:rPr>
        <w:t>1.1 合同组成部分</w:t>
      </w:r>
      <w:bookmarkEnd w:id="14"/>
      <w:bookmarkEnd w:id="15"/>
      <w:bookmarkEnd w:id="16"/>
      <w:bookmarkEnd w:id="17"/>
      <w:bookmarkEnd w:id="18"/>
      <w:bookmarkEnd w:id="19"/>
      <w:bookmarkEnd w:id="20"/>
      <w:bookmarkEnd w:id="21"/>
      <w:bookmarkEnd w:id="22"/>
    </w:p>
    <w:p w14:paraId="186981AB">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下列文件为本合同的组成部分，并构成一个整体，需综合解释、相互补充。如果下列文件内容出现不一致的情形，那么在保证按照采购文件确定的事项的前提下，组成本合同的多个文件的优先适用顺序如下：</w:t>
      </w:r>
    </w:p>
    <w:p w14:paraId="5D8DE30C">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1.1.1 本合同及其补充合同、变更协议；</w:t>
      </w:r>
    </w:p>
    <w:p w14:paraId="26F87D5D">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1.1.2 成交通知书；</w:t>
      </w:r>
    </w:p>
    <w:p w14:paraId="4D088EFE">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1.1.3 响应文件（含澄清或者说明文件）；</w:t>
      </w:r>
    </w:p>
    <w:p w14:paraId="5382583D">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1.1.4 磋商文件（含澄清或者修改文件）；</w:t>
      </w:r>
    </w:p>
    <w:p w14:paraId="23F66D9F">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1.1.5 其他相关采购文件。</w:t>
      </w:r>
    </w:p>
    <w:p w14:paraId="2C39A4D7">
      <w:pPr>
        <w:spacing w:line="360" w:lineRule="auto"/>
        <w:ind w:firstLine="482" w:firstLineChars="200"/>
        <w:outlineLvl w:val="0"/>
        <w:rPr>
          <w:rFonts w:ascii="仿宋" w:hAnsi="仿宋" w:eastAsia="仿宋" w:cs="仿宋"/>
          <w:b/>
          <w:color w:val="auto"/>
          <w:sz w:val="24"/>
          <w:highlight w:val="none"/>
        </w:rPr>
      </w:pPr>
      <w:bookmarkStart w:id="23" w:name="_Toc18557"/>
      <w:bookmarkStart w:id="24" w:name="_Toc18585"/>
      <w:bookmarkStart w:id="25" w:name="_Toc2918"/>
      <w:bookmarkStart w:id="26" w:name="_Toc18335"/>
      <w:bookmarkStart w:id="27" w:name="_Toc22185"/>
      <w:bookmarkStart w:id="28" w:name="_Toc30141"/>
      <w:bookmarkStart w:id="29" w:name="_Toc16407"/>
      <w:bookmarkStart w:id="30" w:name="_Toc6311"/>
      <w:bookmarkStart w:id="31" w:name="_Toc6773"/>
      <w:r>
        <w:rPr>
          <w:rFonts w:hint="eastAsia" w:ascii="仿宋" w:hAnsi="仿宋" w:eastAsia="仿宋" w:cs="仿宋"/>
          <w:b/>
          <w:color w:val="auto"/>
          <w:sz w:val="24"/>
          <w:highlight w:val="none"/>
        </w:rPr>
        <w:t>1.2 标的</w:t>
      </w:r>
      <w:bookmarkEnd w:id="23"/>
      <w:bookmarkEnd w:id="24"/>
      <w:bookmarkEnd w:id="25"/>
      <w:bookmarkEnd w:id="26"/>
      <w:bookmarkEnd w:id="27"/>
      <w:bookmarkEnd w:id="28"/>
      <w:bookmarkEnd w:id="29"/>
      <w:bookmarkEnd w:id="30"/>
      <w:bookmarkEnd w:id="31"/>
    </w:p>
    <w:p w14:paraId="2894FAB6">
      <w:pPr>
        <w:spacing w:line="360" w:lineRule="auto"/>
        <w:ind w:firstLine="480" w:firstLineChars="200"/>
        <w:rPr>
          <w:rFonts w:ascii="仿宋" w:hAnsi="仿宋" w:eastAsia="仿宋" w:cs="仿宋"/>
          <w:color w:val="auto"/>
          <w:sz w:val="24"/>
          <w:highlight w:val="none"/>
          <w:u w:val="single"/>
        </w:rPr>
      </w:pPr>
      <w:r>
        <w:rPr>
          <w:rFonts w:hint="eastAsia" w:ascii="仿宋" w:hAnsi="仿宋" w:eastAsia="仿宋" w:cs="仿宋"/>
          <w:color w:val="auto"/>
          <w:sz w:val="24"/>
          <w:highlight w:val="none"/>
        </w:rPr>
        <w:t>1.2.1 标的名称：</w:t>
      </w:r>
      <w:r>
        <w:rPr>
          <w:rFonts w:hint="eastAsia" w:ascii="仿宋" w:hAnsi="仿宋" w:eastAsia="仿宋" w:cs="仿宋"/>
          <w:color w:val="auto"/>
          <w:sz w:val="24"/>
          <w:highlight w:val="none"/>
          <w:u w:val="single"/>
        </w:rPr>
        <w:t>西安市108国道山区公路气象融合监测能力提升项目</w:t>
      </w:r>
      <w:r>
        <w:rPr>
          <w:rFonts w:hint="eastAsia" w:ascii="仿宋" w:hAnsi="仿宋" w:eastAsia="仿宋" w:cs="仿宋"/>
          <w:color w:val="auto"/>
          <w:sz w:val="24"/>
          <w:highlight w:val="none"/>
        </w:rPr>
        <w:t>；</w:t>
      </w:r>
    </w:p>
    <w:p w14:paraId="1676122E">
      <w:pPr>
        <w:spacing w:line="360" w:lineRule="auto"/>
        <w:ind w:firstLine="480" w:firstLineChars="200"/>
        <w:rPr>
          <w:rFonts w:ascii="仿宋" w:hAnsi="仿宋" w:eastAsia="仿宋" w:cs="仿宋"/>
          <w:color w:val="auto"/>
          <w:sz w:val="24"/>
          <w:highlight w:val="none"/>
          <w:u w:val="single"/>
        </w:rPr>
      </w:pPr>
      <w:r>
        <w:rPr>
          <w:rFonts w:hint="eastAsia" w:ascii="仿宋" w:hAnsi="仿宋" w:eastAsia="仿宋" w:cs="仿宋"/>
          <w:color w:val="auto"/>
          <w:sz w:val="24"/>
          <w:highlight w:val="none"/>
        </w:rPr>
        <w:t>1.2.2 标的数量：</w:t>
      </w:r>
      <w:r>
        <w:rPr>
          <w:rFonts w:hint="eastAsia" w:ascii="仿宋" w:hAnsi="仿宋" w:eastAsia="仿宋" w:cs="仿宋"/>
          <w:color w:val="auto"/>
          <w:sz w:val="24"/>
          <w:highlight w:val="none"/>
          <w:u w:val="single"/>
        </w:rPr>
        <w:t>1项</w:t>
      </w:r>
      <w:r>
        <w:rPr>
          <w:rFonts w:hint="eastAsia" w:ascii="仿宋" w:hAnsi="仿宋" w:eastAsia="仿宋" w:cs="仿宋"/>
          <w:color w:val="auto"/>
          <w:sz w:val="24"/>
          <w:highlight w:val="none"/>
        </w:rPr>
        <w:t>；</w:t>
      </w:r>
    </w:p>
    <w:p w14:paraId="5C9680C0">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1.2.3 标的质量：</w:t>
      </w:r>
      <w:r>
        <w:rPr>
          <w:rFonts w:hint="eastAsia" w:ascii="仿宋" w:hAnsi="仿宋" w:eastAsia="仿宋" w:cs="仿宋"/>
          <w:color w:val="auto"/>
          <w:sz w:val="24"/>
          <w:highlight w:val="none"/>
          <w:u w:val="single"/>
        </w:rPr>
        <w:t>合格</w:t>
      </w:r>
      <w:r>
        <w:rPr>
          <w:rFonts w:hint="eastAsia" w:ascii="仿宋" w:hAnsi="仿宋" w:eastAsia="仿宋" w:cs="仿宋"/>
          <w:color w:val="auto"/>
          <w:sz w:val="24"/>
          <w:highlight w:val="none"/>
        </w:rPr>
        <w:t>。</w:t>
      </w:r>
    </w:p>
    <w:p w14:paraId="40EB4A60">
      <w:pPr>
        <w:spacing w:line="360" w:lineRule="auto"/>
        <w:ind w:firstLine="482" w:firstLineChars="200"/>
        <w:outlineLvl w:val="0"/>
        <w:rPr>
          <w:rFonts w:ascii="仿宋" w:hAnsi="仿宋" w:eastAsia="仿宋" w:cs="仿宋"/>
          <w:b/>
          <w:color w:val="auto"/>
          <w:sz w:val="24"/>
          <w:highlight w:val="none"/>
        </w:rPr>
      </w:pPr>
      <w:bookmarkStart w:id="32" w:name="_Toc4929"/>
      <w:bookmarkStart w:id="33" w:name="_Toc7448"/>
      <w:bookmarkStart w:id="34" w:name="_Toc20141"/>
      <w:bookmarkStart w:id="35" w:name="_Toc6409"/>
      <w:bookmarkStart w:id="36" w:name="_Toc13918"/>
      <w:bookmarkStart w:id="37" w:name="_Toc21124"/>
      <w:bookmarkStart w:id="38" w:name="_Toc5635"/>
      <w:bookmarkStart w:id="39" w:name="_Toc21782"/>
      <w:bookmarkStart w:id="40" w:name="_Toc1386"/>
      <w:r>
        <w:rPr>
          <w:rFonts w:hint="eastAsia" w:ascii="仿宋" w:hAnsi="仿宋" w:eastAsia="仿宋" w:cs="仿宋"/>
          <w:b/>
          <w:color w:val="auto"/>
          <w:sz w:val="24"/>
          <w:highlight w:val="none"/>
        </w:rPr>
        <w:t>1.3 价款</w:t>
      </w:r>
      <w:bookmarkEnd w:id="32"/>
      <w:bookmarkEnd w:id="33"/>
      <w:bookmarkEnd w:id="34"/>
      <w:bookmarkEnd w:id="35"/>
      <w:bookmarkEnd w:id="36"/>
      <w:bookmarkEnd w:id="37"/>
      <w:bookmarkEnd w:id="38"/>
      <w:bookmarkEnd w:id="39"/>
      <w:bookmarkEnd w:id="40"/>
    </w:p>
    <w:p w14:paraId="5AB573A0">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本合同总价为：￥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元（大写：</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5BCAB2DB">
      <w:pPr>
        <w:spacing w:line="360" w:lineRule="auto"/>
        <w:ind w:firstLine="480" w:firstLineChars="200"/>
        <w:rPr>
          <w:rFonts w:ascii="仿宋" w:hAnsi="仿宋" w:eastAsia="仿宋" w:cs="仿宋"/>
          <w:color w:val="auto"/>
          <w:sz w:val="24"/>
          <w:highlight w:val="none"/>
          <w:u w:val="single"/>
        </w:rPr>
      </w:pPr>
      <w:r>
        <w:rPr>
          <w:rFonts w:hint="eastAsia" w:ascii="仿宋" w:hAnsi="仿宋" w:eastAsia="仿宋" w:cs="仿宋"/>
          <w:color w:val="auto"/>
          <w:sz w:val="24"/>
          <w:highlight w:val="none"/>
        </w:rPr>
        <w:t>分项价格：</w:t>
      </w:r>
    </w:p>
    <w:tbl>
      <w:tblPr>
        <w:tblStyle w:val="3"/>
        <w:tblW w:w="76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4"/>
        <w:gridCol w:w="1521"/>
        <w:gridCol w:w="1383"/>
        <w:gridCol w:w="1208"/>
        <w:gridCol w:w="935"/>
        <w:gridCol w:w="935"/>
        <w:gridCol w:w="935"/>
      </w:tblGrid>
      <w:tr w14:paraId="349C7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764" w:type="dxa"/>
            <w:vAlign w:val="center"/>
          </w:tcPr>
          <w:p w14:paraId="19CD3457">
            <w:pPr>
              <w:pStyle w:val="5"/>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序号</w:t>
            </w:r>
          </w:p>
        </w:tc>
        <w:tc>
          <w:tcPr>
            <w:tcW w:w="1521" w:type="dxa"/>
            <w:vAlign w:val="center"/>
          </w:tcPr>
          <w:p w14:paraId="3DC44ACE">
            <w:pPr>
              <w:pStyle w:val="5"/>
              <w:spacing w:line="360" w:lineRule="auto"/>
              <w:ind w:firstLine="200"/>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分项名称</w:t>
            </w:r>
          </w:p>
        </w:tc>
        <w:tc>
          <w:tcPr>
            <w:tcW w:w="1383" w:type="dxa"/>
            <w:vAlign w:val="center"/>
          </w:tcPr>
          <w:p w14:paraId="4CF09E0D">
            <w:pPr>
              <w:pStyle w:val="5"/>
              <w:spacing w:line="360" w:lineRule="auto"/>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单位</w:t>
            </w:r>
          </w:p>
        </w:tc>
        <w:tc>
          <w:tcPr>
            <w:tcW w:w="1208" w:type="dxa"/>
            <w:vAlign w:val="center"/>
          </w:tcPr>
          <w:p w14:paraId="2C15D5A5">
            <w:pPr>
              <w:pStyle w:val="5"/>
              <w:spacing w:line="360" w:lineRule="auto"/>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工程量</w:t>
            </w:r>
          </w:p>
        </w:tc>
        <w:tc>
          <w:tcPr>
            <w:tcW w:w="935" w:type="dxa"/>
            <w:vAlign w:val="center"/>
          </w:tcPr>
          <w:p w14:paraId="00A25DD9">
            <w:pPr>
              <w:pStyle w:val="5"/>
              <w:spacing w:line="360" w:lineRule="auto"/>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单价</w:t>
            </w:r>
          </w:p>
        </w:tc>
        <w:tc>
          <w:tcPr>
            <w:tcW w:w="935" w:type="dxa"/>
            <w:vAlign w:val="center"/>
          </w:tcPr>
          <w:p w14:paraId="6E9BCECB">
            <w:pPr>
              <w:pStyle w:val="5"/>
              <w:spacing w:line="360" w:lineRule="auto"/>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合价</w:t>
            </w:r>
          </w:p>
        </w:tc>
        <w:tc>
          <w:tcPr>
            <w:tcW w:w="935" w:type="dxa"/>
            <w:vAlign w:val="center"/>
          </w:tcPr>
          <w:p w14:paraId="190E28D0">
            <w:pPr>
              <w:pStyle w:val="5"/>
              <w:spacing w:line="360" w:lineRule="auto"/>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备注</w:t>
            </w:r>
          </w:p>
        </w:tc>
      </w:tr>
      <w:tr w14:paraId="550A5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764" w:type="dxa"/>
            <w:vAlign w:val="center"/>
          </w:tcPr>
          <w:p w14:paraId="71E04B76">
            <w:pPr>
              <w:pStyle w:val="5"/>
              <w:spacing w:line="360" w:lineRule="auto"/>
              <w:ind w:firstLine="200"/>
              <w:jc w:val="center"/>
              <w:rPr>
                <w:rFonts w:ascii="仿宋" w:hAnsi="仿宋" w:eastAsia="仿宋" w:cs="仿宋"/>
                <w:color w:val="auto"/>
                <w:sz w:val="24"/>
                <w:szCs w:val="24"/>
                <w:highlight w:val="none"/>
              </w:rPr>
            </w:pPr>
          </w:p>
        </w:tc>
        <w:tc>
          <w:tcPr>
            <w:tcW w:w="1521" w:type="dxa"/>
            <w:vAlign w:val="center"/>
          </w:tcPr>
          <w:p w14:paraId="243085EF">
            <w:pPr>
              <w:pStyle w:val="5"/>
              <w:spacing w:line="360" w:lineRule="auto"/>
              <w:ind w:firstLine="200"/>
              <w:jc w:val="center"/>
              <w:rPr>
                <w:rFonts w:ascii="仿宋" w:hAnsi="仿宋" w:eastAsia="仿宋" w:cs="仿宋"/>
                <w:color w:val="auto"/>
                <w:sz w:val="24"/>
                <w:szCs w:val="24"/>
                <w:highlight w:val="none"/>
              </w:rPr>
            </w:pPr>
          </w:p>
        </w:tc>
        <w:tc>
          <w:tcPr>
            <w:tcW w:w="1383" w:type="dxa"/>
            <w:vAlign w:val="center"/>
          </w:tcPr>
          <w:p w14:paraId="3BD45052">
            <w:pPr>
              <w:pStyle w:val="5"/>
              <w:spacing w:line="360" w:lineRule="auto"/>
              <w:ind w:firstLine="200"/>
              <w:jc w:val="center"/>
              <w:rPr>
                <w:rFonts w:ascii="仿宋" w:hAnsi="仿宋" w:eastAsia="仿宋" w:cs="仿宋"/>
                <w:color w:val="auto"/>
                <w:sz w:val="24"/>
                <w:szCs w:val="24"/>
                <w:highlight w:val="none"/>
              </w:rPr>
            </w:pPr>
          </w:p>
        </w:tc>
        <w:tc>
          <w:tcPr>
            <w:tcW w:w="1208" w:type="dxa"/>
            <w:vAlign w:val="center"/>
          </w:tcPr>
          <w:p w14:paraId="3E2D6940">
            <w:pPr>
              <w:pStyle w:val="5"/>
              <w:spacing w:line="360" w:lineRule="auto"/>
              <w:ind w:firstLine="200"/>
              <w:jc w:val="center"/>
              <w:rPr>
                <w:rFonts w:ascii="仿宋" w:hAnsi="仿宋" w:eastAsia="仿宋" w:cs="仿宋"/>
                <w:color w:val="auto"/>
                <w:sz w:val="24"/>
                <w:szCs w:val="24"/>
                <w:highlight w:val="none"/>
              </w:rPr>
            </w:pPr>
          </w:p>
        </w:tc>
        <w:tc>
          <w:tcPr>
            <w:tcW w:w="935" w:type="dxa"/>
            <w:vAlign w:val="center"/>
          </w:tcPr>
          <w:p w14:paraId="5A89EF0B">
            <w:pPr>
              <w:pStyle w:val="5"/>
              <w:spacing w:line="360" w:lineRule="auto"/>
              <w:ind w:firstLine="200"/>
              <w:jc w:val="center"/>
              <w:rPr>
                <w:rFonts w:ascii="仿宋" w:hAnsi="仿宋" w:eastAsia="仿宋" w:cs="仿宋"/>
                <w:color w:val="auto"/>
                <w:sz w:val="24"/>
                <w:szCs w:val="24"/>
                <w:highlight w:val="none"/>
              </w:rPr>
            </w:pPr>
          </w:p>
        </w:tc>
        <w:tc>
          <w:tcPr>
            <w:tcW w:w="935" w:type="dxa"/>
            <w:vAlign w:val="center"/>
          </w:tcPr>
          <w:p w14:paraId="5C1A83ED">
            <w:pPr>
              <w:pStyle w:val="5"/>
              <w:spacing w:line="360" w:lineRule="auto"/>
              <w:ind w:firstLine="200"/>
              <w:jc w:val="center"/>
              <w:rPr>
                <w:rFonts w:ascii="仿宋" w:hAnsi="仿宋" w:eastAsia="仿宋" w:cs="仿宋"/>
                <w:color w:val="auto"/>
                <w:sz w:val="24"/>
                <w:szCs w:val="24"/>
                <w:highlight w:val="none"/>
              </w:rPr>
            </w:pPr>
          </w:p>
        </w:tc>
        <w:tc>
          <w:tcPr>
            <w:tcW w:w="935" w:type="dxa"/>
            <w:vAlign w:val="center"/>
          </w:tcPr>
          <w:p w14:paraId="16950020">
            <w:pPr>
              <w:pStyle w:val="5"/>
              <w:spacing w:line="360" w:lineRule="auto"/>
              <w:ind w:firstLine="200"/>
              <w:jc w:val="center"/>
              <w:rPr>
                <w:rFonts w:ascii="仿宋" w:hAnsi="仿宋" w:eastAsia="仿宋" w:cs="仿宋"/>
                <w:color w:val="auto"/>
                <w:sz w:val="24"/>
                <w:szCs w:val="24"/>
                <w:highlight w:val="none"/>
              </w:rPr>
            </w:pPr>
          </w:p>
        </w:tc>
      </w:tr>
      <w:tr w14:paraId="177D3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764" w:type="dxa"/>
            <w:vAlign w:val="center"/>
          </w:tcPr>
          <w:p w14:paraId="65564FBE">
            <w:pPr>
              <w:pStyle w:val="5"/>
              <w:spacing w:line="360" w:lineRule="auto"/>
              <w:ind w:firstLine="200"/>
              <w:jc w:val="center"/>
              <w:rPr>
                <w:rFonts w:ascii="仿宋" w:hAnsi="仿宋" w:eastAsia="仿宋" w:cs="仿宋"/>
                <w:color w:val="auto"/>
                <w:sz w:val="24"/>
                <w:szCs w:val="24"/>
                <w:highlight w:val="none"/>
              </w:rPr>
            </w:pPr>
          </w:p>
        </w:tc>
        <w:tc>
          <w:tcPr>
            <w:tcW w:w="1521" w:type="dxa"/>
            <w:vAlign w:val="center"/>
          </w:tcPr>
          <w:p w14:paraId="096A8101">
            <w:pPr>
              <w:pStyle w:val="5"/>
              <w:spacing w:line="360" w:lineRule="auto"/>
              <w:ind w:firstLine="200"/>
              <w:jc w:val="center"/>
              <w:rPr>
                <w:rFonts w:ascii="仿宋" w:hAnsi="仿宋" w:eastAsia="仿宋" w:cs="仿宋"/>
                <w:color w:val="auto"/>
                <w:sz w:val="24"/>
                <w:szCs w:val="24"/>
                <w:highlight w:val="none"/>
              </w:rPr>
            </w:pPr>
          </w:p>
        </w:tc>
        <w:tc>
          <w:tcPr>
            <w:tcW w:w="1383" w:type="dxa"/>
            <w:vAlign w:val="center"/>
          </w:tcPr>
          <w:p w14:paraId="1F5D400D">
            <w:pPr>
              <w:pStyle w:val="5"/>
              <w:spacing w:line="360" w:lineRule="auto"/>
              <w:ind w:firstLine="200"/>
              <w:jc w:val="center"/>
              <w:rPr>
                <w:rFonts w:ascii="仿宋" w:hAnsi="仿宋" w:eastAsia="仿宋" w:cs="仿宋"/>
                <w:color w:val="auto"/>
                <w:sz w:val="24"/>
                <w:szCs w:val="24"/>
                <w:highlight w:val="none"/>
              </w:rPr>
            </w:pPr>
          </w:p>
        </w:tc>
        <w:tc>
          <w:tcPr>
            <w:tcW w:w="1208" w:type="dxa"/>
            <w:vAlign w:val="center"/>
          </w:tcPr>
          <w:p w14:paraId="27C97770">
            <w:pPr>
              <w:pStyle w:val="5"/>
              <w:spacing w:line="360" w:lineRule="auto"/>
              <w:ind w:firstLine="200"/>
              <w:jc w:val="center"/>
              <w:rPr>
                <w:rFonts w:ascii="仿宋" w:hAnsi="仿宋" w:eastAsia="仿宋" w:cs="仿宋"/>
                <w:color w:val="auto"/>
                <w:sz w:val="24"/>
                <w:szCs w:val="24"/>
                <w:highlight w:val="none"/>
              </w:rPr>
            </w:pPr>
          </w:p>
        </w:tc>
        <w:tc>
          <w:tcPr>
            <w:tcW w:w="935" w:type="dxa"/>
            <w:vAlign w:val="center"/>
          </w:tcPr>
          <w:p w14:paraId="4EDDCD9F">
            <w:pPr>
              <w:pStyle w:val="5"/>
              <w:spacing w:line="360" w:lineRule="auto"/>
              <w:ind w:firstLine="200"/>
              <w:jc w:val="center"/>
              <w:rPr>
                <w:rFonts w:ascii="仿宋" w:hAnsi="仿宋" w:eastAsia="仿宋" w:cs="仿宋"/>
                <w:color w:val="auto"/>
                <w:sz w:val="24"/>
                <w:szCs w:val="24"/>
                <w:highlight w:val="none"/>
              </w:rPr>
            </w:pPr>
          </w:p>
        </w:tc>
        <w:tc>
          <w:tcPr>
            <w:tcW w:w="935" w:type="dxa"/>
            <w:vAlign w:val="center"/>
          </w:tcPr>
          <w:p w14:paraId="10DDAF1D">
            <w:pPr>
              <w:pStyle w:val="5"/>
              <w:spacing w:line="360" w:lineRule="auto"/>
              <w:ind w:firstLine="200"/>
              <w:jc w:val="center"/>
              <w:rPr>
                <w:rFonts w:ascii="仿宋" w:hAnsi="仿宋" w:eastAsia="仿宋" w:cs="仿宋"/>
                <w:color w:val="auto"/>
                <w:sz w:val="24"/>
                <w:szCs w:val="24"/>
                <w:highlight w:val="none"/>
              </w:rPr>
            </w:pPr>
          </w:p>
        </w:tc>
        <w:tc>
          <w:tcPr>
            <w:tcW w:w="935" w:type="dxa"/>
            <w:vAlign w:val="center"/>
          </w:tcPr>
          <w:p w14:paraId="30F9E5CB">
            <w:pPr>
              <w:pStyle w:val="5"/>
              <w:spacing w:line="360" w:lineRule="auto"/>
              <w:ind w:firstLine="200"/>
              <w:jc w:val="center"/>
              <w:rPr>
                <w:rFonts w:ascii="仿宋" w:hAnsi="仿宋" w:eastAsia="仿宋" w:cs="仿宋"/>
                <w:color w:val="auto"/>
                <w:sz w:val="24"/>
                <w:szCs w:val="24"/>
                <w:highlight w:val="none"/>
              </w:rPr>
            </w:pPr>
          </w:p>
        </w:tc>
      </w:tr>
      <w:tr w14:paraId="68F67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764" w:type="dxa"/>
            <w:vAlign w:val="center"/>
          </w:tcPr>
          <w:p w14:paraId="1660186A">
            <w:pPr>
              <w:pStyle w:val="5"/>
              <w:spacing w:line="360" w:lineRule="auto"/>
              <w:ind w:firstLine="200"/>
              <w:jc w:val="center"/>
              <w:rPr>
                <w:rFonts w:ascii="仿宋" w:hAnsi="仿宋" w:eastAsia="仿宋" w:cs="仿宋"/>
                <w:color w:val="auto"/>
                <w:sz w:val="24"/>
                <w:szCs w:val="24"/>
                <w:highlight w:val="none"/>
              </w:rPr>
            </w:pPr>
          </w:p>
        </w:tc>
        <w:tc>
          <w:tcPr>
            <w:tcW w:w="1521" w:type="dxa"/>
            <w:vAlign w:val="center"/>
          </w:tcPr>
          <w:p w14:paraId="37B86048">
            <w:pPr>
              <w:pStyle w:val="5"/>
              <w:spacing w:line="360" w:lineRule="auto"/>
              <w:ind w:firstLine="200"/>
              <w:jc w:val="center"/>
              <w:rPr>
                <w:rFonts w:ascii="仿宋" w:hAnsi="仿宋" w:eastAsia="仿宋" w:cs="仿宋"/>
                <w:color w:val="auto"/>
                <w:sz w:val="24"/>
                <w:szCs w:val="24"/>
                <w:highlight w:val="none"/>
              </w:rPr>
            </w:pPr>
          </w:p>
        </w:tc>
        <w:tc>
          <w:tcPr>
            <w:tcW w:w="1383" w:type="dxa"/>
            <w:vAlign w:val="center"/>
          </w:tcPr>
          <w:p w14:paraId="450D7F1B">
            <w:pPr>
              <w:pStyle w:val="5"/>
              <w:spacing w:line="360" w:lineRule="auto"/>
              <w:ind w:firstLine="200"/>
              <w:jc w:val="center"/>
              <w:rPr>
                <w:rFonts w:ascii="仿宋" w:hAnsi="仿宋" w:eastAsia="仿宋" w:cs="仿宋"/>
                <w:color w:val="auto"/>
                <w:sz w:val="24"/>
                <w:szCs w:val="24"/>
                <w:highlight w:val="none"/>
              </w:rPr>
            </w:pPr>
          </w:p>
        </w:tc>
        <w:tc>
          <w:tcPr>
            <w:tcW w:w="1208" w:type="dxa"/>
            <w:vAlign w:val="center"/>
          </w:tcPr>
          <w:p w14:paraId="46A03B7F">
            <w:pPr>
              <w:pStyle w:val="5"/>
              <w:spacing w:line="360" w:lineRule="auto"/>
              <w:ind w:firstLine="200"/>
              <w:jc w:val="center"/>
              <w:rPr>
                <w:rFonts w:ascii="仿宋" w:hAnsi="仿宋" w:eastAsia="仿宋" w:cs="仿宋"/>
                <w:color w:val="auto"/>
                <w:sz w:val="24"/>
                <w:szCs w:val="24"/>
                <w:highlight w:val="none"/>
              </w:rPr>
            </w:pPr>
          </w:p>
        </w:tc>
        <w:tc>
          <w:tcPr>
            <w:tcW w:w="935" w:type="dxa"/>
            <w:vAlign w:val="center"/>
          </w:tcPr>
          <w:p w14:paraId="7242E7C2">
            <w:pPr>
              <w:pStyle w:val="5"/>
              <w:spacing w:line="360" w:lineRule="auto"/>
              <w:ind w:firstLine="200"/>
              <w:jc w:val="center"/>
              <w:rPr>
                <w:rFonts w:ascii="仿宋" w:hAnsi="仿宋" w:eastAsia="仿宋" w:cs="仿宋"/>
                <w:color w:val="auto"/>
                <w:sz w:val="24"/>
                <w:szCs w:val="24"/>
                <w:highlight w:val="none"/>
              </w:rPr>
            </w:pPr>
          </w:p>
        </w:tc>
        <w:tc>
          <w:tcPr>
            <w:tcW w:w="935" w:type="dxa"/>
            <w:vAlign w:val="center"/>
          </w:tcPr>
          <w:p w14:paraId="7C408A8B">
            <w:pPr>
              <w:pStyle w:val="5"/>
              <w:spacing w:line="360" w:lineRule="auto"/>
              <w:ind w:firstLine="200"/>
              <w:jc w:val="center"/>
              <w:rPr>
                <w:rFonts w:ascii="仿宋" w:hAnsi="仿宋" w:eastAsia="仿宋" w:cs="仿宋"/>
                <w:color w:val="auto"/>
                <w:sz w:val="24"/>
                <w:szCs w:val="24"/>
                <w:highlight w:val="none"/>
              </w:rPr>
            </w:pPr>
          </w:p>
        </w:tc>
        <w:tc>
          <w:tcPr>
            <w:tcW w:w="935" w:type="dxa"/>
            <w:vAlign w:val="center"/>
          </w:tcPr>
          <w:p w14:paraId="443CEB4C">
            <w:pPr>
              <w:pStyle w:val="5"/>
              <w:spacing w:line="360" w:lineRule="auto"/>
              <w:ind w:firstLine="200"/>
              <w:jc w:val="center"/>
              <w:rPr>
                <w:rFonts w:ascii="仿宋" w:hAnsi="仿宋" w:eastAsia="仿宋" w:cs="仿宋"/>
                <w:color w:val="auto"/>
                <w:sz w:val="24"/>
                <w:szCs w:val="24"/>
                <w:highlight w:val="none"/>
              </w:rPr>
            </w:pPr>
          </w:p>
        </w:tc>
      </w:tr>
      <w:tr w14:paraId="18507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764" w:type="dxa"/>
            <w:vAlign w:val="center"/>
          </w:tcPr>
          <w:p w14:paraId="41D34A5A">
            <w:pPr>
              <w:pStyle w:val="5"/>
              <w:spacing w:line="360" w:lineRule="auto"/>
              <w:ind w:firstLine="200"/>
              <w:jc w:val="center"/>
              <w:rPr>
                <w:rFonts w:ascii="仿宋" w:hAnsi="仿宋" w:eastAsia="仿宋" w:cs="仿宋"/>
                <w:color w:val="auto"/>
                <w:sz w:val="24"/>
                <w:szCs w:val="24"/>
                <w:highlight w:val="none"/>
              </w:rPr>
            </w:pPr>
          </w:p>
        </w:tc>
        <w:tc>
          <w:tcPr>
            <w:tcW w:w="1521" w:type="dxa"/>
            <w:vAlign w:val="center"/>
          </w:tcPr>
          <w:p w14:paraId="5F926C26">
            <w:pPr>
              <w:pStyle w:val="5"/>
              <w:spacing w:line="360" w:lineRule="auto"/>
              <w:ind w:firstLine="200"/>
              <w:jc w:val="center"/>
              <w:rPr>
                <w:rFonts w:ascii="仿宋" w:hAnsi="仿宋" w:eastAsia="仿宋" w:cs="仿宋"/>
                <w:color w:val="auto"/>
                <w:sz w:val="24"/>
                <w:szCs w:val="24"/>
                <w:highlight w:val="none"/>
              </w:rPr>
            </w:pPr>
          </w:p>
        </w:tc>
        <w:tc>
          <w:tcPr>
            <w:tcW w:w="1383" w:type="dxa"/>
            <w:vAlign w:val="center"/>
          </w:tcPr>
          <w:p w14:paraId="07A2186E">
            <w:pPr>
              <w:pStyle w:val="5"/>
              <w:spacing w:line="360" w:lineRule="auto"/>
              <w:ind w:firstLine="200"/>
              <w:jc w:val="center"/>
              <w:rPr>
                <w:rFonts w:ascii="仿宋" w:hAnsi="仿宋" w:eastAsia="仿宋" w:cs="仿宋"/>
                <w:color w:val="auto"/>
                <w:sz w:val="24"/>
                <w:szCs w:val="24"/>
                <w:highlight w:val="none"/>
              </w:rPr>
            </w:pPr>
          </w:p>
        </w:tc>
        <w:tc>
          <w:tcPr>
            <w:tcW w:w="1208" w:type="dxa"/>
            <w:vAlign w:val="center"/>
          </w:tcPr>
          <w:p w14:paraId="3E99F256">
            <w:pPr>
              <w:pStyle w:val="5"/>
              <w:spacing w:line="360" w:lineRule="auto"/>
              <w:ind w:firstLine="200"/>
              <w:jc w:val="center"/>
              <w:rPr>
                <w:rFonts w:ascii="仿宋" w:hAnsi="仿宋" w:eastAsia="仿宋" w:cs="仿宋"/>
                <w:color w:val="auto"/>
                <w:sz w:val="24"/>
                <w:szCs w:val="24"/>
                <w:highlight w:val="none"/>
              </w:rPr>
            </w:pPr>
          </w:p>
        </w:tc>
        <w:tc>
          <w:tcPr>
            <w:tcW w:w="935" w:type="dxa"/>
            <w:vAlign w:val="center"/>
          </w:tcPr>
          <w:p w14:paraId="6539A4F9">
            <w:pPr>
              <w:pStyle w:val="5"/>
              <w:spacing w:line="360" w:lineRule="auto"/>
              <w:ind w:firstLine="200"/>
              <w:jc w:val="center"/>
              <w:rPr>
                <w:rFonts w:ascii="仿宋" w:hAnsi="仿宋" w:eastAsia="仿宋" w:cs="仿宋"/>
                <w:color w:val="auto"/>
                <w:sz w:val="24"/>
                <w:szCs w:val="24"/>
                <w:highlight w:val="none"/>
              </w:rPr>
            </w:pPr>
          </w:p>
        </w:tc>
        <w:tc>
          <w:tcPr>
            <w:tcW w:w="935" w:type="dxa"/>
            <w:vAlign w:val="center"/>
          </w:tcPr>
          <w:p w14:paraId="1F28931A">
            <w:pPr>
              <w:pStyle w:val="5"/>
              <w:spacing w:line="360" w:lineRule="auto"/>
              <w:ind w:firstLine="200"/>
              <w:jc w:val="center"/>
              <w:rPr>
                <w:rFonts w:ascii="仿宋" w:hAnsi="仿宋" w:eastAsia="仿宋" w:cs="仿宋"/>
                <w:color w:val="auto"/>
                <w:sz w:val="24"/>
                <w:szCs w:val="24"/>
                <w:highlight w:val="none"/>
              </w:rPr>
            </w:pPr>
          </w:p>
        </w:tc>
        <w:tc>
          <w:tcPr>
            <w:tcW w:w="935" w:type="dxa"/>
            <w:vAlign w:val="center"/>
          </w:tcPr>
          <w:p w14:paraId="2B58F21B">
            <w:pPr>
              <w:pStyle w:val="5"/>
              <w:spacing w:line="360" w:lineRule="auto"/>
              <w:ind w:firstLine="200"/>
              <w:jc w:val="center"/>
              <w:rPr>
                <w:rFonts w:ascii="仿宋" w:hAnsi="仿宋" w:eastAsia="仿宋" w:cs="仿宋"/>
                <w:color w:val="auto"/>
                <w:sz w:val="24"/>
                <w:szCs w:val="24"/>
                <w:highlight w:val="none"/>
              </w:rPr>
            </w:pPr>
          </w:p>
        </w:tc>
      </w:tr>
      <w:tr w14:paraId="79F7A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2285" w:type="dxa"/>
            <w:gridSpan w:val="2"/>
            <w:vAlign w:val="center"/>
          </w:tcPr>
          <w:p w14:paraId="297B22C5">
            <w:pPr>
              <w:pStyle w:val="5"/>
              <w:spacing w:line="360" w:lineRule="auto"/>
              <w:ind w:firstLine="200"/>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合计</w:t>
            </w:r>
          </w:p>
        </w:tc>
        <w:tc>
          <w:tcPr>
            <w:tcW w:w="5396" w:type="dxa"/>
            <w:gridSpan w:val="5"/>
            <w:vAlign w:val="center"/>
          </w:tcPr>
          <w:p w14:paraId="550CE131">
            <w:pPr>
              <w:pStyle w:val="5"/>
              <w:spacing w:line="360" w:lineRule="auto"/>
              <w:ind w:firstLine="200"/>
              <w:jc w:val="both"/>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小写：</w:t>
            </w:r>
          </w:p>
          <w:p w14:paraId="6E626D81">
            <w:pPr>
              <w:pStyle w:val="5"/>
              <w:spacing w:line="360" w:lineRule="auto"/>
              <w:ind w:firstLine="200"/>
              <w:jc w:val="both"/>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大写：</w:t>
            </w:r>
          </w:p>
        </w:tc>
      </w:tr>
    </w:tbl>
    <w:p w14:paraId="1C675192">
      <w:pPr>
        <w:spacing w:line="360" w:lineRule="auto"/>
        <w:ind w:firstLine="482" w:firstLineChars="200"/>
        <w:outlineLvl w:val="0"/>
        <w:rPr>
          <w:rFonts w:ascii="仿宋" w:hAnsi="仿宋" w:eastAsia="仿宋" w:cs="仿宋"/>
          <w:b/>
          <w:color w:val="auto"/>
          <w:sz w:val="24"/>
          <w:highlight w:val="none"/>
        </w:rPr>
      </w:pPr>
      <w:bookmarkStart w:id="41" w:name="_Toc15617"/>
      <w:bookmarkStart w:id="42" w:name="_Toc30506"/>
      <w:bookmarkStart w:id="43" w:name="_Toc17236"/>
      <w:bookmarkStart w:id="44" w:name="_Toc13113"/>
      <w:bookmarkStart w:id="45" w:name="_Toc17639"/>
      <w:bookmarkStart w:id="46" w:name="_Toc30158"/>
      <w:bookmarkStart w:id="47" w:name="_Toc14993"/>
      <w:bookmarkStart w:id="48" w:name="_Toc3654"/>
      <w:bookmarkStart w:id="49" w:name="_Toc26916"/>
      <w:r>
        <w:rPr>
          <w:rFonts w:hint="eastAsia" w:ascii="仿宋" w:hAnsi="仿宋" w:eastAsia="仿宋" w:cs="仿宋"/>
          <w:b/>
          <w:color w:val="auto"/>
          <w:sz w:val="24"/>
          <w:highlight w:val="none"/>
        </w:rPr>
        <w:t>1.4 付款方式和发票开具方式</w:t>
      </w:r>
      <w:bookmarkEnd w:id="41"/>
      <w:bookmarkEnd w:id="42"/>
      <w:bookmarkEnd w:id="43"/>
      <w:bookmarkEnd w:id="44"/>
      <w:bookmarkEnd w:id="45"/>
      <w:bookmarkEnd w:id="46"/>
      <w:bookmarkEnd w:id="47"/>
      <w:bookmarkEnd w:id="48"/>
      <w:bookmarkEnd w:id="49"/>
    </w:p>
    <w:p w14:paraId="5B80846C">
      <w:pPr>
        <w:spacing w:line="360" w:lineRule="auto"/>
        <w:ind w:firstLine="480" w:firstLineChars="200"/>
        <w:outlineLvl w:val="1"/>
        <w:rPr>
          <w:rFonts w:ascii="仿宋" w:hAnsi="仿宋" w:eastAsia="仿宋" w:cs="仿宋"/>
          <w:color w:val="auto"/>
          <w:sz w:val="24"/>
          <w:highlight w:val="none"/>
        </w:rPr>
      </w:pPr>
      <w:bookmarkStart w:id="50" w:name="_Toc10519"/>
      <w:bookmarkStart w:id="51" w:name="_Toc8772"/>
      <w:bookmarkStart w:id="52" w:name="_Toc17784"/>
      <w:bookmarkStart w:id="53" w:name="_Toc11108"/>
      <w:bookmarkStart w:id="54" w:name="_Toc31421"/>
      <w:bookmarkStart w:id="55" w:name="_Toc4760"/>
      <w:bookmarkStart w:id="56" w:name="_Toc19039"/>
      <w:bookmarkStart w:id="57" w:name="_Toc3625"/>
      <w:r>
        <w:rPr>
          <w:rFonts w:hint="eastAsia" w:ascii="仿宋" w:hAnsi="仿宋" w:eastAsia="仿宋" w:cs="仿宋"/>
          <w:color w:val="auto"/>
          <w:sz w:val="24"/>
          <w:highlight w:val="none"/>
        </w:rPr>
        <w:t>1.4.1 付款方式：</w:t>
      </w:r>
      <w:bookmarkEnd w:id="50"/>
    </w:p>
    <w:p w14:paraId="0ED630B2">
      <w:pPr>
        <w:spacing w:line="360" w:lineRule="auto"/>
        <w:ind w:firstLine="480" w:firstLineChars="200"/>
        <w:outlineLvl w:val="1"/>
        <w:rPr>
          <w:rFonts w:hint="eastAsia" w:ascii="仿宋" w:hAnsi="仿宋" w:eastAsia="仿宋" w:cs="仿宋"/>
          <w:color w:val="auto"/>
          <w:sz w:val="24"/>
          <w:highlight w:val="none"/>
          <w:lang w:val="hr-HR"/>
        </w:rPr>
      </w:pPr>
      <w:bookmarkStart w:id="58" w:name="_Toc18713"/>
      <w:r>
        <w:rPr>
          <w:rFonts w:hint="eastAsia" w:ascii="仿宋" w:hAnsi="仿宋" w:eastAsia="仿宋" w:cs="仿宋"/>
          <w:color w:val="auto"/>
          <w:sz w:val="24"/>
          <w:highlight w:val="none"/>
        </w:rPr>
        <w:t>（1）</w:t>
      </w:r>
      <w:bookmarkEnd w:id="58"/>
      <w:bookmarkStart w:id="59" w:name="_Toc9505"/>
      <w:r>
        <w:rPr>
          <w:rFonts w:hint="eastAsia" w:ascii="仿宋" w:hAnsi="仿宋" w:eastAsia="仿宋" w:cs="仿宋"/>
          <w:color w:val="auto"/>
          <w:sz w:val="24"/>
          <w:highlight w:val="none"/>
          <w:lang w:val="hr-HR"/>
        </w:rPr>
        <w:t>合同签订前，⼄⽅须向甲⽅缴纳合同总⾦额3%的履约保证⾦（</w:t>
      </w:r>
      <w:r>
        <w:rPr>
          <w:rFonts w:hint="eastAsia" w:ascii="仿宋" w:hAnsi="仿宋" w:eastAsia="仿宋" w:cs="仿宋"/>
          <w:color w:val="auto"/>
          <w:sz w:val="24"/>
          <w:szCs w:val="24"/>
          <w:highlight w:val="none"/>
        </w:rPr>
        <w:t>供应商应当以支票、汇票、本票或者金融机构、担保机构出具的保函等非现金形式提交</w:t>
      </w:r>
      <w:r>
        <w:rPr>
          <w:rFonts w:hint="eastAsia" w:ascii="仿宋" w:hAnsi="仿宋" w:eastAsia="仿宋" w:cs="仿宋"/>
          <w:color w:val="auto"/>
          <w:sz w:val="24"/>
          <w:highlight w:val="none"/>
          <w:lang w:val="hr-HR"/>
        </w:rPr>
        <w:t>），履约保证⾦待项目验收合格并提供验收报告后30日历天内，⽆息退还。</w:t>
      </w:r>
    </w:p>
    <w:bookmarkEnd w:id="59"/>
    <w:p w14:paraId="3C29BD16">
      <w:pPr>
        <w:spacing w:line="360" w:lineRule="auto"/>
        <w:ind w:firstLine="480" w:firstLineChars="200"/>
        <w:outlineLvl w:val="1"/>
        <w:rPr>
          <w:rFonts w:ascii="仿宋" w:hAnsi="仿宋" w:eastAsia="仿宋" w:cs="仿宋"/>
          <w:color w:val="auto"/>
          <w:sz w:val="24"/>
          <w:highlight w:val="none"/>
        </w:rPr>
      </w:pPr>
      <w:bookmarkStart w:id="60" w:name="_Toc3343"/>
      <w:r>
        <w:rPr>
          <w:rFonts w:hint="eastAsia" w:ascii="仿宋" w:hAnsi="仿宋" w:eastAsia="仿宋" w:cs="仿宋"/>
          <w:color w:val="auto"/>
          <w:sz w:val="24"/>
          <w:highlight w:val="none"/>
        </w:rPr>
        <w:t>（2）甲方付款约定：本项目分3次支付。</w:t>
      </w:r>
      <w:bookmarkEnd w:id="60"/>
    </w:p>
    <w:p w14:paraId="5E80C979">
      <w:pPr>
        <w:spacing w:line="360" w:lineRule="auto"/>
        <w:ind w:firstLine="480" w:firstLineChars="200"/>
        <w:outlineLvl w:val="1"/>
        <w:rPr>
          <w:rFonts w:hint="eastAsia" w:ascii="仿宋" w:hAnsi="仿宋" w:eastAsia="仿宋" w:cs="仿宋"/>
          <w:color w:val="auto"/>
          <w:sz w:val="24"/>
          <w:highlight w:val="none"/>
        </w:rPr>
      </w:pPr>
      <w:bookmarkStart w:id="61" w:name="_Toc18630"/>
      <w:bookmarkStart w:id="62" w:name="_Toc1351"/>
      <w:r>
        <w:rPr>
          <w:rFonts w:hint="eastAsia" w:ascii="仿宋" w:hAnsi="仿宋" w:eastAsia="仿宋" w:cs="仿宋"/>
          <w:color w:val="auto"/>
          <w:sz w:val="24"/>
          <w:highlight w:val="none"/>
        </w:rPr>
        <w:t>合同签订后，达到付款条件起10日内，支付合同总金额的40%；设备安装、调试正常，软件开发完成且初步验收后，达到付款条件起10日内，支付合同总金额的40%；项目试运行满一个月，达到付款条件起10日内，支付合同总金额的20%。</w:t>
      </w:r>
    </w:p>
    <w:p w14:paraId="693C2E0B">
      <w:pPr>
        <w:spacing w:line="360" w:lineRule="auto"/>
        <w:ind w:firstLine="482" w:firstLineChars="200"/>
        <w:outlineLvl w:val="0"/>
        <w:rPr>
          <w:rFonts w:ascii="仿宋" w:hAnsi="仿宋" w:eastAsia="仿宋" w:cs="仿宋"/>
          <w:b/>
          <w:color w:val="auto"/>
          <w:sz w:val="24"/>
          <w:highlight w:val="none"/>
        </w:rPr>
      </w:pPr>
      <w:r>
        <w:rPr>
          <w:rFonts w:hint="eastAsia" w:ascii="仿宋" w:hAnsi="仿宋" w:eastAsia="仿宋" w:cs="仿宋"/>
          <w:b/>
          <w:color w:val="auto"/>
          <w:sz w:val="24"/>
          <w:highlight w:val="none"/>
        </w:rPr>
        <w:t>1.5 履行期限、地点和方式</w:t>
      </w:r>
      <w:bookmarkEnd w:id="51"/>
      <w:bookmarkEnd w:id="52"/>
      <w:bookmarkEnd w:id="53"/>
      <w:bookmarkEnd w:id="54"/>
      <w:bookmarkEnd w:id="55"/>
      <w:bookmarkEnd w:id="56"/>
      <w:bookmarkEnd w:id="57"/>
      <w:bookmarkEnd w:id="61"/>
      <w:bookmarkEnd w:id="62"/>
    </w:p>
    <w:p w14:paraId="1CE8D432">
      <w:pPr>
        <w:spacing w:line="360" w:lineRule="auto"/>
        <w:ind w:firstLine="480" w:firstLineChars="200"/>
        <w:rPr>
          <w:rFonts w:ascii="仿宋" w:hAnsi="仿宋" w:eastAsia="仿宋" w:cs="仿宋"/>
          <w:color w:val="auto"/>
          <w:sz w:val="24"/>
          <w:highlight w:val="none"/>
          <w:u w:val="single"/>
        </w:rPr>
      </w:pPr>
      <w:r>
        <w:rPr>
          <w:rFonts w:hint="eastAsia" w:ascii="仿宋" w:hAnsi="仿宋" w:eastAsia="仿宋" w:cs="仿宋"/>
          <w:color w:val="auto"/>
          <w:sz w:val="24"/>
          <w:highlight w:val="none"/>
        </w:rPr>
        <w:t>1.5.1 工期：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0B289165">
      <w:pPr>
        <w:spacing w:line="360" w:lineRule="auto"/>
        <w:ind w:firstLine="480" w:firstLineChars="200"/>
        <w:rPr>
          <w:rFonts w:ascii="仿宋" w:hAnsi="仿宋" w:eastAsia="仿宋" w:cs="仿宋"/>
          <w:color w:val="auto"/>
          <w:sz w:val="24"/>
          <w:highlight w:val="none"/>
          <w:u w:val="single"/>
        </w:rPr>
      </w:pPr>
      <w:r>
        <w:rPr>
          <w:rFonts w:hint="eastAsia" w:ascii="仿宋" w:hAnsi="仿宋" w:eastAsia="仿宋" w:cs="仿宋"/>
          <w:color w:val="auto"/>
          <w:sz w:val="24"/>
          <w:highlight w:val="none"/>
        </w:rPr>
        <w:t>1.5.2 地点：</w:t>
      </w:r>
      <w:r>
        <w:rPr>
          <w:rFonts w:hint="eastAsia" w:ascii="仿宋" w:hAnsi="仿宋" w:eastAsia="仿宋" w:cs="仿宋"/>
          <w:color w:val="auto"/>
          <w:sz w:val="24"/>
          <w:highlight w:val="none"/>
          <w:u w:val="single"/>
        </w:rPr>
        <w:t>采购人指定地点</w:t>
      </w:r>
      <w:r>
        <w:rPr>
          <w:rFonts w:hint="eastAsia" w:ascii="仿宋" w:hAnsi="仿宋" w:eastAsia="仿宋" w:cs="仿宋"/>
          <w:color w:val="auto"/>
          <w:sz w:val="24"/>
          <w:highlight w:val="none"/>
        </w:rPr>
        <w:t>。</w:t>
      </w:r>
    </w:p>
    <w:p w14:paraId="4B5EC14B">
      <w:pPr>
        <w:spacing w:line="360" w:lineRule="auto"/>
        <w:ind w:firstLine="482" w:firstLineChars="200"/>
        <w:outlineLvl w:val="0"/>
        <w:rPr>
          <w:rFonts w:ascii="仿宋" w:hAnsi="仿宋" w:eastAsia="仿宋" w:cs="仿宋"/>
          <w:color w:val="auto"/>
          <w:sz w:val="24"/>
          <w:highlight w:val="none"/>
          <w:u w:val="single"/>
        </w:rPr>
      </w:pPr>
      <w:bookmarkStart w:id="63" w:name="_Toc3079"/>
      <w:bookmarkStart w:id="64" w:name="_Toc18097"/>
      <w:bookmarkStart w:id="65" w:name="_Toc8586"/>
      <w:bookmarkStart w:id="66" w:name="_Toc5698"/>
      <w:bookmarkStart w:id="67" w:name="_Toc15869"/>
      <w:bookmarkStart w:id="68" w:name="_Toc24662"/>
      <w:bookmarkStart w:id="69" w:name="_Toc8244"/>
      <w:bookmarkStart w:id="70" w:name="_Toc3232"/>
      <w:bookmarkStart w:id="71" w:name="_Toc2375"/>
      <w:r>
        <w:rPr>
          <w:rFonts w:hint="eastAsia" w:ascii="仿宋" w:hAnsi="仿宋" w:eastAsia="仿宋" w:cs="仿宋"/>
          <w:b/>
          <w:color w:val="auto"/>
          <w:sz w:val="24"/>
          <w:highlight w:val="none"/>
        </w:rPr>
        <w:t>1.6 违约责任</w:t>
      </w:r>
      <w:bookmarkEnd w:id="63"/>
      <w:bookmarkEnd w:id="64"/>
      <w:bookmarkEnd w:id="65"/>
      <w:bookmarkEnd w:id="66"/>
      <w:bookmarkEnd w:id="67"/>
      <w:bookmarkEnd w:id="68"/>
      <w:bookmarkEnd w:id="69"/>
      <w:bookmarkEnd w:id="70"/>
      <w:bookmarkEnd w:id="71"/>
    </w:p>
    <w:p w14:paraId="385713FD">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1.6.1 除不可抗力外，如果乙方没有按照本合同约定的期限、地点和方式履行，那么甲方可要求乙方支付违约金，违约金按每迟延履行一日的应提供而未提供服务价格的</w:t>
      </w:r>
      <w:r>
        <w:rPr>
          <w:rFonts w:hint="eastAsia" w:ascii="仿宋" w:hAnsi="仿宋" w:eastAsia="仿宋" w:cs="仿宋"/>
          <w:color w:val="auto"/>
          <w:sz w:val="24"/>
          <w:highlight w:val="none"/>
          <w:u w:val="single"/>
        </w:rPr>
        <w:t>0.5</w:t>
      </w:r>
      <w:r>
        <w:rPr>
          <w:rFonts w:hint="eastAsia" w:ascii="仿宋" w:hAnsi="仿宋" w:eastAsia="仿宋" w:cs="仿宋"/>
          <w:color w:val="auto"/>
          <w:sz w:val="24"/>
          <w:highlight w:val="none"/>
        </w:rPr>
        <w:t>%计算，最高限额为本合同总价的</w:t>
      </w:r>
      <w:r>
        <w:rPr>
          <w:rFonts w:hint="eastAsia" w:ascii="仿宋" w:hAnsi="仿宋" w:eastAsia="仿宋" w:cs="仿宋"/>
          <w:color w:val="auto"/>
          <w:sz w:val="24"/>
          <w:highlight w:val="none"/>
          <w:u w:val="single"/>
        </w:rPr>
        <w:t>5</w:t>
      </w:r>
      <w:r>
        <w:rPr>
          <w:rFonts w:hint="eastAsia" w:ascii="仿宋" w:hAnsi="仿宋" w:eastAsia="仿宋" w:cs="仿宋"/>
          <w:color w:val="auto"/>
          <w:sz w:val="24"/>
          <w:highlight w:val="none"/>
        </w:rPr>
        <w:t>%；迟延履行的违约金计算数额达到前述最高限额之日起，甲方有权在要求乙方支付违约金的同时，书面通知乙方解除本合同；</w:t>
      </w:r>
    </w:p>
    <w:p w14:paraId="5ADDE4AD">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1.6.2 除不可抗力外，如果甲方没有按照本合同约定的付款方式付款，那么乙方可要求甲方支付违约金，违约金按每迟延付款一日的应付而未付款的</w:t>
      </w:r>
      <w:r>
        <w:rPr>
          <w:rFonts w:hint="eastAsia" w:ascii="仿宋" w:hAnsi="仿宋" w:eastAsia="仿宋" w:cs="仿宋"/>
          <w:color w:val="auto"/>
          <w:sz w:val="24"/>
          <w:highlight w:val="none"/>
          <w:u w:val="single"/>
        </w:rPr>
        <w:t>0.5</w:t>
      </w:r>
      <w:r>
        <w:rPr>
          <w:rFonts w:hint="eastAsia" w:ascii="仿宋" w:hAnsi="仿宋" w:eastAsia="仿宋" w:cs="仿宋"/>
          <w:color w:val="auto"/>
          <w:sz w:val="24"/>
          <w:highlight w:val="none"/>
        </w:rPr>
        <w:t>%计算，最高限额为本合同总价的</w:t>
      </w:r>
      <w:r>
        <w:rPr>
          <w:rFonts w:hint="eastAsia" w:ascii="仿宋" w:hAnsi="仿宋" w:eastAsia="仿宋" w:cs="仿宋"/>
          <w:color w:val="auto"/>
          <w:sz w:val="24"/>
          <w:highlight w:val="none"/>
          <w:u w:val="single"/>
        </w:rPr>
        <w:t>5</w:t>
      </w:r>
      <w:r>
        <w:rPr>
          <w:rFonts w:hint="eastAsia" w:ascii="仿宋" w:hAnsi="仿宋" w:eastAsia="仿宋" w:cs="仿宋"/>
          <w:color w:val="auto"/>
          <w:sz w:val="24"/>
          <w:highlight w:val="none"/>
        </w:rPr>
        <w:t>%；迟延付款的违约金计算数额达到前述最高限额之日起，乙方有权在要求甲方支付违约金的同时，书面通知甲方解除本合同；</w:t>
      </w:r>
    </w:p>
    <w:p w14:paraId="1ED05B27">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1.6.3 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来影响对方当事人在合同签订、履行过程中的行为）或者欺诈行为（即：以谎报事实或隐瞒真相的方法来影响对方当事人在合同签订、履行过程中的行为）的，对方当事人可以书面通知违约方解除本合同；</w:t>
      </w:r>
    </w:p>
    <w:p w14:paraId="68C0C310">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1.6.4 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342B2437">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1.6.5 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34E1D710">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1.6.6 如果出现政府采购监督管理部门在处理投诉事项期间，书面通知甲方暂停采购活动的情形，或者询问或质疑事项可能影响成交结果的，导致甲方中止履行合同的情形，均不视为甲方违约。</w:t>
      </w:r>
    </w:p>
    <w:p w14:paraId="544D00BD">
      <w:pPr>
        <w:spacing w:line="360" w:lineRule="auto"/>
        <w:ind w:firstLine="482" w:firstLineChars="200"/>
        <w:outlineLvl w:val="0"/>
        <w:rPr>
          <w:rFonts w:ascii="仿宋" w:hAnsi="仿宋" w:eastAsia="仿宋" w:cs="仿宋"/>
          <w:b/>
          <w:color w:val="auto"/>
          <w:sz w:val="24"/>
          <w:highlight w:val="none"/>
        </w:rPr>
      </w:pPr>
      <w:bookmarkStart w:id="72" w:name="_Toc14686"/>
      <w:bookmarkStart w:id="73" w:name="_Toc9497"/>
      <w:bookmarkStart w:id="74" w:name="_Toc18683"/>
      <w:bookmarkStart w:id="75" w:name="_Toc32454"/>
      <w:bookmarkStart w:id="76" w:name="_Toc29170"/>
      <w:bookmarkStart w:id="77" w:name="_Toc10582"/>
      <w:bookmarkStart w:id="78" w:name="_Toc26807"/>
      <w:bookmarkStart w:id="79" w:name="_Toc14537"/>
      <w:bookmarkStart w:id="80" w:name="_Toc30329"/>
      <w:r>
        <w:rPr>
          <w:rFonts w:hint="eastAsia" w:ascii="仿宋" w:hAnsi="仿宋" w:eastAsia="仿宋" w:cs="仿宋"/>
          <w:b/>
          <w:color w:val="auto"/>
          <w:sz w:val="24"/>
          <w:highlight w:val="none"/>
        </w:rPr>
        <w:t>1.7 合同争议的解决</w:t>
      </w:r>
      <w:bookmarkEnd w:id="72"/>
      <w:bookmarkEnd w:id="73"/>
      <w:bookmarkEnd w:id="74"/>
      <w:bookmarkEnd w:id="75"/>
      <w:bookmarkEnd w:id="76"/>
      <w:bookmarkEnd w:id="77"/>
      <w:bookmarkEnd w:id="78"/>
      <w:bookmarkEnd w:id="79"/>
      <w:bookmarkEnd w:id="80"/>
    </w:p>
    <w:p w14:paraId="3085F4C0">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highlight w:val="none"/>
        </w:rPr>
      </w:pPr>
      <w:r>
        <w:rPr>
          <w:rFonts w:hint="eastAsia" w:ascii="仿宋" w:hAnsi="仿宋" w:eastAsia="仿宋" w:cs="仿宋"/>
          <w:color w:val="auto"/>
          <w:sz w:val="24"/>
          <w:highlight w:val="none"/>
        </w:rPr>
        <w:t>本合同履行过程中发生的任何争议，双方当事人均可通过和解或者调解解决；不愿和解、调解或者和解、调解不成的，可以选择下列第</w:t>
      </w:r>
      <w:r>
        <w:rPr>
          <w:rFonts w:hint="eastAsia" w:ascii="仿宋" w:hAnsi="仿宋" w:eastAsia="仿宋" w:cs="仿宋"/>
          <w:color w:val="auto"/>
          <w:sz w:val="24"/>
          <w:highlight w:val="none"/>
          <w:u w:val="single"/>
        </w:rPr>
        <w:t>1.7.2款</w:t>
      </w:r>
      <w:r>
        <w:rPr>
          <w:rFonts w:hint="eastAsia" w:ascii="仿宋" w:hAnsi="仿宋" w:eastAsia="仿宋" w:cs="仿宋"/>
          <w:color w:val="auto"/>
          <w:sz w:val="24"/>
          <w:highlight w:val="none"/>
        </w:rPr>
        <w:t>方式解决：</w:t>
      </w:r>
    </w:p>
    <w:p w14:paraId="496BA76A">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highlight w:val="none"/>
        </w:rPr>
      </w:pPr>
      <w:r>
        <w:rPr>
          <w:rFonts w:hint="eastAsia" w:ascii="仿宋" w:hAnsi="仿宋" w:eastAsia="仿宋" w:cs="仿宋"/>
          <w:color w:val="auto"/>
          <w:sz w:val="24"/>
          <w:highlight w:val="none"/>
        </w:rPr>
        <w:t>1.7.1 将争议提交</w:t>
      </w:r>
      <w:r>
        <w:rPr>
          <w:rFonts w:hint="eastAsia" w:ascii="仿宋" w:hAnsi="仿宋" w:eastAsia="仿宋" w:cs="仿宋"/>
          <w:color w:val="auto"/>
          <w:sz w:val="24"/>
          <w:highlight w:val="none"/>
          <w:u w:val="single"/>
        </w:rPr>
        <w:t>西安市</w:t>
      </w:r>
      <w:r>
        <w:rPr>
          <w:rFonts w:hint="eastAsia" w:ascii="仿宋" w:hAnsi="仿宋" w:eastAsia="仿宋" w:cs="仿宋"/>
          <w:color w:val="auto"/>
          <w:sz w:val="24"/>
          <w:highlight w:val="none"/>
        </w:rPr>
        <w:t>仲裁委员会依申请仲裁时其现行有效的仲裁规则裁决；</w:t>
      </w:r>
    </w:p>
    <w:p w14:paraId="3C30BC69">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highlight w:val="none"/>
        </w:rPr>
      </w:pPr>
      <w:r>
        <w:rPr>
          <w:rFonts w:hint="eastAsia" w:ascii="仿宋" w:hAnsi="仿宋" w:eastAsia="仿宋" w:cs="仿宋"/>
          <w:color w:val="auto"/>
          <w:sz w:val="24"/>
          <w:highlight w:val="none"/>
        </w:rPr>
        <w:t>1.7.2 向</w:t>
      </w:r>
      <w:r>
        <w:rPr>
          <w:rFonts w:hint="eastAsia" w:ascii="仿宋" w:hAnsi="仿宋" w:eastAsia="仿宋" w:cs="仿宋"/>
          <w:color w:val="auto"/>
          <w:sz w:val="24"/>
          <w:highlight w:val="none"/>
          <w:u w:val="single"/>
        </w:rPr>
        <w:t xml:space="preserve">   合同签订地   </w:t>
      </w:r>
      <w:r>
        <w:rPr>
          <w:rFonts w:hint="eastAsia" w:ascii="仿宋" w:hAnsi="仿宋" w:eastAsia="仿宋" w:cs="仿宋"/>
          <w:color w:val="auto"/>
          <w:sz w:val="24"/>
          <w:highlight w:val="none"/>
        </w:rPr>
        <w:t>人民法院起诉。</w:t>
      </w:r>
    </w:p>
    <w:p w14:paraId="04F70B66">
      <w:pPr>
        <w:widowControl/>
        <w:autoSpaceDE w:val="0"/>
        <w:autoSpaceDN w:val="0"/>
        <w:adjustRightInd w:val="0"/>
        <w:snapToGrid w:val="0"/>
        <w:spacing w:line="360" w:lineRule="auto"/>
        <w:ind w:firstLine="482" w:firstLineChars="200"/>
        <w:textAlignment w:val="baseline"/>
        <w:outlineLvl w:val="0"/>
        <w:rPr>
          <w:rFonts w:ascii="仿宋" w:hAnsi="仿宋" w:eastAsia="仿宋" w:cs="仿宋"/>
          <w:b/>
          <w:color w:val="auto"/>
          <w:sz w:val="24"/>
          <w:highlight w:val="none"/>
        </w:rPr>
      </w:pPr>
      <w:bookmarkStart w:id="81" w:name="_Toc26227"/>
      <w:bookmarkStart w:id="82" w:name="_Toc23784"/>
      <w:bookmarkStart w:id="83" w:name="_Toc16417"/>
      <w:bookmarkStart w:id="84" w:name="_Toc15827"/>
      <w:bookmarkStart w:id="85" w:name="_Toc32352"/>
      <w:bookmarkStart w:id="86" w:name="_Toc58"/>
      <w:bookmarkStart w:id="87" w:name="_Toc12273"/>
      <w:bookmarkStart w:id="88" w:name="_Toc17829"/>
      <w:bookmarkStart w:id="89" w:name="_Toc15436"/>
      <w:r>
        <w:rPr>
          <w:rFonts w:hint="eastAsia" w:ascii="仿宋" w:hAnsi="仿宋" w:eastAsia="仿宋" w:cs="仿宋"/>
          <w:b/>
          <w:color w:val="auto"/>
          <w:sz w:val="24"/>
          <w:highlight w:val="none"/>
        </w:rPr>
        <w:t>1.8 合同生效</w:t>
      </w:r>
      <w:bookmarkEnd w:id="81"/>
      <w:bookmarkEnd w:id="82"/>
      <w:bookmarkEnd w:id="83"/>
      <w:bookmarkEnd w:id="84"/>
      <w:bookmarkEnd w:id="85"/>
      <w:bookmarkEnd w:id="86"/>
      <w:bookmarkEnd w:id="87"/>
      <w:bookmarkEnd w:id="88"/>
      <w:bookmarkEnd w:id="89"/>
    </w:p>
    <w:p w14:paraId="67998F9C">
      <w:pPr>
        <w:widowControl/>
        <w:autoSpaceDE w:val="0"/>
        <w:autoSpaceDN w:val="0"/>
        <w:adjustRightInd w:val="0"/>
        <w:snapToGrid w:val="0"/>
        <w:spacing w:line="360" w:lineRule="auto"/>
        <w:ind w:firstLine="480" w:firstLineChars="200"/>
        <w:textAlignment w:val="baseline"/>
        <w:rPr>
          <w:rFonts w:ascii="仿宋" w:hAnsi="仿宋" w:eastAsia="仿宋" w:cs="仿宋"/>
          <w:b/>
          <w:color w:val="auto"/>
          <w:sz w:val="24"/>
          <w:highlight w:val="none"/>
        </w:rPr>
      </w:pPr>
      <w:r>
        <w:rPr>
          <w:rFonts w:hint="eastAsia" w:ascii="仿宋" w:hAnsi="仿宋" w:eastAsia="仿宋" w:cs="仿宋"/>
          <w:color w:val="auto"/>
          <w:sz w:val="24"/>
          <w:highlight w:val="none"/>
        </w:rPr>
        <w:t>本合同自双方当事人盖章或者签字时生效。</w:t>
      </w:r>
    </w:p>
    <w:p w14:paraId="12C27B0C">
      <w:pPr>
        <w:spacing w:line="360" w:lineRule="auto"/>
        <w:ind w:firstLine="480" w:firstLineChars="200"/>
        <w:rPr>
          <w:rFonts w:ascii="仿宋" w:hAnsi="仿宋" w:eastAsia="仿宋" w:cs="仿宋"/>
          <w:color w:val="auto"/>
          <w:sz w:val="24"/>
          <w:highlight w:val="none"/>
          <w:lang w:val="zh-CN"/>
        </w:rPr>
      </w:pPr>
    </w:p>
    <w:p w14:paraId="0FDCB2E9">
      <w:pPr>
        <w:spacing w:line="360" w:lineRule="auto"/>
        <w:rPr>
          <w:rFonts w:ascii="仿宋" w:hAnsi="仿宋" w:eastAsia="仿宋" w:cs="仿宋"/>
          <w:b/>
          <w:bCs/>
          <w:color w:val="auto"/>
          <w:sz w:val="24"/>
          <w:highlight w:val="none"/>
          <w:lang w:val="zh-CN"/>
        </w:rPr>
      </w:pPr>
      <w:r>
        <w:rPr>
          <w:rFonts w:hint="eastAsia" w:ascii="仿宋" w:hAnsi="仿宋" w:eastAsia="仿宋" w:cs="仿宋"/>
          <w:b/>
          <w:bCs/>
          <w:color w:val="auto"/>
          <w:sz w:val="24"/>
          <w:highlight w:val="none"/>
          <w:lang w:val="zh-CN"/>
        </w:rPr>
        <w:br w:type="page"/>
      </w:r>
    </w:p>
    <w:p w14:paraId="2D741029">
      <w:pPr>
        <w:spacing w:line="360" w:lineRule="auto"/>
        <w:rPr>
          <w:rFonts w:ascii="仿宋" w:hAnsi="仿宋" w:eastAsia="仿宋" w:cs="仿宋"/>
          <w:b/>
          <w:bCs/>
          <w:color w:val="auto"/>
          <w:sz w:val="24"/>
          <w:highlight w:val="none"/>
          <w:lang w:val="zh-CN"/>
        </w:rPr>
      </w:pPr>
      <w:r>
        <w:rPr>
          <w:rFonts w:hint="eastAsia" w:ascii="仿宋" w:hAnsi="仿宋" w:eastAsia="仿宋" w:cs="仿宋"/>
          <w:b/>
          <w:bCs/>
          <w:color w:val="auto"/>
          <w:sz w:val="24"/>
          <w:highlight w:val="none"/>
          <w:lang w:val="zh-CN"/>
        </w:rPr>
        <w:t>甲方：                                   乙方：</w:t>
      </w:r>
    </w:p>
    <w:p w14:paraId="1D96A892">
      <w:pPr>
        <w:spacing w:line="360" w:lineRule="auto"/>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统一社会信用代码：                   统一社会信用代码或身份证号码：</w:t>
      </w:r>
    </w:p>
    <w:p w14:paraId="49D62E4B">
      <w:pPr>
        <w:spacing w:line="360" w:lineRule="auto"/>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住所：                                   住所：</w:t>
      </w:r>
    </w:p>
    <w:p w14:paraId="1991CA71">
      <w:pPr>
        <w:spacing w:line="360" w:lineRule="auto"/>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法定代表人或                             法定代表人</w:t>
      </w:r>
    </w:p>
    <w:p w14:paraId="0632D3A9">
      <w:pPr>
        <w:spacing w:line="360" w:lineRule="auto"/>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授权代表（签字）：                       或授权代表（签字）:</w:t>
      </w:r>
    </w:p>
    <w:p w14:paraId="5F499934">
      <w:pPr>
        <w:spacing w:line="360" w:lineRule="auto"/>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联系人：                                 联系人：</w:t>
      </w:r>
    </w:p>
    <w:p w14:paraId="4EA3BBBB">
      <w:pPr>
        <w:spacing w:line="360" w:lineRule="auto"/>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约定送达地址：                           约定送达地址：</w:t>
      </w:r>
    </w:p>
    <w:p w14:paraId="0C8E8DAE">
      <w:pPr>
        <w:spacing w:line="360" w:lineRule="auto"/>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邮政编码：                               邮政编码：</w:t>
      </w:r>
    </w:p>
    <w:p w14:paraId="713DDC78">
      <w:pPr>
        <w:spacing w:line="360" w:lineRule="auto"/>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电话:                                    电话:</w:t>
      </w:r>
    </w:p>
    <w:p w14:paraId="7B834534">
      <w:pPr>
        <w:spacing w:line="360" w:lineRule="auto"/>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传真:                                    传真:</w:t>
      </w:r>
    </w:p>
    <w:p w14:paraId="36D4A3B3">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lang w:val="zh-CN"/>
        </w:rPr>
        <w:t>电子邮箱：                               电子邮箱：</w:t>
      </w:r>
    </w:p>
    <w:p w14:paraId="1A4A3DF8">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开户银行：                               开户银行：</w:t>
      </w:r>
    </w:p>
    <w:p w14:paraId="05A31960">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开户名称：                               开户名称：</w:t>
      </w:r>
    </w:p>
    <w:p w14:paraId="3BBC4CF0">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开户账号：                               开户账号：</w:t>
      </w:r>
    </w:p>
    <w:p w14:paraId="42A43FD2">
      <w:pPr>
        <w:widowControl/>
        <w:spacing w:line="360" w:lineRule="auto"/>
        <w:jc w:val="left"/>
        <w:rPr>
          <w:rFonts w:ascii="仿宋" w:hAnsi="仿宋" w:eastAsia="仿宋" w:cs="仿宋"/>
          <w:b/>
          <w:color w:val="auto"/>
          <w:sz w:val="24"/>
          <w:highlight w:val="none"/>
        </w:rPr>
      </w:pPr>
      <w:bookmarkStart w:id="90" w:name="_Toc331685783"/>
    </w:p>
    <w:p w14:paraId="59DC1903">
      <w:pPr>
        <w:spacing w:line="360" w:lineRule="auto"/>
        <w:rPr>
          <w:rFonts w:ascii="仿宋" w:hAnsi="仿宋" w:eastAsia="仿宋" w:cs="仿宋"/>
          <w:color w:val="auto"/>
          <w:highlight w:val="none"/>
        </w:rPr>
      </w:pPr>
    </w:p>
    <w:p w14:paraId="41155CC7">
      <w:pPr>
        <w:spacing w:line="360" w:lineRule="auto"/>
        <w:rPr>
          <w:rFonts w:ascii="仿宋" w:hAnsi="仿宋" w:eastAsia="仿宋" w:cs="仿宋"/>
          <w:color w:val="auto"/>
          <w:highlight w:val="none"/>
        </w:rPr>
      </w:pPr>
    </w:p>
    <w:p w14:paraId="73ED7558">
      <w:pPr>
        <w:spacing w:line="360" w:lineRule="auto"/>
        <w:rPr>
          <w:rFonts w:ascii="仿宋" w:hAnsi="仿宋" w:eastAsia="仿宋" w:cs="仿宋"/>
          <w:color w:val="auto"/>
          <w:highlight w:val="none"/>
        </w:rPr>
      </w:pPr>
    </w:p>
    <w:p w14:paraId="3CEF10AB">
      <w:pPr>
        <w:spacing w:line="360" w:lineRule="auto"/>
        <w:rPr>
          <w:rFonts w:ascii="仿宋" w:hAnsi="仿宋" w:eastAsia="仿宋" w:cs="仿宋"/>
          <w:color w:val="auto"/>
          <w:highlight w:val="none"/>
        </w:rPr>
      </w:pPr>
    </w:p>
    <w:p w14:paraId="7C7B5EB7">
      <w:pPr>
        <w:spacing w:line="360" w:lineRule="auto"/>
        <w:rPr>
          <w:rFonts w:ascii="仿宋" w:hAnsi="仿宋" w:eastAsia="仿宋" w:cs="仿宋"/>
          <w:color w:val="auto"/>
          <w:highlight w:val="none"/>
        </w:rPr>
      </w:pPr>
    </w:p>
    <w:p w14:paraId="2D5AC341">
      <w:pPr>
        <w:spacing w:line="360" w:lineRule="auto"/>
        <w:rPr>
          <w:rFonts w:ascii="仿宋" w:hAnsi="仿宋" w:eastAsia="仿宋" w:cs="仿宋"/>
          <w:color w:val="auto"/>
          <w:highlight w:val="none"/>
        </w:rPr>
      </w:pPr>
    </w:p>
    <w:p w14:paraId="3501B2CC">
      <w:pPr>
        <w:spacing w:line="360" w:lineRule="auto"/>
        <w:rPr>
          <w:rFonts w:ascii="仿宋" w:hAnsi="仿宋" w:eastAsia="仿宋" w:cs="仿宋"/>
          <w:color w:val="auto"/>
          <w:highlight w:val="none"/>
        </w:rPr>
      </w:pPr>
    </w:p>
    <w:p w14:paraId="154B214A">
      <w:pPr>
        <w:spacing w:line="360" w:lineRule="auto"/>
        <w:rPr>
          <w:rFonts w:ascii="仿宋" w:hAnsi="仿宋" w:eastAsia="仿宋" w:cs="仿宋"/>
          <w:color w:val="auto"/>
          <w:highlight w:val="none"/>
        </w:rPr>
      </w:pPr>
    </w:p>
    <w:p w14:paraId="64A69C07">
      <w:pPr>
        <w:spacing w:line="360" w:lineRule="auto"/>
        <w:rPr>
          <w:rFonts w:ascii="仿宋" w:hAnsi="仿宋" w:eastAsia="仿宋" w:cs="仿宋"/>
          <w:color w:val="auto"/>
          <w:highlight w:val="none"/>
        </w:rPr>
      </w:pPr>
    </w:p>
    <w:p w14:paraId="310EB21E">
      <w:pPr>
        <w:spacing w:line="360" w:lineRule="auto"/>
        <w:rPr>
          <w:rFonts w:ascii="仿宋" w:hAnsi="仿宋" w:eastAsia="仿宋" w:cs="仿宋"/>
          <w:color w:val="auto"/>
          <w:highlight w:val="none"/>
        </w:rPr>
      </w:pPr>
    </w:p>
    <w:p w14:paraId="79BF9438">
      <w:pPr>
        <w:spacing w:line="360" w:lineRule="auto"/>
        <w:rPr>
          <w:rFonts w:ascii="仿宋" w:hAnsi="仿宋" w:eastAsia="仿宋" w:cs="仿宋"/>
          <w:color w:val="auto"/>
          <w:highlight w:val="none"/>
        </w:rPr>
      </w:pPr>
    </w:p>
    <w:p w14:paraId="2F08A943">
      <w:pPr>
        <w:spacing w:line="360" w:lineRule="auto"/>
        <w:jc w:val="center"/>
        <w:outlineLvl w:val="1"/>
        <w:rPr>
          <w:rFonts w:ascii="仿宋" w:hAnsi="仿宋" w:eastAsia="仿宋" w:cs="仿宋"/>
          <w:color w:val="auto"/>
          <w:sz w:val="32"/>
          <w:szCs w:val="32"/>
          <w:highlight w:val="none"/>
        </w:rPr>
      </w:pPr>
      <w:bookmarkStart w:id="91" w:name="_Toc3483"/>
      <w:r>
        <w:rPr>
          <w:rFonts w:hint="eastAsia" w:ascii="仿宋" w:hAnsi="仿宋" w:eastAsia="仿宋" w:cs="仿宋"/>
          <w:color w:val="auto"/>
          <w:sz w:val="32"/>
          <w:szCs w:val="32"/>
          <w:highlight w:val="none"/>
        </w:rPr>
        <w:br w:type="page"/>
      </w:r>
      <w:bookmarkStart w:id="92" w:name="_Toc16795"/>
      <w:bookmarkStart w:id="93" w:name="_Toc11838"/>
      <w:bookmarkStart w:id="94" w:name="_Toc29531"/>
      <w:r>
        <w:rPr>
          <w:rFonts w:hint="eastAsia" w:ascii="仿宋" w:hAnsi="仿宋" w:eastAsia="仿宋" w:cs="仿宋"/>
          <w:color w:val="auto"/>
          <w:sz w:val="32"/>
          <w:szCs w:val="32"/>
          <w:highlight w:val="none"/>
        </w:rPr>
        <w:t>二、合同一般条款</w:t>
      </w:r>
      <w:bookmarkEnd w:id="90"/>
      <w:bookmarkEnd w:id="91"/>
      <w:bookmarkEnd w:id="92"/>
      <w:bookmarkEnd w:id="93"/>
      <w:bookmarkEnd w:id="94"/>
    </w:p>
    <w:p w14:paraId="384BA4AB">
      <w:pPr>
        <w:spacing w:line="360" w:lineRule="auto"/>
        <w:ind w:firstLine="482" w:firstLineChars="200"/>
        <w:outlineLvl w:val="0"/>
        <w:rPr>
          <w:rFonts w:ascii="仿宋" w:hAnsi="仿宋" w:eastAsia="仿宋" w:cs="仿宋"/>
          <w:b/>
          <w:color w:val="auto"/>
          <w:sz w:val="24"/>
          <w:highlight w:val="none"/>
        </w:rPr>
      </w:pPr>
      <w:bookmarkStart w:id="95" w:name="_Toc26002"/>
      <w:bookmarkStart w:id="96" w:name="_Ref467379195"/>
      <w:bookmarkStart w:id="97" w:name="_Ref467378404"/>
      <w:bookmarkStart w:id="98" w:name="_Ref467379205"/>
      <w:bookmarkStart w:id="99" w:name="_Ref467379225"/>
      <w:bookmarkStart w:id="100" w:name="_Toc14021"/>
      <w:bookmarkStart w:id="101" w:name="_Ref467379094"/>
      <w:bookmarkStart w:id="102" w:name="_Toc487900349"/>
      <w:bookmarkStart w:id="103" w:name="_Ref467379214"/>
      <w:bookmarkStart w:id="104" w:name="_Toc10195"/>
      <w:bookmarkStart w:id="105" w:name="_Toc259093669"/>
      <w:bookmarkStart w:id="106" w:name="_Ref467379109"/>
      <w:bookmarkStart w:id="107" w:name="_Toc25079"/>
      <w:bookmarkStart w:id="108" w:name="_Ref467378499"/>
      <w:bookmarkStart w:id="109" w:name="_Ref467378463"/>
      <w:bookmarkStart w:id="110" w:name="_Toc19680"/>
      <w:bookmarkStart w:id="111" w:name="_Toc5228"/>
      <w:bookmarkStart w:id="112" w:name="_Toc279701240"/>
      <w:bookmarkStart w:id="113" w:name="_Toc22731"/>
      <w:bookmarkStart w:id="114" w:name="_Toc16972"/>
      <w:bookmarkStart w:id="115" w:name="_Ref467379101"/>
      <w:bookmarkStart w:id="116" w:name="_Toc31297"/>
      <w:r>
        <w:rPr>
          <w:rFonts w:hint="eastAsia" w:ascii="仿宋" w:hAnsi="仿宋" w:eastAsia="仿宋" w:cs="仿宋"/>
          <w:b/>
          <w:color w:val="auto"/>
          <w:sz w:val="24"/>
          <w:highlight w:val="none"/>
        </w:rPr>
        <w:t>2.1 定义</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6D256134">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本合同中的下列词语应按以下内容进行解释：</w:t>
      </w:r>
    </w:p>
    <w:p w14:paraId="118C79C6">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2.1.1 “合同”系指甲方和乙方签订的载明双方当事人所达成的协议，并包括所有的附件、附录和构成合同的其他文件。</w:t>
      </w:r>
    </w:p>
    <w:p w14:paraId="3BF1E7D6">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2.1.2 “合同价”系指根据合同约定，乙方在完全履行合同义务后，甲方应支付给乙方的价格。</w:t>
      </w:r>
    </w:p>
    <w:p w14:paraId="58769BEF">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2.1.3 “服务”系指乙方根据合同约定应向甲方履行的除货物和工程以外的其他政府采购对象，包括甲方自身需要的服务和向社会公众提供的公共服务。</w:t>
      </w:r>
    </w:p>
    <w:p w14:paraId="5E036EE2">
      <w:pPr>
        <w:spacing w:line="360" w:lineRule="auto"/>
        <w:ind w:firstLine="480" w:firstLineChars="200"/>
        <w:rPr>
          <w:rFonts w:ascii="仿宋" w:hAnsi="仿宋" w:eastAsia="仿宋" w:cs="仿宋"/>
          <w:color w:val="auto"/>
          <w:sz w:val="24"/>
          <w:highlight w:val="none"/>
        </w:rPr>
      </w:pPr>
      <w:bookmarkStart w:id="117" w:name="_Ref467378840"/>
      <w:r>
        <w:rPr>
          <w:rFonts w:hint="eastAsia" w:ascii="仿宋" w:hAnsi="仿宋" w:eastAsia="仿宋" w:cs="仿宋"/>
          <w:color w:val="auto"/>
          <w:sz w:val="24"/>
          <w:highlight w:val="none"/>
        </w:rPr>
        <w:t>2.1.4 “甲方”系指与乙方签署合同的采购人</w:t>
      </w:r>
      <w:bookmarkEnd w:id="117"/>
      <w:r>
        <w:rPr>
          <w:rFonts w:hint="eastAsia" w:ascii="仿宋" w:hAnsi="仿宋" w:eastAsia="仿宋" w:cs="仿宋"/>
          <w:color w:val="auto"/>
          <w:sz w:val="24"/>
          <w:highlight w:val="none"/>
        </w:rPr>
        <w:t>；甲方委托采购代理机构代表其与乙方签订合同的，甲方的授权委托书作为合同附件。</w:t>
      </w:r>
    </w:p>
    <w:p w14:paraId="498A4BC5">
      <w:pPr>
        <w:spacing w:line="360" w:lineRule="auto"/>
        <w:ind w:firstLine="480" w:firstLineChars="200"/>
        <w:rPr>
          <w:rFonts w:ascii="仿宋" w:hAnsi="仿宋" w:eastAsia="仿宋" w:cs="仿宋"/>
          <w:color w:val="auto"/>
          <w:sz w:val="24"/>
          <w:highlight w:val="none"/>
        </w:rPr>
      </w:pPr>
      <w:bookmarkStart w:id="118" w:name="_Ref467379400"/>
      <w:r>
        <w:rPr>
          <w:rFonts w:hint="eastAsia" w:ascii="仿宋" w:hAnsi="仿宋" w:eastAsia="仿宋" w:cs="仿宋"/>
          <w:color w:val="auto"/>
          <w:sz w:val="24"/>
          <w:highlight w:val="none"/>
        </w:rPr>
        <w:t>2.1.5 “乙方”系指根据合同约定提供服务的</w:t>
      </w:r>
      <w:bookmarkEnd w:id="118"/>
      <w:r>
        <w:rPr>
          <w:rFonts w:hint="eastAsia" w:ascii="仿宋" w:hAnsi="仿宋" w:eastAsia="仿宋" w:cs="仿宋"/>
          <w:color w:val="auto"/>
          <w:sz w:val="24"/>
          <w:highlight w:val="none"/>
        </w:rPr>
        <w:t>乙方；两个以上的自然人、法人或者其他组织组成一个联合体，以一个供应商的身份共同参加政府采购的，联合体各方均应为乙方或者与乙方相同地位的合同当事人，并就合同约定的事项对甲方承担连带责任。</w:t>
      </w:r>
    </w:p>
    <w:p w14:paraId="009B6E88">
      <w:pPr>
        <w:spacing w:line="360" w:lineRule="auto"/>
        <w:ind w:firstLine="480" w:firstLineChars="200"/>
        <w:rPr>
          <w:rFonts w:ascii="仿宋" w:hAnsi="仿宋" w:eastAsia="仿宋" w:cs="仿宋"/>
          <w:color w:val="auto"/>
          <w:sz w:val="24"/>
          <w:highlight w:val="none"/>
        </w:rPr>
      </w:pPr>
      <w:bookmarkStart w:id="119" w:name="_Ref467379436"/>
      <w:r>
        <w:rPr>
          <w:rFonts w:hint="eastAsia" w:ascii="仿宋" w:hAnsi="仿宋" w:eastAsia="仿宋" w:cs="仿宋"/>
          <w:color w:val="auto"/>
          <w:sz w:val="24"/>
          <w:highlight w:val="none"/>
        </w:rPr>
        <w:t>2.1.6 “现场”系指合同约定提供服务的地点。</w:t>
      </w:r>
      <w:bookmarkEnd w:id="119"/>
    </w:p>
    <w:p w14:paraId="0BEECA3F">
      <w:pPr>
        <w:spacing w:line="360" w:lineRule="auto"/>
        <w:ind w:firstLine="482" w:firstLineChars="200"/>
        <w:outlineLvl w:val="0"/>
        <w:rPr>
          <w:rFonts w:ascii="仿宋" w:hAnsi="仿宋" w:eastAsia="仿宋" w:cs="仿宋"/>
          <w:b/>
          <w:color w:val="auto"/>
          <w:sz w:val="24"/>
          <w:highlight w:val="none"/>
        </w:rPr>
      </w:pPr>
      <w:bookmarkStart w:id="120" w:name="_Toc487900350"/>
      <w:bookmarkStart w:id="121" w:name="_Toc259093670"/>
      <w:bookmarkStart w:id="122" w:name="_Toc16675"/>
      <w:bookmarkStart w:id="123" w:name="_Toc3769"/>
      <w:bookmarkStart w:id="124" w:name="_Toc31402"/>
      <w:bookmarkStart w:id="125" w:name="_Toc3565"/>
      <w:bookmarkStart w:id="126" w:name="_Toc16752"/>
      <w:bookmarkStart w:id="127" w:name="_Toc22410"/>
      <w:bookmarkStart w:id="128" w:name="_Toc19539"/>
      <w:bookmarkStart w:id="129" w:name="_Toc4531"/>
      <w:bookmarkStart w:id="130" w:name="_Toc23289"/>
      <w:bookmarkStart w:id="131" w:name="_Toc279701241"/>
      <w:r>
        <w:rPr>
          <w:rFonts w:hint="eastAsia" w:ascii="仿宋" w:hAnsi="仿宋" w:eastAsia="仿宋" w:cs="仿宋"/>
          <w:b/>
          <w:color w:val="auto"/>
          <w:sz w:val="24"/>
          <w:highlight w:val="none"/>
        </w:rPr>
        <w:t>2.2 技术规范</w:t>
      </w:r>
      <w:bookmarkEnd w:id="120"/>
      <w:bookmarkEnd w:id="121"/>
      <w:bookmarkEnd w:id="122"/>
      <w:bookmarkEnd w:id="123"/>
      <w:bookmarkEnd w:id="124"/>
      <w:bookmarkEnd w:id="125"/>
      <w:bookmarkEnd w:id="126"/>
      <w:bookmarkEnd w:id="127"/>
      <w:bookmarkEnd w:id="128"/>
      <w:bookmarkEnd w:id="129"/>
      <w:bookmarkEnd w:id="130"/>
      <w:bookmarkEnd w:id="131"/>
    </w:p>
    <w:p w14:paraId="29DB9BFF">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服务所应遵守的技术规范应与采购文件规定的技术规范和技术规范附件(如果有的话)及其技术规范偏差表(如果被甲方接受的话)相一致；如果采购文件中没有技术规范的相应说明，那么应以国家有关部门最新颁布的相应标准和规范为准。</w:t>
      </w:r>
    </w:p>
    <w:p w14:paraId="1BC548CF">
      <w:pPr>
        <w:spacing w:line="360" w:lineRule="auto"/>
        <w:ind w:firstLine="482" w:firstLineChars="200"/>
        <w:outlineLvl w:val="0"/>
        <w:rPr>
          <w:rFonts w:ascii="仿宋" w:hAnsi="仿宋" w:eastAsia="仿宋" w:cs="仿宋"/>
          <w:b/>
          <w:color w:val="auto"/>
          <w:sz w:val="24"/>
          <w:highlight w:val="none"/>
        </w:rPr>
      </w:pPr>
      <w:bookmarkStart w:id="132" w:name="_Toc13673"/>
      <w:bookmarkStart w:id="133" w:name="_Toc12412"/>
      <w:bookmarkStart w:id="134" w:name="_Toc15220"/>
      <w:bookmarkStart w:id="135" w:name="_Toc32669"/>
      <w:bookmarkStart w:id="136" w:name="_Toc279701242"/>
      <w:bookmarkStart w:id="137" w:name="_Toc9161"/>
      <w:bookmarkStart w:id="138" w:name="_Toc31298"/>
      <w:bookmarkStart w:id="139" w:name="_Toc4133"/>
      <w:bookmarkStart w:id="140" w:name="_Toc487900351"/>
      <w:bookmarkStart w:id="141" w:name="_Toc27945"/>
      <w:bookmarkStart w:id="142" w:name="_Toc259093671"/>
      <w:bookmarkStart w:id="143" w:name="_Toc15926"/>
      <w:r>
        <w:rPr>
          <w:rFonts w:hint="eastAsia" w:ascii="仿宋" w:hAnsi="仿宋" w:eastAsia="仿宋" w:cs="仿宋"/>
          <w:b/>
          <w:color w:val="auto"/>
          <w:sz w:val="24"/>
          <w:highlight w:val="none"/>
        </w:rPr>
        <w:t>2.3 知识产权</w:t>
      </w:r>
      <w:bookmarkEnd w:id="132"/>
      <w:bookmarkEnd w:id="133"/>
      <w:bookmarkEnd w:id="134"/>
      <w:bookmarkEnd w:id="135"/>
      <w:bookmarkEnd w:id="136"/>
      <w:bookmarkEnd w:id="137"/>
      <w:bookmarkEnd w:id="138"/>
      <w:bookmarkEnd w:id="139"/>
      <w:bookmarkEnd w:id="140"/>
      <w:bookmarkEnd w:id="141"/>
      <w:bookmarkEnd w:id="142"/>
      <w:bookmarkEnd w:id="143"/>
    </w:p>
    <w:p w14:paraId="59C5D62B">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2.3.1 乙方应保证其提供的服务不受任何第三方提出的侵犯其著作权、商标权、专利权等知识产权方面的起诉；如果任何第三方提出侵权指控，那么乙方须与该第三方交涉并承担由此发生的一切责任、费用和赔偿。</w:t>
      </w:r>
    </w:p>
    <w:p w14:paraId="070B7C86">
      <w:pPr>
        <w:spacing w:line="360" w:lineRule="auto"/>
        <w:ind w:firstLine="482" w:firstLineChars="200"/>
        <w:rPr>
          <w:rFonts w:ascii="仿宋" w:hAnsi="仿宋" w:eastAsia="仿宋" w:cs="仿宋"/>
          <w:b/>
          <w:color w:val="auto"/>
          <w:sz w:val="24"/>
          <w:highlight w:val="none"/>
        </w:rPr>
      </w:pPr>
      <w:r>
        <w:rPr>
          <w:rFonts w:hint="eastAsia" w:ascii="仿宋" w:hAnsi="仿宋" w:eastAsia="仿宋" w:cs="仿宋"/>
          <w:b/>
          <w:color w:val="auto"/>
          <w:sz w:val="24"/>
          <w:highlight w:val="none"/>
        </w:rPr>
        <w:t>2.4 履约检查和问题反馈</w:t>
      </w:r>
    </w:p>
    <w:p w14:paraId="20AFB816">
      <w:pPr>
        <w:spacing w:line="360" w:lineRule="auto"/>
        <w:ind w:firstLine="480" w:firstLineChars="200"/>
        <w:rPr>
          <w:rFonts w:ascii="仿宋" w:hAnsi="仿宋" w:eastAsia="仿宋" w:cs="仿宋"/>
          <w:color w:val="auto"/>
          <w:sz w:val="24"/>
          <w:highlight w:val="none"/>
        </w:rPr>
      </w:pPr>
      <w:bookmarkStart w:id="144" w:name="_Ref467379657"/>
      <w:r>
        <w:rPr>
          <w:rFonts w:hint="eastAsia" w:ascii="仿宋" w:hAnsi="仿宋" w:eastAsia="仿宋" w:cs="仿宋"/>
          <w:color w:val="auto"/>
          <w:sz w:val="24"/>
          <w:highlight w:val="none"/>
        </w:rPr>
        <w:t>2.4.1</w:t>
      </w:r>
      <w:bookmarkEnd w:id="144"/>
      <w:bookmarkStart w:id="145" w:name="_Toc186431854"/>
      <w:bookmarkStart w:id="146" w:name="_Toc279701247"/>
      <w:bookmarkStart w:id="147" w:name="_Toc487900357"/>
      <w:bookmarkStart w:id="148" w:name="_Ref467379807"/>
      <w:bookmarkStart w:id="149" w:name="_Ref467379793"/>
      <w:bookmarkStart w:id="150" w:name="_Toc259093676"/>
      <w:r>
        <w:rPr>
          <w:rFonts w:hint="eastAsia" w:ascii="仿宋" w:hAnsi="仿宋" w:eastAsia="仿宋" w:cs="仿宋"/>
          <w:color w:val="auto"/>
          <w:sz w:val="24"/>
          <w:highlight w:val="none"/>
        </w:rPr>
        <w:t>甲方有权在其认为必要时，对乙方是否能够按照合同约定提供服务进行履约检查，以确保乙方所提供的服务能够依约满足甲方之项目需求，但不得因履约检查妨碍乙方的正常工作，乙方应予积极配合；</w:t>
      </w:r>
    </w:p>
    <w:p w14:paraId="4C721B6F">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2.4.2 合同履行期间，甲方有权将履行过程中出现的问题反馈给乙方，双方当事人应以书面形式约定需要完善和改进的内容</w:t>
      </w:r>
      <w:bookmarkEnd w:id="145"/>
      <w:bookmarkStart w:id="151" w:name="_Toc186431855"/>
      <w:r>
        <w:rPr>
          <w:rFonts w:hint="eastAsia" w:ascii="仿宋" w:hAnsi="仿宋" w:eastAsia="仿宋" w:cs="仿宋"/>
          <w:color w:val="auto"/>
          <w:sz w:val="24"/>
          <w:highlight w:val="none"/>
        </w:rPr>
        <w:t>。</w:t>
      </w:r>
    </w:p>
    <w:bookmarkEnd w:id="151"/>
    <w:p w14:paraId="31706544">
      <w:pPr>
        <w:spacing w:line="360" w:lineRule="auto"/>
        <w:ind w:firstLine="482" w:firstLineChars="200"/>
        <w:outlineLvl w:val="0"/>
        <w:rPr>
          <w:rFonts w:ascii="仿宋" w:hAnsi="仿宋" w:eastAsia="仿宋" w:cs="仿宋"/>
          <w:b/>
          <w:color w:val="auto"/>
          <w:sz w:val="24"/>
          <w:highlight w:val="none"/>
        </w:rPr>
      </w:pPr>
      <w:bookmarkStart w:id="152" w:name="_Toc7860"/>
      <w:bookmarkStart w:id="153" w:name="_Toc22011"/>
      <w:bookmarkStart w:id="154" w:name="_Toc25701"/>
      <w:bookmarkStart w:id="155" w:name="_Toc13247"/>
      <w:bookmarkStart w:id="156" w:name="_Toc15447"/>
      <w:bookmarkStart w:id="157" w:name="_Toc32670"/>
      <w:bookmarkStart w:id="158" w:name="_Toc26555"/>
      <w:bookmarkStart w:id="159" w:name="_Toc7472"/>
      <w:r>
        <w:rPr>
          <w:rFonts w:hint="eastAsia" w:ascii="仿宋" w:hAnsi="仿宋" w:eastAsia="仿宋" w:cs="仿宋"/>
          <w:b/>
          <w:color w:val="auto"/>
          <w:sz w:val="24"/>
          <w:highlight w:val="none"/>
        </w:rPr>
        <w:t>2.5 结算方式和付款条件</w:t>
      </w:r>
      <w:bookmarkEnd w:id="146"/>
      <w:bookmarkEnd w:id="147"/>
      <w:bookmarkEnd w:id="148"/>
      <w:bookmarkEnd w:id="149"/>
      <w:bookmarkEnd w:id="150"/>
      <w:bookmarkEnd w:id="152"/>
      <w:bookmarkEnd w:id="153"/>
      <w:bookmarkEnd w:id="154"/>
      <w:bookmarkEnd w:id="155"/>
      <w:bookmarkEnd w:id="156"/>
      <w:bookmarkEnd w:id="157"/>
      <w:bookmarkEnd w:id="158"/>
      <w:bookmarkEnd w:id="159"/>
    </w:p>
    <w:p w14:paraId="14B32A49">
      <w:pPr>
        <w:spacing w:line="360" w:lineRule="auto"/>
        <w:ind w:firstLine="480" w:firstLineChars="200"/>
        <w:outlineLvl w:val="1"/>
        <w:rPr>
          <w:rFonts w:hint="eastAsia" w:ascii="仿宋" w:hAnsi="仿宋" w:eastAsia="仿宋" w:cs="仿宋"/>
          <w:color w:val="auto"/>
          <w:sz w:val="24"/>
          <w:highlight w:val="none"/>
          <w:lang w:val="hr-HR"/>
        </w:rPr>
      </w:pPr>
      <w:bookmarkStart w:id="160" w:name="_Toc28759"/>
      <w:bookmarkStart w:id="161" w:name="_Toc279701248"/>
      <w:bookmarkStart w:id="162" w:name="_Ref467379852"/>
      <w:bookmarkStart w:id="163" w:name="_Toc487900358"/>
      <w:bookmarkStart w:id="164" w:name="_Ref467379923"/>
      <w:bookmarkStart w:id="165" w:name="_Ref467379863"/>
      <w:bookmarkStart w:id="166" w:name="_Toc259093677"/>
      <w:bookmarkStart w:id="167" w:name="_Toc24255"/>
      <w:bookmarkStart w:id="168" w:name="_Toc13154"/>
      <w:bookmarkStart w:id="169" w:name="_Toc13467"/>
      <w:bookmarkStart w:id="170" w:name="_Toc3886"/>
      <w:bookmarkStart w:id="171" w:name="_Toc16163"/>
      <w:bookmarkStart w:id="172" w:name="_Toc18990"/>
      <w:bookmarkStart w:id="173" w:name="_Toc30507"/>
      <w:bookmarkStart w:id="174" w:name="_Toc9974"/>
      <w:r>
        <w:rPr>
          <w:rFonts w:hint="eastAsia" w:ascii="仿宋" w:hAnsi="仿宋" w:eastAsia="仿宋" w:cs="仿宋"/>
          <w:color w:val="auto"/>
          <w:sz w:val="24"/>
          <w:highlight w:val="none"/>
        </w:rPr>
        <w:t>（1）</w:t>
      </w:r>
      <w:bookmarkEnd w:id="160"/>
      <w:r>
        <w:rPr>
          <w:rFonts w:hint="eastAsia" w:ascii="仿宋" w:hAnsi="仿宋" w:eastAsia="仿宋" w:cs="仿宋"/>
          <w:color w:val="auto"/>
          <w:sz w:val="24"/>
          <w:highlight w:val="none"/>
          <w:lang w:val="hr-HR"/>
        </w:rPr>
        <w:t>合同签订前，⼄⽅须向甲⽅缴纳合同总⾦额3%的履约保证⾦（</w:t>
      </w:r>
      <w:r>
        <w:rPr>
          <w:rFonts w:hint="eastAsia" w:ascii="仿宋" w:hAnsi="仿宋" w:eastAsia="仿宋" w:cs="仿宋"/>
          <w:color w:val="auto"/>
          <w:sz w:val="24"/>
          <w:szCs w:val="24"/>
          <w:highlight w:val="none"/>
        </w:rPr>
        <w:t>供应商应当以支票、汇票、本票或者金融机构、担保机构出具的保函等非现金形式提交</w:t>
      </w:r>
      <w:r>
        <w:rPr>
          <w:rFonts w:hint="eastAsia" w:ascii="仿宋" w:hAnsi="仿宋" w:eastAsia="仿宋" w:cs="仿宋"/>
          <w:color w:val="auto"/>
          <w:sz w:val="24"/>
          <w:highlight w:val="none"/>
          <w:lang w:val="hr-HR"/>
        </w:rPr>
        <w:t>），履约保证⾦待项目验收合格并提供验收报告后30日历天内，⽆息退还。</w:t>
      </w:r>
    </w:p>
    <w:p w14:paraId="47F7E227">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（2）甲方付款约定：本项目分3次支付。</w:t>
      </w:r>
    </w:p>
    <w:p w14:paraId="37B1A320">
      <w:pPr>
        <w:spacing w:line="360" w:lineRule="auto"/>
        <w:ind w:firstLine="480" w:firstLineChars="200"/>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合同签订后，达到付款条件起10日内，支付合同总金额的40%；设备安装、调试正常，软件开发完成且初步验收后，达到付款条件起10日内，支付合同总金额的40%；项目试运行满一个月，达到付款条件起10日内，支付合同总金额的20%。</w:t>
      </w:r>
    </w:p>
    <w:p w14:paraId="7C8B8FF3">
      <w:pPr>
        <w:numPr>
          <w:ilvl w:val="0"/>
          <w:numId w:val="0"/>
        </w:numPr>
        <w:spacing w:line="360" w:lineRule="auto"/>
        <w:ind w:firstLine="480" w:firstLineChars="200"/>
        <w:rPr>
          <w:rFonts w:ascii="仿宋" w:hAnsi="仿宋" w:eastAsia="仿宋" w:cs="仿宋"/>
          <w:color w:val="auto"/>
          <w:sz w:val="24"/>
          <w:highlight w:val="none"/>
        </w:rPr>
      </w:pPr>
      <w:r>
        <w:rPr>
          <w:rFonts w:ascii="仿宋" w:hAnsi="仿宋" w:eastAsia="仿宋" w:cs="仿宋"/>
          <w:color w:val="auto"/>
          <w:kern w:val="2"/>
          <w:sz w:val="24"/>
          <w:szCs w:val="22"/>
          <w:highlight w:val="none"/>
          <w:lang w:val="en-US" w:eastAsia="zh-CN" w:bidi="ar-SA"/>
        </w:rPr>
        <w:t>（3）</w:t>
      </w:r>
      <w:r>
        <w:rPr>
          <w:rFonts w:ascii="仿宋" w:hAnsi="仿宋" w:eastAsia="仿宋" w:cs="仿宋"/>
          <w:color w:val="auto"/>
          <w:sz w:val="24"/>
          <w:highlight w:val="none"/>
        </w:rPr>
        <w:t>乙方应承诺在甲方办理支付手续前，为甲方出具等额、合规的发票。</w:t>
      </w:r>
    </w:p>
    <w:p w14:paraId="22428158">
      <w:pPr>
        <w:numPr>
          <w:ilvl w:val="0"/>
          <w:numId w:val="0"/>
        </w:numPr>
        <w:spacing w:line="360" w:lineRule="auto"/>
        <w:ind w:firstLine="480" w:firstLineChars="200"/>
        <w:rPr>
          <w:rFonts w:hint="default" w:ascii="仿宋" w:hAnsi="仿宋" w:eastAsia="仿宋" w:cs="仿宋"/>
          <w:color w:val="auto"/>
          <w:kern w:val="2"/>
          <w:sz w:val="24"/>
          <w:szCs w:val="22"/>
          <w:highlight w:val="none"/>
          <w:lang w:val="en-US" w:eastAsia="zh-CN" w:bidi="ar-SA"/>
        </w:rPr>
      </w:pPr>
      <w:r>
        <w:rPr>
          <w:rFonts w:hint="eastAsia" w:ascii="仿宋" w:hAnsi="仿宋" w:eastAsia="仿宋" w:cs="仿宋"/>
          <w:color w:val="auto"/>
          <w:kern w:val="2"/>
          <w:sz w:val="24"/>
          <w:szCs w:val="22"/>
          <w:highlight w:val="none"/>
          <w:lang w:val="en-US" w:eastAsia="zh-CN" w:bidi="ar-SA"/>
        </w:rPr>
        <w:t>（4）结算方式：本项目实行总价包干原则，合同结算价格不能超出项目的成交价格。</w:t>
      </w:r>
      <w:r>
        <w:rPr>
          <w:rFonts w:hint="eastAsia" w:ascii="仿宋" w:hAnsi="仿宋" w:eastAsia="仿宋" w:cs="仿宋"/>
          <w:color w:val="auto"/>
          <w:kern w:val="2"/>
          <w:sz w:val="24"/>
          <w:szCs w:val="22"/>
          <w:highlight w:val="none"/>
          <w:lang w:val="zh-CN" w:eastAsia="zh-CN" w:bidi="ar-SA"/>
        </w:rPr>
        <w:t>在</w:t>
      </w:r>
      <w:r>
        <w:rPr>
          <w:rFonts w:hint="eastAsia" w:ascii="仿宋" w:hAnsi="仿宋" w:eastAsia="仿宋" w:cs="仿宋"/>
          <w:color w:val="auto"/>
          <w:kern w:val="2"/>
          <w:sz w:val="24"/>
          <w:szCs w:val="22"/>
          <w:highlight w:val="none"/>
          <w:lang w:val="en-US" w:eastAsia="zh-CN" w:bidi="ar-SA"/>
        </w:rPr>
        <w:t>成交价格范围内</w:t>
      </w:r>
      <w:r>
        <w:rPr>
          <w:rFonts w:hint="eastAsia" w:ascii="仿宋" w:hAnsi="仿宋" w:eastAsia="仿宋" w:cs="仿宋"/>
          <w:color w:val="auto"/>
          <w:kern w:val="2"/>
          <w:sz w:val="24"/>
          <w:szCs w:val="22"/>
          <w:highlight w:val="none"/>
          <w:lang w:val="zh-CN" w:eastAsia="zh-CN" w:bidi="ar-SA"/>
        </w:rPr>
        <w:t>实行单价结算，</w:t>
      </w:r>
      <w:r>
        <w:rPr>
          <w:rFonts w:hint="eastAsia" w:ascii="仿宋" w:hAnsi="仿宋" w:eastAsia="仿宋" w:cs="仿宋"/>
          <w:color w:val="auto"/>
          <w:kern w:val="2"/>
          <w:sz w:val="24"/>
          <w:szCs w:val="22"/>
          <w:highlight w:val="none"/>
          <w:lang w:val="en-US" w:eastAsia="zh-CN" w:bidi="ar-SA"/>
        </w:rPr>
        <w:t>竣工结算时工程量根据甲方委托的第三方审计机构进行工程量核算，根据实际审核的工程量清单规定的计算原则按实调整（综合单价执行成交所报单价），如有工程量核减，则根据最终核算工程量作为最终结算价，乙方应根据最终结算价以转账形式退还给甲方超出部分金额。</w:t>
      </w:r>
    </w:p>
    <w:p w14:paraId="691E74D5">
      <w:pPr>
        <w:spacing w:line="360" w:lineRule="auto"/>
        <w:ind w:firstLine="482" w:firstLineChars="200"/>
        <w:outlineLvl w:val="0"/>
        <w:rPr>
          <w:rFonts w:ascii="仿宋" w:hAnsi="仿宋" w:eastAsia="仿宋" w:cs="仿宋"/>
          <w:b/>
          <w:color w:val="auto"/>
          <w:sz w:val="24"/>
          <w:highlight w:val="none"/>
        </w:rPr>
      </w:pPr>
      <w:bookmarkStart w:id="175" w:name="_Toc489"/>
      <w:r>
        <w:rPr>
          <w:rFonts w:hint="eastAsia" w:ascii="仿宋" w:hAnsi="仿宋" w:eastAsia="仿宋" w:cs="仿宋"/>
          <w:b/>
          <w:color w:val="auto"/>
          <w:sz w:val="24"/>
          <w:highlight w:val="none"/>
        </w:rPr>
        <w:t>2.6 技术资料</w:t>
      </w:r>
      <w:bookmarkEnd w:id="161"/>
      <w:bookmarkEnd w:id="162"/>
      <w:bookmarkEnd w:id="163"/>
      <w:bookmarkEnd w:id="164"/>
      <w:bookmarkEnd w:id="165"/>
      <w:bookmarkEnd w:id="166"/>
      <w:r>
        <w:rPr>
          <w:rFonts w:hint="eastAsia" w:ascii="仿宋" w:hAnsi="仿宋" w:eastAsia="仿宋" w:cs="仿宋"/>
          <w:b/>
          <w:color w:val="auto"/>
          <w:sz w:val="24"/>
          <w:highlight w:val="none"/>
        </w:rPr>
        <w:t>和保密义务</w:t>
      </w:r>
      <w:bookmarkEnd w:id="167"/>
      <w:bookmarkEnd w:id="168"/>
      <w:bookmarkEnd w:id="169"/>
      <w:bookmarkEnd w:id="170"/>
      <w:bookmarkEnd w:id="171"/>
      <w:bookmarkEnd w:id="172"/>
      <w:bookmarkEnd w:id="173"/>
      <w:bookmarkEnd w:id="174"/>
      <w:bookmarkEnd w:id="175"/>
    </w:p>
    <w:p w14:paraId="0000EC3E">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2.6.1 乙方有权依据合同约定和项目需要，向甲方了解有关情况，调阅有关资料等，甲方应予积极配合；</w:t>
      </w:r>
    </w:p>
    <w:p w14:paraId="45006156">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2.6.2 乙方有义务妥善保管和保护由甲方提供的前款信息和资料等；</w:t>
      </w:r>
    </w:p>
    <w:p w14:paraId="483C04C4">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2.6.3 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14:paraId="474B7757">
      <w:pPr>
        <w:spacing w:line="360" w:lineRule="auto"/>
        <w:ind w:firstLine="482" w:firstLineChars="200"/>
        <w:outlineLvl w:val="0"/>
        <w:rPr>
          <w:rFonts w:ascii="仿宋" w:hAnsi="仿宋" w:eastAsia="仿宋" w:cs="仿宋"/>
          <w:b/>
          <w:color w:val="auto"/>
          <w:sz w:val="24"/>
          <w:highlight w:val="none"/>
        </w:rPr>
      </w:pPr>
      <w:bookmarkStart w:id="176" w:name="_Toc24078"/>
      <w:bookmarkStart w:id="177" w:name="_Toc23788"/>
      <w:bookmarkStart w:id="178" w:name="_Toc31682"/>
      <w:bookmarkStart w:id="179" w:name="_Toc30781"/>
      <w:bookmarkStart w:id="180" w:name="_Toc19069"/>
      <w:bookmarkStart w:id="181" w:name="_Toc279701252"/>
      <w:bookmarkStart w:id="182" w:name="_Toc259093681"/>
      <w:bookmarkStart w:id="183" w:name="_Toc487900362"/>
      <w:r>
        <w:rPr>
          <w:rFonts w:hint="eastAsia" w:ascii="仿宋" w:hAnsi="仿宋" w:eastAsia="仿宋" w:cs="仿宋"/>
          <w:b/>
          <w:color w:val="auto"/>
          <w:sz w:val="24"/>
          <w:highlight w:val="none"/>
        </w:rPr>
        <w:t>2.7 质量保证</w:t>
      </w:r>
      <w:bookmarkEnd w:id="176"/>
      <w:bookmarkEnd w:id="177"/>
      <w:bookmarkEnd w:id="178"/>
      <w:bookmarkEnd w:id="179"/>
      <w:bookmarkEnd w:id="180"/>
    </w:p>
    <w:p w14:paraId="51F2F165">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2.7.1 乙方应建立和完善履行合同的内部质量保证体系，并提供相关内部规章制度给甲方，以便甲方进行监督检查；</w:t>
      </w:r>
    </w:p>
    <w:p w14:paraId="5AAE6846">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2.7.2 乙方应保证履行合同的人员数量和素质、软件和硬件设备的配置、场地、环境和设施等满足全面履行合同的要求，并应接受甲方的监督检查。</w:t>
      </w:r>
    </w:p>
    <w:p w14:paraId="15A58205">
      <w:pPr>
        <w:spacing w:line="360" w:lineRule="auto"/>
        <w:ind w:firstLine="482" w:firstLineChars="200"/>
        <w:outlineLvl w:val="0"/>
        <w:rPr>
          <w:rFonts w:ascii="仿宋" w:hAnsi="仿宋" w:eastAsia="仿宋" w:cs="仿宋"/>
          <w:b/>
          <w:color w:val="auto"/>
          <w:sz w:val="24"/>
          <w:highlight w:val="none"/>
        </w:rPr>
      </w:pPr>
      <w:bookmarkStart w:id="184" w:name="_Toc4333"/>
      <w:bookmarkStart w:id="185" w:name="_Toc13743"/>
      <w:bookmarkStart w:id="186" w:name="_Toc22267"/>
      <w:bookmarkStart w:id="187" w:name="_Toc1616"/>
      <w:bookmarkStart w:id="188" w:name="_Toc6644"/>
      <w:r>
        <w:rPr>
          <w:rFonts w:hint="eastAsia" w:ascii="仿宋" w:hAnsi="仿宋" w:eastAsia="仿宋" w:cs="仿宋"/>
          <w:b/>
          <w:color w:val="auto"/>
          <w:sz w:val="24"/>
          <w:highlight w:val="none"/>
        </w:rPr>
        <w:t>2.8 延迟</w:t>
      </w:r>
      <w:bookmarkEnd w:id="181"/>
      <w:bookmarkEnd w:id="182"/>
      <w:bookmarkEnd w:id="183"/>
      <w:r>
        <w:rPr>
          <w:rFonts w:hint="eastAsia" w:ascii="仿宋" w:hAnsi="仿宋" w:eastAsia="仿宋" w:cs="仿宋"/>
          <w:b/>
          <w:color w:val="auto"/>
          <w:sz w:val="24"/>
          <w:highlight w:val="none"/>
        </w:rPr>
        <w:t>履行</w:t>
      </w:r>
      <w:bookmarkEnd w:id="184"/>
      <w:bookmarkEnd w:id="185"/>
      <w:bookmarkEnd w:id="186"/>
      <w:bookmarkEnd w:id="187"/>
      <w:bookmarkEnd w:id="188"/>
    </w:p>
    <w:p w14:paraId="454B34E9">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在合同履行过程中，如果乙方遇到不能按时提供服务的情况，应及时以书面形式将不能按时提供服务的理由、预期延误时间通知甲方；甲方收到乙方通知后，认为其理由正当的，可以书面形式酌情同意乙方可以延长履行的具体时间。</w:t>
      </w:r>
    </w:p>
    <w:p w14:paraId="18063378">
      <w:pPr>
        <w:spacing w:line="360" w:lineRule="auto"/>
        <w:ind w:firstLine="482" w:firstLineChars="200"/>
        <w:outlineLvl w:val="0"/>
        <w:rPr>
          <w:rFonts w:ascii="仿宋" w:hAnsi="仿宋" w:eastAsia="仿宋" w:cs="仿宋"/>
          <w:b/>
          <w:color w:val="auto"/>
          <w:sz w:val="24"/>
          <w:highlight w:val="none"/>
        </w:rPr>
      </w:pPr>
      <w:bookmarkStart w:id="189" w:name="_Toc7134"/>
      <w:bookmarkStart w:id="190" w:name="_Toc9519"/>
      <w:bookmarkStart w:id="191" w:name="_Toc10611"/>
      <w:bookmarkStart w:id="192" w:name="_Toc4141"/>
      <w:bookmarkStart w:id="193" w:name="_Toc20072"/>
      <w:bookmarkStart w:id="194" w:name="_Ref467378121"/>
      <w:bookmarkStart w:id="195" w:name="_Toc487900364"/>
      <w:bookmarkStart w:id="196" w:name="_Toc279701254"/>
      <w:bookmarkStart w:id="197" w:name="_Toc259093683"/>
      <w:r>
        <w:rPr>
          <w:rFonts w:hint="eastAsia" w:ascii="仿宋" w:hAnsi="仿宋" w:eastAsia="仿宋" w:cs="仿宋"/>
          <w:b/>
          <w:color w:val="auto"/>
          <w:sz w:val="24"/>
          <w:highlight w:val="none"/>
        </w:rPr>
        <w:t>2.9 合同变更</w:t>
      </w:r>
      <w:bookmarkEnd w:id="189"/>
      <w:bookmarkEnd w:id="190"/>
      <w:bookmarkEnd w:id="191"/>
      <w:bookmarkEnd w:id="192"/>
      <w:r>
        <w:rPr>
          <w:rFonts w:hint="eastAsia" w:ascii="仿宋" w:hAnsi="仿宋" w:eastAsia="仿宋" w:cs="仿宋"/>
          <w:b/>
          <w:color w:val="auto"/>
          <w:sz w:val="24"/>
          <w:highlight w:val="none"/>
        </w:rPr>
        <w:t>（补充合同）</w:t>
      </w:r>
      <w:bookmarkEnd w:id="193"/>
    </w:p>
    <w:p w14:paraId="0A26B4E3">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2.9.1 双方当事人协商一致，可以签订书面补充合同的形式变更合同，但不得违背采购文件确定的事项，且如果系追加与合同标的相同的服务的，那么所有补充合同的采购金额不得超过原合同价的10%；</w:t>
      </w:r>
    </w:p>
    <w:p w14:paraId="1379B4E6">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2.9.2 合同继续履行将损害国家利益和社会公共利益的，双方当事人应当以书面形式变更合同。有过错的一方应当承担赔偿责任，双方当事人都有过错的，各自承担相应的责任。</w:t>
      </w:r>
      <w:bookmarkStart w:id="198" w:name="_Toc487900369"/>
      <w:bookmarkStart w:id="199" w:name="_Toc259093688"/>
      <w:bookmarkStart w:id="200" w:name="_Toc279701259"/>
    </w:p>
    <w:p w14:paraId="2A80DE42">
      <w:pPr>
        <w:spacing w:line="360" w:lineRule="auto"/>
        <w:ind w:firstLine="482" w:firstLineChars="200"/>
        <w:outlineLvl w:val="0"/>
        <w:rPr>
          <w:rFonts w:ascii="仿宋" w:hAnsi="仿宋" w:eastAsia="仿宋" w:cs="仿宋"/>
          <w:b/>
          <w:color w:val="auto"/>
          <w:sz w:val="24"/>
          <w:highlight w:val="none"/>
        </w:rPr>
      </w:pPr>
      <w:bookmarkStart w:id="201" w:name="_Toc10663"/>
      <w:bookmarkStart w:id="202" w:name="_Toc23368"/>
      <w:bookmarkStart w:id="203" w:name="_Toc13465"/>
      <w:bookmarkStart w:id="204" w:name="_Toc3768"/>
      <w:bookmarkStart w:id="205" w:name="_Toc42"/>
      <w:bookmarkStart w:id="206" w:name="_Toc21830"/>
      <w:bookmarkStart w:id="207" w:name="_Toc458"/>
      <w:bookmarkStart w:id="208" w:name="_Toc27031"/>
      <w:bookmarkStart w:id="209" w:name="_Toc26689"/>
      <w:r>
        <w:rPr>
          <w:rFonts w:hint="eastAsia" w:ascii="仿宋" w:hAnsi="仿宋" w:eastAsia="仿宋" w:cs="仿宋"/>
          <w:b/>
          <w:color w:val="auto"/>
          <w:sz w:val="24"/>
          <w:highlight w:val="none"/>
        </w:rPr>
        <w:t>2.10 合同转让</w:t>
      </w:r>
      <w:bookmarkEnd w:id="198"/>
      <w:bookmarkEnd w:id="199"/>
      <w:bookmarkEnd w:id="200"/>
      <w:r>
        <w:rPr>
          <w:rFonts w:hint="eastAsia" w:ascii="仿宋" w:hAnsi="仿宋" w:eastAsia="仿宋" w:cs="仿宋"/>
          <w:b/>
          <w:color w:val="auto"/>
          <w:sz w:val="24"/>
          <w:highlight w:val="none"/>
        </w:rPr>
        <w:t>和分包</w:t>
      </w:r>
      <w:bookmarkEnd w:id="201"/>
      <w:bookmarkEnd w:id="202"/>
      <w:bookmarkEnd w:id="203"/>
      <w:bookmarkEnd w:id="204"/>
      <w:bookmarkEnd w:id="205"/>
      <w:bookmarkEnd w:id="206"/>
      <w:bookmarkEnd w:id="207"/>
      <w:bookmarkEnd w:id="208"/>
      <w:bookmarkEnd w:id="209"/>
    </w:p>
    <w:p w14:paraId="1479A934">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合同的权利义务依法不得转让，但经甲方同意，乙方可以依法采取分包方式履行合同，即：依法可以将合同项下的部分非主体、非关键性工作分包给他人完成，接受分包的人应当具备相应的资格条件，并不得再次分包，且乙方应就分包项目向甲方负责，并与分包供应商就分包项目向甲方承担连带责任。</w:t>
      </w:r>
    </w:p>
    <w:p w14:paraId="2701DF80">
      <w:pPr>
        <w:spacing w:line="360" w:lineRule="auto"/>
        <w:ind w:firstLine="482" w:firstLineChars="200"/>
        <w:outlineLvl w:val="0"/>
        <w:rPr>
          <w:rFonts w:ascii="仿宋" w:hAnsi="仿宋" w:eastAsia="仿宋" w:cs="仿宋"/>
          <w:b/>
          <w:color w:val="auto"/>
          <w:sz w:val="24"/>
          <w:highlight w:val="none"/>
        </w:rPr>
      </w:pPr>
      <w:bookmarkStart w:id="210" w:name="_Toc14371"/>
      <w:bookmarkStart w:id="211" w:name="_Toc13058"/>
      <w:bookmarkStart w:id="212" w:name="_Toc24901"/>
      <w:bookmarkStart w:id="213" w:name="_Toc32389"/>
      <w:bookmarkStart w:id="214" w:name="_Toc32494"/>
      <w:bookmarkStart w:id="215" w:name="_Toc4720"/>
      <w:bookmarkStart w:id="216" w:name="_Toc25571"/>
      <w:bookmarkStart w:id="217" w:name="_Toc26633"/>
      <w:bookmarkStart w:id="218" w:name="_Toc12909"/>
      <w:r>
        <w:rPr>
          <w:rFonts w:hint="eastAsia" w:ascii="仿宋" w:hAnsi="仿宋" w:eastAsia="仿宋" w:cs="仿宋"/>
          <w:b/>
          <w:color w:val="auto"/>
          <w:sz w:val="24"/>
          <w:highlight w:val="none"/>
        </w:rPr>
        <w:t>2.11 不可抗力</w:t>
      </w:r>
      <w:bookmarkEnd w:id="210"/>
      <w:bookmarkEnd w:id="211"/>
      <w:bookmarkEnd w:id="212"/>
      <w:bookmarkEnd w:id="213"/>
      <w:bookmarkEnd w:id="214"/>
      <w:bookmarkEnd w:id="215"/>
      <w:bookmarkEnd w:id="216"/>
      <w:bookmarkEnd w:id="217"/>
      <w:bookmarkEnd w:id="218"/>
    </w:p>
    <w:p w14:paraId="53113334">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2.11.1如果任何一方遭遇法律规定的不可抗力，致使合同履行受阻时，履行合同的期限应予延长，延长的期限应相当于不可抗力所影响的时间；</w:t>
      </w:r>
    </w:p>
    <w:p w14:paraId="7B48E178">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2.11.2 因不可抗力致使不能实现合同目的的，当事人可以解除合同；</w:t>
      </w:r>
    </w:p>
    <w:p w14:paraId="55F0AC90">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2.11.3 因不可抗力致使合同有变更必要的，双方当事人应在</w:t>
      </w:r>
      <w:r>
        <w:rPr>
          <w:rFonts w:hint="eastAsia" w:ascii="仿宋" w:hAnsi="仿宋" w:eastAsia="仿宋" w:cs="仿宋"/>
          <w:b/>
          <w:color w:val="auto"/>
          <w:sz w:val="24"/>
          <w:highlight w:val="none"/>
          <w:u w:val="single"/>
        </w:rPr>
        <w:t>10个工作日</w:t>
      </w:r>
      <w:r>
        <w:rPr>
          <w:rFonts w:hint="eastAsia" w:ascii="仿宋" w:hAnsi="仿宋" w:eastAsia="仿宋" w:cs="仿宋"/>
          <w:color w:val="auto"/>
          <w:sz w:val="24"/>
          <w:highlight w:val="none"/>
        </w:rPr>
        <w:t>内以书面形式变更合同；</w:t>
      </w:r>
    </w:p>
    <w:p w14:paraId="39D1D382">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2.11.4受不可抗力影响的一方在不可抗力发生后，应在</w:t>
      </w:r>
      <w:r>
        <w:rPr>
          <w:rFonts w:hint="eastAsia" w:ascii="仿宋" w:hAnsi="仿宋" w:eastAsia="仿宋" w:cs="仿宋"/>
          <w:b/>
          <w:color w:val="auto"/>
          <w:sz w:val="24"/>
          <w:highlight w:val="none"/>
          <w:u w:val="single"/>
        </w:rPr>
        <w:t>10个工作日</w:t>
      </w:r>
      <w:r>
        <w:rPr>
          <w:rFonts w:hint="eastAsia" w:ascii="仿宋" w:hAnsi="仿宋" w:eastAsia="仿宋" w:cs="仿宋"/>
          <w:color w:val="auto"/>
          <w:sz w:val="24"/>
          <w:highlight w:val="none"/>
        </w:rPr>
        <w:t>内以书面形式通知对方当事人，并在</w:t>
      </w:r>
      <w:r>
        <w:rPr>
          <w:rFonts w:hint="eastAsia" w:ascii="仿宋" w:hAnsi="仿宋" w:eastAsia="仿宋" w:cs="仿宋"/>
          <w:b/>
          <w:color w:val="auto"/>
          <w:sz w:val="24"/>
          <w:highlight w:val="none"/>
          <w:u w:val="single"/>
        </w:rPr>
        <w:t>10个工作日</w:t>
      </w:r>
      <w:r>
        <w:rPr>
          <w:rFonts w:hint="eastAsia" w:ascii="仿宋" w:hAnsi="仿宋" w:eastAsia="仿宋" w:cs="仿宋"/>
          <w:color w:val="auto"/>
          <w:sz w:val="24"/>
          <w:highlight w:val="none"/>
        </w:rPr>
        <w:t>内，将有关部门出具的证明文件送达对方当事人。</w:t>
      </w:r>
    </w:p>
    <w:p w14:paraId="54AF9079">
      <w:pPr>
        <w:spacing w:line="360" w:lineRule="auto"/>
        <w:ind w:firstLine="482" w:firstLineChars="200"/>
        <w:outlineLvl w:val="0"/>
        <w:rPr>
          <w:rFonts w:ascii="仿宋" w:hAnsi="仿宋" w:eastAsia="仿宋" w:cs="仿宋"/>
          <w:b/>
          <w:color w:val="auto"/>
          <w:sz w:val="24"/>
          <w:highlight w:val="none"/>
        </w:rPr>
      </w:pPr>
      <w:bookmarkStart w:id="219" w:name="_Toc279701255"/>
      <w:bookmarkStart w:id="220" w:name="_Toc7143"/>
      <w:bookmarkStart w:id="221" w:name="_Toc259093684"/>
      <w:bookmarkStart w:id="222" w:name="_Toc14115"/>
      <w:bookmarkStart w:id="223" w:name="_Toc24465"/>
      <w:bookmarkStart w:id="224" w:name="_Toc23854"/>
      <w:bookmarkStart w:id="225" w:name="_Toc3638"/>
      <w:bookmarkStart w:id="226" w:name="_Toc7854"/>
      <w:bookmarkStart w:id="227" w:name="_Toc487900365"/>
      <w:bookmarkStart w:id="228" w:name="_Toc24226"/>
      <w:bookmarkStart w:id="229" w:name="_Toc25783"/>
      <w:bookmarkStart w:id="230" w:name="_Toc19982"/>
      <w:r>
        <w:rPr>
          <w:rFonts w:hint="eastAsia" w:ascii="仿宋" w:hAnsi="仿宋" w:eastAsia="仿宋" w:cs="仿宋"/>
          <w:b/>
          <w:color w:val="auto"/>
          <w:sz w:val="24"/>
          <w:highlight w:val="none"/>
        </w:rPr>
        <w:t>2.12 税费</w:t>
      </w:r>
      <w:bookmarkEnd w:id="219"/>
      <w:bookmarkEnd w:id="220"/>
      <w:bookmarkEnd w:id="221"/>
      <w:bookmarkEnd w:id="222"/>
      <w:bookmarkEnd w:id="223"/>
      <w:bookmarkEnd w:id="224"/>
      <w:bookmarkEnd w:id="225"/>
      <w:bookmarkEnd w:id="226"/>
      <w:bookmarkEnd w:id="227"/>
      <w:bookmarkEnd w:id="228"/>
      <w:bookmarkEnd w:id="229"/>
      <w:bookmarkEnd w:id="230"/>
    </w:p>
    <w:p w14:paraId="1D677D3A">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与合同有关的一切税费，均按照中华人民共和国法律的相关规定缴纳。</w:t>
      </w:r>
    </w:p>
    <w:p w14:paraId="7EE33CEF">
      <w:pPr>
        <w:spacing w:line="360" w:lineRule="auto"/>
        <w:ind w:firstLine="482" w:firstLineChars="200"/>
        <w:outlineLvl w:val="0"/>
        <w:rPr>
          <w:rFonts w:ascii="仿宋" w:hAnsi="仿宋" w:eastAsia="仿宋" w:cs="仿宋"/>
          <w:b/>
          <w:color w:val="auto"/>
          <w:sz w:val="24"/>
          <w:highlight w:val="none"/>
        </w:rPr>
      </w:pPr>
      <w:bookmarkStart w:id="231" w:name="_Toc25525"/>
      <w:bookmarkStart w:id="232" w:name="_Toc2267"/>
      <w:bookmarkStart w:id="233" w:name="_Toc279701258"/>
      <w:bookmarkStart w:id="234" w:name="_Toc259093687"/>
      <w:bookmarkStart w:id="235" w:name="_Toc24592"/>
      <w:bookmarkStart w:id="236" w:name="_Toc30105"/>
      <w:bookmarkStart w:id="237" w:name="_Toc26883"/>
      <w:bookmarkStart w:id="238" w:name="_Toc7315"/>
      <w:bookmarkStart w:id="239" w:name="_Toc487900368"/>
      <w:bookmarkStart w:id="240" w:name="_Toc9444"/>
      <w:bookmarkStart w:id="241" w:name="_Toc12334"/>
      <w:bookmarkStart w:id="242" w:name="_Toc14814"/>
      <w:r>
        <w:rPr>
          <w:rFonts w:hint="eastAsia" w:ascii="仿宋" w:hAnsi="仿宋" w:eastAsia="仿宋" w:cs="仿宋"/>
          <w:b/>
          <w:color w:val="auto"/>
          <w:sz w:val="24"/>
          <w:highlight w:val="none"/>
        </w:rPr>
        <w:t>2.13 乙方破产</w:t>
      </w:r>
      <w:bookmarkEnd w:id="231"/>
      <w:bookmarkEnd w:id="232"/>
      <w:bookmarkEnd w:id="233"/>
      <w:bookmarkEnd w:id="234"/>
      <w:bookmarkEnd w:id="235"/>
      <w:bookmarkEnd w:id="236"/>
      <w:bookmarkEnd w:id="237"/>
      <w:bookmarkEnd w:id="238"/>
      <w:bookmarkEnd w:id="239"/>
      <w:bookmarkEnd w:id="240"/>
      <w:bookmarkEnd w:id="241"/>
      <w:bookmarkEnd w:id="242"/>
    </w:p>
    <w:p w14:paraId="4A26E0D3">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如果乙方破产导致合同无法履行时，甲方可以书面形式通知乙方终止合同且不给予乙方任何补偿和赔偿，但合同的终止不损害或不影响甲方已经采取或将要采取的任何要求乙方支付违约金、赔偿损失等的行动或补救措施的权利。</w:t>
      </w:r>
    </w:p>
    <w:p w14:paraId="7A5E330C">
      <w:pPr>
        <w:spacing w:line="360" w:lineRule="auto"/>
        <w:ind w:firstLine="482" w:firstLineChars="200"/>
        <w:outlineLvl w:val="0"/>
        <w:rPr>
          <w:rFonts w:ascii="仿宋" w:hAnsi="仿宋" w:eastAsia="仿宋" w:cs="仿宋"/>
          <w:b/>
          <w:color w:val="auto"/>
          <w:sz w:val="24"/>
          <w:highlight w:val="none"/>
        </w:rPr>
      </w:pPr>
      <w:bookmarkStart w:id="243" w:name="_Toc23323"/>
      <w:bookmarkStart w:id="244" w:name="_Toc18535"/>
      <w:bookmarkStart w:id="245" w:name="_Toc2450"/>
      <w:bookmarkStart w:id="246" w:name="_Toc31935"/>
      <w:bookmarkStart w:id="247" w:name="_Toc2016"/>
      <w:bookmarkStart w:id="248" w:name="_Toc27457"/>
      <w:bookmarkStart w:id="249" w:name="_Toc1123"/>
      <w:r>
        <w:rPr>
          <w:rFonts w:hint="eastAsia" w:ascii="仿宋" w:hAnsi="仿宋" w:eastAsia="仿宋" w:cs="仿宋"/>
          <w:b/>
          <w:color w:val="auto"/>
          <w:sz w:val="24"/>
          <w:highlight w:val="none"/>
        </w:rPr>
        <w:t>2.14 合同中止、终止</w:t>
      </w:r>
      <w:bookmarkEnd w:id="243"/>
      <w:bookmarkEnd w:id="244"/>
      <w:bookmarkEnd w:id="245"/>
      <w:bookmarkEnd w:id="246"/>
      <w:bookmarkEnd w:id="247"/>
      <w:bookmarkEnd w:id="248"/>
      <w:bookmarkEnd w:id="249"/>
    </w:p>
    <w:p w14:paraId="1E2F6326">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highlight w:val="none"/>
        </w:rPr>
      </w:pPr>
      <w:r>
        <w:rPr>
          <w:rFonts w:hint="eastAsia" w:ascii="仿宋" w:hAnsi="仿宋" w:eastAsia="仿宋" w:cs="仿宋"/>
          <w:color w:val="auto"/>
          <w:sz w:val="24"/>
          <w:highlight w:val="none"/>
        </w:rPr>
        <w:t>2.14.1 双方当事人不得擅自中止或者终止合同；</w:t>
      </w:r>
    </w:p>
    <w:p w14:paraId="4F64AB9F">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highlight w:val="none"/>
        </w:rPr>
      </w:pPr>
      <w:r>
        <w:rPr>
          <w:rFonts w:hint="eastAsia" w:ascii="仿宋" w:hAnsi="仿宋" w:eastAsia="仿宋" w:cs="仿宋"/>
          <w:color w:val="auto"/>
          <w:sz w:val="24"/>
          <w:highlight w:val="none"/>
        </w:rPr>
        <w:t>2.14.2合同继续履行将损害国家利益和社会公共利益的，双方当事人应当中止或者终止合同。有过错的一方应当承担赔偿责任，双方当事人都有过错的，各自承担相应的责任。</w:t>
      </w:r>
    </w:p>
    <w:p w14:paraId="2E0EA774">
      <w:pPr>
        <w:widowControl/>
        <w:autoSpaceDE w:val="0"/>
        <w:autoSpaceDN w:val="0"/>
        <w:adjustRightInd w:val="0"/>
        <w:snapToGrid w:val="0"/>
        <w:spacing w:line="360" w:lineRule="auto"/>
        <w:ind w:firstLine="482" w:firstLineChars="200"/>
        <w:textAlignment w:val="baseline"/>
        <w:outlineLvl w:val="0"/>
        <w:rPr>
          <w:rFonts w:ascii="仿宋" w:hAnsi="仿宋" w:eastAsia="仿宋" w:cs="仿宋"/>
          <w:b/>
          <w:color w:val="auto"/>
          <w:sz w:val="24"/>
          <w:highlight w:val="none"/>
        </w:rPr>
      </w:pPr>
      <w:bookmarkStart w:id="250" w:name="_Toc23234"/>
      <w:bookmarkStart w:id="251" w:name="_Toc17363"/>
      <w:bookmarkStart w:id="252" w:name="_Toc14525"/>
      <w:bookmarkStart w:id="253" w:name="_Toc32237"/>
      <w:bookmarkStart w:id="254" w:name="_Toc1969"/>
      <w:bookmarkStart w:id="255" w:name="_Toc9000"/>
      <w:bookmarkStart w:id="256" w:name="_Toc9606"/>
      <w:r>
        <w:rPr>
          <w:rFonts w:hint="eastAsia" w:ascii="仿宋" w:hAnsi="仿宋" w:eastAsia="仿宋" w:cs="仿宋"/>
          <w:b/>
          <w:color w:val="auto"/>
          <w:sz w:val="24"/>
          <w:highlight w:val="none"/>
        </w:rPr>
        <w:t>2.15 检验和验收</w:t>
      </w:r>
      <w:bookmarkEnd w:id="250"/>
      <w:bookmarkEnd w:id="251"/>
      <w:bookmarkEnd w:id="252"/>
      <w:bookmarkEnd w:id="253"/>
      <w:bookmarkEnd w:id="254"/>
      <w:bookmarkEnd w:id="255"/>
      <w:bookmarkEnd w:id="256"/>
    </w:p>
    <w:p w14:paraId="79559A13">
      <w:pPr>
        <w:widowControl/>
        <w:tabs>
          <w:tab w:val="left" w:pos="360"/>
          <w:tab w:val="left" w:pos="540"/>
          <w:tab w:val="left" w:pos="1080"/>
        </w:tabs>
        <w:autoSpaceDE w:val="0"/>
        <w:autoSpaceDN w:val="0"/>
        <w:adjustRightInd w:val="0"/>
        <w:snapToGrid w:val="0"/>
        <w:spacing w:line="360" w:lineRule="auto"/>
        <w:ind w:firstLine="480" w:firstLineChars="200"/>
        <w:textAlignment w:val="baseline"/>
        <w:rPr>
          <w:rFonts w:ascii="仿宋" w:hAnsi="仿宋" w:eastAsia="仿宋" w:cs="仿宋"/>
          <w:color w:val="auto"/>
          <w:sz w:val="24"/>
          <w:highlight w:val="none"/>
        </w:rPr>
      </w:pPr>
      <w:r>
        <w:rPr>
          <w:rFonts w:hint="eastAsia" w:ascii="仿宋" w:hAnsi="仿宋" w:eastAsia="仿宋" w:cs="仿宋"/>
          <w:color w:val="auto"/>
          <w:sz w:val="24"/>
          <w:highlight w:val="none"/>
        </w:rPr>
        <w:t>2.15.1 乙方按照</w:t>
      </w:r>
      <w:r>
        <w:rPr>
          <w:rFonts w:hint="eastAsia" w:ascii="仿宋" w:hAnsi="仿宋" w:eastAsia="仿宋" w:cs="仿宋"/>
          <w:color w:val="auto"/>
          <w:sz w:val="24"/>
          <w:highlight w:val="none"/>
          <w:lang w:val="en-US" w:eastAsia="zh-CN"/>
        </w:rPr>
        <w:t>磋商</w:t>
      </w:r>
      <w:r>
        <w:rPr>
          <w:rFonts w:hint="eastAsia" w:ascii="仿宋" w:hAnsi="仿宋" w:eastAsia="仿宋" w:cs="仿宋"/>
          <w:color w:val="auto"/>
          <w:sz w:val="24"/>
          <w:highlight w:val="none"/>
        </w:rPr>
        <w:t>文件、工程量清单、答疑文件等的约定，定期提交相关报告，甲方按照</w:t>
      </w:r>
      <w:r>
        <w:rPr>
          <w:rFonts w:hint="eastAsia" w:ascii="仿宋" w:hAnsi="仿宋" w:eastAsia="仿宋" w:cs="仿宋"/>
          <w:color w:val="auto"/>
          <w:sz w:val="24"/>
          <w:highlight w:val="none"/>
          <w:lang w:val="en-US" w:eastAsia="zh-CN"/>
        </w:rPr>
        <w:t>磋商</w:t>
      </w:r>
      <w:r>
        <w:rPr>
          <w:rFonts w:hint="eastAsia" w:ascii="仿宋" w:hAnsi="仿宋" w:eastAsia="仿宋" w:cs="仿宋"/>
          <w:color w:val="auto"/>
          <w:sz w:val="24"/>
          <w:highlight w:val="none"/>
        </w:rPr>
        <w:t>文件、工程量清单、答疑文件等约定进行定期验收；</w:t>
      </w:r>
    </w:p>
    <w:p w14:paraId="1CE9DDBD">
      <w:pPr>
        <w:widowControl/>
        <w:tabs>
          <w:tab w:val="left" w:pos="360"/>
          <w:tab w:val="left" w:pos="540"/>
          <w:tab w:val="left" w:pos="1080"/>
        </w:tabs>
        <w:autoSpaceDE w:val="0"/>
        <w:autoSpaceDN w:val="0"/>
        <w:adjustRightInd w:val="0"/>
        <w:snapToGrid w:val="0"/>
        <w:spacing w:line="360" w:lineRule="auto"/>
        <w:ind w:firstLine="480" w:firstLineChars="200"/>
        <w:textAlignment w:val="baseline"/>
        <w:rPr>
          <w:rFonts w:ascii="仿宋" w:hAnsi="仿宋" w:eastAsia="仿宋" w:cs="仿宋"/>
          <w:color w:val="auto"/>
          <w:sz w:val="24"/>
          <w:highlight w:val="none"/>
        </w:rPr>
      </w:pPr>
      <w:r>
        <w:rPr>
          <w:rFonts w:hint="eastAsia" w:ascii="仿宋" w:hAnsi="仿宋" w:eastAsia="仿宋" w:cs="仿宋"/>
          <w:color w:val="auto"/>
          <w:sz w:val="24"/>
          <w:highlight w:val="none"/>
        </w:rPr>
        <w:t>2.15.2 合同期满或者履行完毕后，甲方有权组织（包括依法邀请国家认可的质量检测机构参加）对乙方履约的验收，即：按照合同约定的标准，组织对乙方履约情况的验收，并出具验收书；向社会公众提供的公共服务项目，验收时应当邀请服务对象参与并出具意见，验收结果应当向社会公告；</w:t>
      </w:r>
    </w:p>
    <w:p w14:paraId="0C0684A3">
      <w:pPr>
        <w:widowControl/>
        <w:tabs>
          <w:tab w:val="left" w:pos="360"/>
          <w:tab w:val="left" w:pos="540"/>
          <w:tab w:val="left" w:pos="1080"/>
        </w:tabs>
        <w:autoSpaceDE w:val="0"/>
        <w:autoSpaceDN w:val="0"/>
        <w:adjustRightInd w:val="0"/>
        <w:snapToGrid w:val="0"/>
        <w:spacing w:line="360" w:lineRule="auto"/>
        <w:ind w:firstLine="480" w:firstLineChars="200"/>
        <w:textAlignment w:val="baseline"/>
        <w:rPr>
          <w:rFonts w:ascii="仿宋" w:hAnsi="仿宋" w:eastAsia="仿宋" w:cs="仿宋"/>
          <w:color w:val="auto"/>
          <w:sz w:val="24"/>
          <w:highlight w:val="none"/>
        </w:rPr>
      </w:pPr>
      <w:r>
        <w:rPr>
          <w:rFonts w:hint="eastAsia" w:ascii="仿宋" w:hAnsi="仿宋" w:eastAsia="仿宋" w:cs="仿宋"/>
          <w:color w:val="auto"/>
          <w:sz w:val="24"/>
          <w:highlight w:val="none"/>
        </w:rPr>
        <w:t>2.15.3 检验和验收标准、程序等具体内容以及前述验收约定为准。</w:t>
      </w:r>
    </w:p>
    <w:bookmarkEnd w:id="194"/>
    <w:bookmarkEnd w:id="195"/>
    <w:bookmarkEnd w:id="196"/>
    <w:bookmarkEnd w:id="197"/>
    <w:p w14:paraId="2513A3F4">
      <w:pPr>
        <w:widowControl/>
        <w:autoSpaceDE w:val="0"/>
        <w:autoSpaceDN w:val="0"/>
        <w:adjustRightInd w:val="0"/>
        <w:snapToGrid w:val="0"/>
        <w:spacing w:line="360" w:lineRule="auto"/>
        <w:ind w:firstLine="482" w:firstLineChars="200"/>
        <w:textAlignment w:val="baseline"/>
        <w:outlineLvl w:val="0"/>
        <w:rPr>
          <w:rFonts w:ascii="仿宋" w:hAnsi="仿宋" w:eastAsia="仿宋" w:cs="仿宋"/>
          <w:b/>
          <w:color w:val="auto"/>
          <w:sz w:val="24"/>
          <w:highlight w:val="none"/>
        </w:rPr>
      </w:pPr>
      <w:bookmarkStart w:id="257" w:name="_Toc279701261"/>
      <w:bookmarkStart w:id="258" w:name="_Toc259093690"/>
      <w:bookmarkStart w:id="259" w:name="_Toc487900371"/>
      <w:bookmarkStart w:id="260" w:name="_Toc8980"/>
      <w:bookmarkStart w:id="261" w:name="_Toc12666"/>
      <w:bookmarkStart w:id="262" w:name="_Toc2308"/>
      <w:bookmarkStart w:id="263" w:name="_Toc7598"/>
      <w:bookmarkStart w:id="264" w:name="_Toc13424"/>
      <w:bookmarkStart w:id="265" w:name="_Toc9808"/>
      <w:bookmarkStart w:id="266" w:name="_Toc31892"/>
      <w:bookmarkStart w:id="267" w:name="_Toc20675"/>
      <w:bookmarkStart w:id="268" w:name="_Toc25198"/>
      <w:r>
        <w:rPr>
          <w:rFonts w:hint="eastAsia" w:ascii="仿宋" w:hAnsi="仿宋" w:eastAsia="仿宋" w:cs="仿宋"/>
          <w:b/>
          <w:color w:val="auto"/>
          <w:sz w:val="24"/>
          <w:highlight w:val="none"/>
        </w:rPr>
        <w:t>2.16 通知</w:t>
      </w:r>
      <w:bookmarkEnd w:id="257"/>
      <w:bookmarkEnd w:id="258"/>
      <w:bookmarkEnd w:id="259"/>
      <w:r>
        <w:rPr>
          <w:rFonts w:hint="eastAsia" w:ascii="仿宋" w:hAnsi="仿宋" w:eastAsia="仿宋" w:cs="仿宋"/>
          <w:b/>
          <w:color w:val="auto"/>
          <w:sz w:val="24"/>
          <w:highlight w:val="none"/>
        </w:rPr>
        <w:t>和送达</w:t>
      </w:r>
      <w:bookmarkEnd w:id="260"/>
      <w:bookmarkEnd w:id="261"/>
      <w:bookmarkEnd w:id="262"/>
      <w:bookmarkEnd w:id="263"/>
      <w:bookmarkEnd w:id="264"/>
      <w:bookmarkEnd w:id="265"/>
      <w:bookmarkEnd w:id="266"/>
      <w:bookmarkEnd w:id="267"/>
      <w:bookmarkEnd w:id="268"/>
    </w:p>
    <w:p w14:paraId="19061CAD">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highlight w:val="none"/>
        </w:rPr>
      </w:pPr>
      <w:bookmarkStart w:id="269" w:name="_Toc29220"/>
      <w:bookmarkStart w:id="270" w:name="_Toc7073"/>
      <w:bookmarkStart w:id="271" w:name="_Toc279701262"/>
      <w:bookmarkStart w:id="272" w:name="_Toc487900372"/>
      <w:bookmarkStart w:id="273" w:name="_Toc259093691"/>
      <w:r>
        <w:rPr>
          <w:rFonts w:hint="eastAsia" w:ascii="仿宋" w:hAnsi="仿宋" w:eastAsia="仿宋" w:cs="仿宋"/>
          <w:color w:val="auto"/>
          <w:sz w:val="24"/>
          <w:highlight w:val="none"/>
        </w:rPr>
        <w:t>2.16.1 任何一方因履行合同而以合同第一部分尾部所列明的约定送达地址发出的所有通知、文件、材料，均视为已向对方当事人送达；任何一方变更上述送达方式或者地址的，应于个工作日内书面通知对方当事人，在对方当事人收到有关变更通知之前，变更前的约定送达方式或者地址仍视为有效。</w:t>
      </w:r>
      <w:bookmarkEnd w:id="269"/>
      <w:bookmarkEnd w:id="270"/>
    </w:p>
    <w:p w14:paraId="4566D49A">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highlight w:val="none"/>
        </w:rPr>
      </w:pPr>
      <w:bookmarkStart w:id="274" w:name="_Toc27674"/>
      <w:bookmarkStart w:id="275" w:name="_Toc18401"/>
      <w:r>
        <w:rPr>
          <w:rFonts w:hint="eastAsia" w:ascii="仿宋" w:hAnsi="仿宋" w:eastAsia="仿宋" w:cs="仿宋"/>
          <w:color w:val="auto"/>
          <w:sz w:val="24"/>
          <w:highlight w:val="none"/>
        </w:rPr>
        <w:t>2.16.2以当面交付方式送达的，交付之时视为送达；以电子邮件方式送达的，发出电子邮件之时视为送达；以传真方式送达的，发出传真之时视为送达；以邮寄方式送达的，邮件挂号寄出或者交邮之日之次日视为送达。</w:t>
      </w:r>
      <w:bookmarkEnd w:id="274"/>
      <w:bookmarkEnd w:id="275"/>
    </w:p>
    <w:bookmarkEnd w:id="271"/>
    <w:bookmarkEnd w:id="272"/>
    <w:bookmarkEnd w:id="273"/>
    <w:p w14:paraId="05470F4D">
      <w:pPr>
        <w:widowControl/>
        <w:autoSpaceDE w:val="0"/>
        <w:autoSpaceDN w:val="0"/>
        <w:adjustRightInd w:val="0"/>
        <w:snapToGrid w:val="0"/>
        <w:spacing w:line="360" w:lineRule="auto"/>
        <w:ind w:firstLine="482" w:firstLineChars="200"/>
        <w:textAlignment w:val="baseline"/>
        <w:outlineLvl w:val="0"/>
        <w:rPr>
          <w:rFonts w:ascii="仿宋" w:hAnsi="仿宋" w:eastAsia="仿宋" w:cs="仿宋"/>
          <w:b/>
          <w:color w:val="auto"/>
          <w:sz w:val="24"/>
          <w:highlight w:val="none"/>
        </w:rPr>
      </w:pPr>
      <w:bookmarkStart w:id="276" w:name="_Toc5063"/>
      <w:bookmarkStart w:id="277" w:name="_Toc279701263"/>
      <w:bookmarkStart w:id="278" w:name="_Toc20808"/>
      <w:bookmarkStart w:id="279" w:name="_Toc30955"/>
      <w:bookmarkStart w:id="280" w:name="_Toc27644"/>
      <w:bookmarkStart w:id="281" w:name="_Toc15816"/>
      <w:bookmarkStart w:id="282" w:name="_Toc25494"/>
      <w:bookmarkStart w:id="283" w:name="_Toc29465"/>
      <w:bookmarkStart w:id="284" w:name="_Toc487900373"/>
      <w:bookmarkStart w:id="285" w:name="_Toc12254"/>
      <w:bookmarkStart w:id="286" w:name="_Toc259093692"/>
      <w:bookmarkStart w:id="287" w:name="_Toc28906"/>
      <w:r>
        <w:rPr>
          <w:rFonts w:hint="eastAsia" w:ascii="仿宋" w:hAnsi="仿宋" w:eastAsia="仿宋" w:cs="仿宋"/>
          <w:b/>
          <w:color w:val="auto"/>
          <w:sz w:val="24"/>
          <w:highlight w:val="none"/>
        </w:rPr>
        <w:t>2.17 合同使用的文字和适用的法律</w:t>
      </w:r>
      <w:bookmarkEnd w:id="276"/>
      <w:bookmarkEnd w:id="277"/>
      <w:bookmarkEnd w:id="278"/>
      <w:bookmarkEnd w:id="279"/>
      <w:bookmarkEnd w:id="280"/>
      <w:bookmarkEnd w:id="281"/>
      <w:bookmarkEnd w:id="282"/>
      <w:bookmarkEnd w:id="283"/>
      <w:bookmarkEnd w:id="284"/>
      <w:bookmarkEnd w:id="285"/>
      <w:bookmarkEnd w:id="286"/>
      <w:bookmarkEnd w:id="287"/>
    </w:p>
    <w:p w14:paraId="6A53ABA4">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highlight w:val="none"/>
        </w:rPr>
      </w:pPr>
      <w:r>
        <w:rPr>
          <w:rFonts w:hint="eastAsia" w:ascii="仿宋" w:hAnsi="仿宋" w:eastAsia="仿宋" w:cs="仿宋"/>
          <w:color w:val="auto"/>
          <w:sz w:val="24"/>
          <w:highlight w:val="none"/>
        </w:rPr>
        <w:t>2.17.1 合同使用汉语书就、变更和解释；</w:t>
      </w:r>
    </w:p>
    <w:p w14:paraId="4AF7D84E">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highlight w:val="none"/>
        </w:rPr>
      </w:pPr>
      <w:r>
        <w:rPr>
          <w:rFonts w:hint="eastAsia" w:ascii="仿宋" w:hAnsi="仿宋" w:eastAsia="仿宋" w:cs="仿宋"/>
          <w:color w:val="auto"/>
          <w:sz w:val="24"/>
          <w:highlight w:val="none"/>
        </w:rPr>
        <w:t>2.17.2 合同适用中华人民共和国法律。</w:t>
      </w:r>
    </w:p>
    <w:p w14:paraId="29ABFF3F">
      <w:pPr>
        <w:widowControl/>
        <w:autoSpaceDE w:val="0"/>
        <w:autoSpaceDN w:val="0"/>
        <w:adjustRightInd w:val="0"/>
        <w:snapToGrid w:val="0"/>
        <w:spacing w:line="360" w:lineRule="auto"/>
        <w:ind w:firstLine="482" w:firstLineChars="200"/>
        <w:textAlignment w:val="baseline"/>
        <w:outlineLvl w:val="0"/>
        <w:rPr>
          <w:rFonts w:ascii="仿宋" w:hAnsi="仿宋" w:eastAsia="仿宋" w:cs="仿宋"/>
          <w:b/>
          <w:color w:val="auto"/>
          <w:sz w:val="24"/>
          <w:highlight w:val="none"/>
        </w:rPr>
      </w:pPr>
      <w:bookmarkStart w:id="288" w:name="_Toc27403"/>
      <w:bookmarkStart w:id="289" w:name="_Toc24121"/>
      <w:bookmarkStart w:id="290" w:name="_Toc27127"/>
      <w:bookmarkStart w:id="291" w:name="_Toc25512"/>
      <w:bookmarkStart w:id="292" w:name="_Toc259093693"/>
      <w:bookmarkStart w:id="293" w:name="_Toc279701264"/>
      <w:bookmarkStart w:id="294" w:name="_Toc1492"/>
      <w:bookmarkStart w:id="295" w:name="_Toc12840"/>
      <w:bookmarkStart w:id="296" w:name="_Toc22266"/>
      <w:bookmarkStart w:id="297" w:name="_Toc30096"/>
      <w:bookmarkStart w:id="298" w:name="_Toc5699"/>
      <w:bookmarkStart w:id="299" w:name="_Toc487900374"/>
      <w:r>
        <w:rPr>
          <w:rFonts w:hint="eastAsia" w:ascii="仿宋" w:hAnsi="仿宋" w:eastAsia="仿宋" w:cs="仿宋"/>
          <w:b/>
          <w:color w:val="auto"/>
          <w:sz w:val="24"/>
          <w:highlight w:val="none"/>
        </w:rPr>
        <w:t>2.18 履约保证金</w:t>
      </w:r>
      <w:bookmarkEnd w:id="288"/>
      <w:bookmarkEnd w:id="289"/>
      <w:bookmarkEnd w:id="290"/>
      <w:bookmarkEnd w:id="291"/>
      <w:bookmarkEnd w:id="292"/>
      <w:bookmarkEnd w:id="293"/>
      <w:bookmarkEnd w:id="294"/>
      <w:bookmarkEnd w:id="295"/>
      <w:bookmarkEnd w:id="296"/>
      <w:bookmarkEnd w:id="297"/>
      <w:bookmarkEnd w:id="298"/>
    </w:p>
    <w:p w14:paraId="585300C2">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highlight w:val="none"/>
        </w:rPr>
      </w:pPr>
      <w:r>
        <w:rPr>
          <w:rFonts w:hint="eastAsia" w:ascii="仿宋" w:hAnsi="仿宋" w:eastAsia="仿宋" w:cs="仿宋"/>
          <w:color w:val="auto"/>
          <w:sz w:val="24"/>
          <w:highlight w:val="none"/>
        </w:rPr>
        <w:t>2.18.1 本项目提交</w:t>
      </w:r>
      <w:r>
        <w:rPr>
          <w:rFonts w:hint="eastAsia" w:ascii="仿宋" w:hAnsi="仿宋" w:eastAsia="仿宋" w:cs="仿宋"/>
          <w:color w:val="auto"/>
          <w:sz w:val="24"/>
          <w:highlight w:val="none"/>
          <w:lang w:val="en-US" w:eastAsia="zh-CN"/>
        </w:rPr>
        <w:t>3</w:t>
      </w:r>
      <w:r>
        <w:rPr>
          <w:rFonts w:ascii="仿宋" w:hAnsi="仿宋" w:eastAsia="仿宋" w:cs="仿宋"/>
          <w:color w:val="auto"/>
          <w:sz w:val="24"/>
          <w:highlight w:val="none"/>
        </w:rPr>
        <w:t>%的履约保证金</w:t>
      </w:r>
      <w:r>
        <w:rPr>
          <w:rFonts w:hint="eastAsia" w:ascii="仿宋" w:hAnsi="仿宋" w:eastAsia="仿宋" w:cs="仿宋"/>
          <w:color w:val="auto"/>
          <w:sz w:val="24"/>
          <w:highlight w:val="none"/>
        </w:rPr>
        <w:t>。</w:t>
      </w:r>
    </w:p>
    <w:bookmarkEnd w:id="299"/>
    <w:p w14:paraId="76EF9959">
      <w:pPr>
        <w:widowControl/>
        <w:autoSpaceDE w:val="0"/>
        <w:autoSpaceDN w:val="0"/>
        <w:adjustRightInd w:val="0"/>
        <w:snapToGrid w:val="0"/>
        <w:spacing w:line="360" w:lineRule="auto"/>
        <w:ind w:firstLine="482" w:firstLineChars="200"/>
        <w:textAlignment w:val="baseline"/>
        <w:rPr>
          <w:rFonts w:ascii="仿宋" w:hAnsi="仿宋" w:eastAsia="仿宋" w:cs="仿宋"/>
          <w:b/>
          <w:color w:val="auto"/>
          <w:sz w:val="24"/>
          <w:highlight w:val="none"/>
        </w:rPr>
      </w:pPr>
      <w:r>
        <w:rPr>
          <w:rFonts w:hint="eastAsia" w:ascii="仿宋" w:hAnsi="仿宋" w:eastAsia="仿宋" w:cs="仿宋"/>
          <w:b/>
          <w:color w:val="auto"/>
          <w:sz w:val="24"/>
          <w:highlight w:val="none"/>
        </w:rPr>
        <w:t>2.19 合同份数</w:t>
      </w:r>
    </w:p>
    <w:p w14:paraId="48FBF8AA">
      <w:pPr>
        <w:widowControl/>
        <w:autoSpaceDE w:val="0"/>
        <w:autoSpaceDN w:val="0"/>
        <w:adjustRightInd w:val="0"/>
        <w:snapToGrid w:val="0"/>
        <w:spacing w:line="360" w:lineRule="auto"/>
        <w:ind w:firstLine="480"/>
        <w:textAlignment w:val="baseline"/>
        <w:rPr>
          <w:rFonts w:ascii="仿宋" w:hAnsi="仿宋" w:eastAsia="仿宋" w:cs="仿宋"/>
          <w:color w:val="auto"/>
          <w:sz w:val="24"/>
          <w:highlight w:val="none"/>
        </w:rPr>
      </w:pPr>
      <w:r>
        <w:rPr>
          <w:rFonts w:hint="eastAsia" w:ascii="仿宋" w:hAnsi="仿宋" w:eastAsia="仿宋" w:cs="仿宋"/>
          <w:color w:val="auto"/>
          <w:sz w:val="24"/>
          <w:highlight w:val="none"/>
        </w:rPr>
        <w:t>合同份数按</w:t>
      </w:r>
      <w:r>
        <w:rPr>
          <w:rFonts w:hint="eastAsia" w:ascii="仿宋" w:hAnsi="仿宋" w:eastAsia="仿宋" w:cs="仿宋"/>
          <w:b/>
          <w:bCs/>
          <w:color w:val="auto"/>
          <w:sz w:val="24"/>
          <w:highlight w:val="none"/>
        </w:rPr>
        <w:t>合同专用条款</w:t>
      </w:r>
      <w:r>
        <w:rPr>
          <w:rFonts w:hint="eastAsia" w:ascii="仿宋" w:hAnsi="仿宋" w:eastAsia="仿宋" w:cs="仿宋"/>
          <w:color w:val="auto"/>
          <w:sz w:val="24"/>
          <w:highlight w:val="none"/>
        </w:rPr>
        <w:t>规定，每份均具有同等法律效力。</w:t>
      </w:r>
    </w:p>
    <w:p w14:paraId="19C57130">
      <w:pPr>
        <w:pStyle w:val="7"/>
        <w:spacing w:line="360" w:lineRule="auto"/>
        <w:ind w:firstLine="0"/>
        <w:jc w:val="center"/>
        <w:rPr>
          <w:rFonts w:ascii="仿宋" w:hAnsi="仿宋" w:eastAsia="仿宋" w:cs="仿宋"/>
          <w:b/>
          <w:color w:val="auto"/>
          <w:highlight w:val="none"/>
        </w:rPr>
      </w:pPr>
      <w:r>
        <w:rPr>
          <w:rFonts w:hint="eastAsia" w:ascii="仿宋" w:hAnsi="仿宋" w:eastAsia="仿宋" w:cs="仿宋"/>
          <w:color w:val="auto"/>
          <w:highlight w:val="none"/>
        </w:rPr>
        <w:br w:type="page"/>
      </w:r>
      <w:bookmarkStart w:id="300" w:name="_Toc331685784"/>
      <w:r>
        <w:rPr>
          <w:rFonts w:hint="eastAsia" w:ascii="仿宋" w:hAnsi="仿宋" w:eastAsia="仿宋" w:cs="仿宋"/>
          <w:color w:val="auto"/>
          <w:kern w:val="2"/>
          <w:sz w:val="32"/>
          <w:szCs w:val="32"/>
          <w:highlight w:val="none"/>
        </w:rPr>
        <w:t>三、合同专用条款</w:t>
      </w:r>
      <w:bookmarkEnd w:id="300"/>
    </w:p>
    <w:p w14:paraId="6BDF39AA">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highlight w:val="none"/>
        </w:rPr>
      </w:pPr>
      <w:r>
        <w:rPr>
          <w:rFonts w:hint="eastAsia" w:ascii="仿宋" w:hAnsi="仿宋" w:eastAsia="仿宋" w:cs="仿宋"/>
          <w:color w:val="auto"/>
          <w:sz w:val="24"/>
          <w:highlight w:val="none"/>
        </w:rPr>
        <w:t>本部分是对前两部分的补充和修改，如果前两部分和本部分的约定不一致，应以本部分的约定为准。本部分的条款号应与前两部分的条款号保持对应；与前两部分无对应关系的内容可另行编制条款号。</w:t>
      </w:r>
    </w:p>
    <w:tbl>
      <w:tblPr>
        <w:tblStyle w:val="3"/>
        <w:tblW w:w="843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801"/>
        <w:gridCol w:w="7633"/>
      </w:tblGrid>
      <w:tr w14:paraId="5AB6B3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91" w:hRule="atLeast"/>
          <w:jc w:val="center"/>
        </w:trPr>
        <w:tc>
          <w:tcPr>
            <w:tcW w:w="801" w:type="dxa"/>
            <w:tcBorders>
              <w:left w:val="single" w:color="auto" w:sz="4" w:space="0"/>
            </w:tcBorders>
            <w:vAlign w:val="center"/>
          </w:tcPr>
          <w:p w14:paraId="47829204">
            <w:pPr>
              <w:spacing w:line="360" w:lineRule="auto"/>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条款号</w:t>
            </w:r>
          </w:p>
        </w:tc>
        <w:tc>
          <w:tcPr>
            <w:tcW w:w="7633" w:type="dxa"/>
            <w:vAlign w:val="center"/>
          </w:tcPr>
          <w:p w14:paraId="4A26BF6D">
            <w:pPr>
              <w:spacing w:line="360" w:lineRule="auto"/>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约定内容</w:t>
            </w:r>
          </w:p>
        </w:tc>
      </w:tr>
      <w:tr w14:paraId="7C9853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jc w:val="center"/>
        </w:trPr>
        <w:tc>
          <w:tcPr>
            <w:tcW w:w="801" w:type="dxa"/>
            <w:tcBorders>
              <w:left w:val="single" w:color="auto" w:sz="4" w:space="0"/>
            </w:tcBorders>
            <w:vAlign w:val="center"/>
          </w:tcPr>
          <w:p w14:paraId="52B8AC3F">
            <w:pPr>
              <w:spacing w:line="360" w:lineRule="auto"/>
              <w:rPr>
                <w:rFonts w:ascii="仿宋" w:hAnsi="仿宋" w:eastAsia="仿宋" w:cs="仿宋"/>
                <w:color w:val="auto"/>
                <w:sz w:val="24"/>
                <w:highlight w:val="none"/>
              </w:rPr>
            </w:pPr>
          </w:p>
        </w:tc>
        <w:tc>
          <w:tcPr>
            <w:tcW w:w="7633" w:type="dxa"/>
            <w:vAlign w:val="center"/>
          </w:tcPr>
          <w:p w14:paraId="6071780B">
            <w:pPr>
              <w:spacing w:line="360" w:lineRule="auto"/>
              <w:rPr>
                <w:rFonts w:ascii="仿宋" w:hAnsi="仿宋" w:eastAsia="仿宋" w:cs="仿宋"/>
                <w:color w:val="auto"/>
                <w:sz w:val="24"/>
                <w:highlight w:val="none"/>
              </w:rPr>
            </w:pPr>
          </w:p>
        </w:tc>
      </w:tr>
      <w:tr w14:paraId="0CF914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5477A724">
            <w:pPr>
              <w:spacing w:line="360" w:lineRule="auto"/>
              <w:rPr>
                <w:rFonts w:ascii="仿宋" w:hAnsi="仿宋" w:eastAsia="仿宋" w:cs="仿宋"/>
                <w:color w:val="auto"/>
                <w:sz w:val="24"/>
                <w:highlight w:val="none"/>
              </w:rPr>
            </w:pPr>
          </w:p>
        </w:tc>
        <w:tc>
          <w:tcPr>
            <w:tcW w:w="7633" w:type="dxa"/>
            <w:vAlign w:val="center"/>
          </w:tcPr>
          <w:p w14:paraId="67F42560">
            <w:pPr>
              <w:spacing w:line="360" w:lineRule="auto"/>
              <w:rPr>
                <w:rFonts w:ascii="仿宋" w:hAnsi="仿宋" w:eastAsia="仿宋" w:cs="仿宋"/>
                <w:color w:val="auto"/>
                <w:sz w:val="24"/>
                <w:highlight w:val="none"/>
              </w:rPr>
            </w:pPr>
          </w:p>
        </w:tc>
      </w:tr>
      <w:tr w14:paraId="197B88C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54BA0D55">
            <w:pPr>
              <w:spacing w:line="360" w:lineRule="auto"/>
              <w:rPr>
                <w:rFonts w:ascii="仿宋" w:hAnsi="仿宋" w:eastAsia="仿宋" w:cs="仿宋"/>
                <w:color w:val="auto"/>
                <w:sz w:val="24"/>
                <w:highlight w:val="none"/>
              </w:rPr>
            </w:pPr>
          </w:p>
        </w:tc>
        <w:tc>
          <w:tcPr>
            <w:tcW w:w="7633" w:type="dxa"/>
            <w:vAlign w:val="center"/>
          </w:tcPr>
          <w:p w14:paraId="5829EB00">
            <w:pPr>
              <w:spacing w:line="360" w:lineRule="auto"/>
              <w:rPr>
                <w:rFonts w:ascii="仿宋" w:hAnsi="仿宋" w:eastAsia="仿宋" w:cs="仿宋"/>
                <w:color w:val="auto"/>
                <w:sz w:val="24"/>
                <w:highlight w:val="none"/>
              </w:rPr>
            </w:pPr>
          </w:p>
        </w:tc>
      </w:tr>
      <w:tr w14:paraId="5329130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64B698B5">
            <w:pPr>
              <w:spacing w:line="360" w:lineRule="auto"/>
              <w:rPr>
                <w:rFonts w:ascii="仿宋" w:hAnsi="仿宋" w:eastAsia="仿宋" w:cs="仿宋"/>
                <w:color w:val="auto"/>
                <w:sz w:val="24"/>
                <w:highlight w:val="none"/>
              </w:rPr>
            </w:pPr>
          </w:p>
        </w:tc>
        <w:tc>
          <w:tcPr>
            <w:tcW w:w="7633" w:type="dxa"/>
            <w:vAlign w:val="center"/>
          </w:tcPr>
          <w:p w14:paraId="6C618E45">
            <w:pPr>
              <w:spacing w:line="360" w:lineRule="auto"/>
              <w:rPr>
                <w:rFonts w:ascii="仿宋" w:hAnsi="仿宋" w:eastAsia="仿宋" w:cs="仿宋"/>
                <w:color w:val="auto"/>
                <w:sz w:val="24"/>
                <w:highlight w:val="none"/>
              </w:rPr>
            </w:pPr>
          </w:p>
        </w:tc>
      </w:tr>
      <w:tr w14:paraId="3B0C324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674FFADD">
            <w:pPr>
              <w:spacing w:line="360" w:lineRule="auto"/>
              <w:rPr>
                <w:rFonts w:ascii="仿宋" w:hAnsi="仿宋" w:eastAsia="仿宋" w:cs="仿宋"/>
                <w:color w:val="auto"/>
                <w:sz w:val="24"/>
                <w:highlight w:val="none"/>
              </w:rPr>
            </w:pPr>
          </w:p>
        </w:tc>
        <w:tc>
          <w:tcPr>
            <w:tcW w:w="7633" w:type="dxa"/>
            <w:vAlign w:val="center"/>
          </w:tcPr>
          <w:p w14:paraId="0750AD10">
            <w:pPr>
              <w:spacing w:line="360" w:lineRule="auto"/>
              <w:rPr>
                <w:rFonts w:ascii="仿宋" w:hAnsi="仿宋" w:eastAsia="仿宋" w:cs="仿宋"/>
                <w:color w:val="auto"/>
                <w:sz w:val="24"/>
                <w:highlight w:val="none"/>
                <w:u w:val="single"/>
              </w:rPr>
            </w:pPr>
          </w:p>
        </w:tc>
      </w:tr>
      <w:tr w14:paraId="14EFC6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5A064C46">
            <w:pPr>
              <w:spacing w:line="360" w:lineRule="auto"/>
              <w:rPr>
                <w:rFonts w:ascii="仿宋" w:hAnsi="仿宋" w:eastAsia="仿宋" w:cs="仿宋"/>
                <w:color w:val="auto"/>
                <w:sz w:val="24"/>
                <w:highlight w:val="none"/>
              </w:rPr>
            </w:pPr>
          </w:p>
        </w:tc>
        <w:tc>
          <w:tcPr>
            <w:tcW w:w="7633" w:type="dxa"/>
            <w:vAlign w:val="center"/>
          </w:tcPr>
          <w:p w14:paraId="0D0940C4">
            <w:pPr>
              <w:spacing w:line="360" w:lineRule="auto"/>
              <w:rPr>
                <w:rFonts w:ascii="仿宋" w:hAnsi="仿宋" w:eastAsia="仿宋" w:cs="仿宋"/>
                <w:color w:val="auto"/>
                <w:sz w:val="24"/>
                <w:highlight w:val="none"/>
              </w:rPr>
            </w:pPr>
          </w:p>
        </w:tc>
      </w:tr>
      <w:tr w14:paraId="0E3383E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711FDD22">
            <w:pPr>
              <w:spacing w:line="360" w:lineRule="auto"/>
              <w:rPr>
                <w:rFonts w:ascii="仿宋" w:hAnsi="仿宋" w:eastAsia="仿宋" w:cs="仿宋"/>
                <w:color w:val="auto"/>
                <w:sz w:val="24"/>
                <w:highlight w:val="none"/>
              </w:rPr>
            </w:pPr>
          </w:p>
        </w:tc>
        <w:tc>
          <w:tcPr>
            <w:tcW w:w="7633" w:type="dxa"/>
            <w:vAlign w:val="center"/>
          </w:tcPr>
          <w:p w14:paraId="25011D16">
            <w:pPr>
              <w:spacing w:line="360" w:lineRule="auto"/>
              <w:rPr>
                <w:rFonts w:ascii="仿宋" w:hAnsi="仿宋" w:eastAsia="仿宋" w:cs="仿宋"/>
                <w:color w:val="auto"/>
                <w:sz w:val="24"/>
                <w:highlight w:val="none"/>
                <w:u w:val="single"/>
              </w:rPr>
            </w:pPr>
          </w:p>
        </w:tc>
      </w:tr>
      <w:tr w14:paraId="7739957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4028AED6">
            <w:pPr>
              <w:spacing w:line="360" w:lineRule="auto"/>
              <w:rPr>
                <w:rFonts w:ascii="仿宋" w:hAnsi="仿宋" w:eastAsia="仿宋" w:cs="仿宋"/>
                <w:color w:val="auto"/>
                <w:sz w:val="24"/>
                <w:highlight w:val="none"/>
              </w:rPr>
            </w:pPr>
          </w:p>
        </w:tc>
        <w:tc>
          <w:tcPr>
            <w:tcW w:w="7633" w:type="dxa"/>
            <w:vAlign w:val="center"/>
          </w:tcPr>
          <w:p w14:paraId="7EC0F4D8">
            <w:pPr>
              <w:spacing w:line="360" w:lineRule="auto"/>
              <w:rPr>
                <w:rFonts w:ascii="仿宋" w:hAnsi="仿宋" w:eastAsia="仿宋" w:cs="仿宋"/>
                <w:color w:val="auto"/>
                <w:sz w:val="24"/>
                <w:highlight w:val="none"/>
              </w:rPr>
            </w:pPr>
          </w:p>
        </w:tc>
      </w:tr>
      <w:tr w14:paraId="1738722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1050FAC4">
            <w:pPr>
              <w:spacing w:line="360" w:lineRule="auto"/>
              <w:rPr>
                <w:rFonts w:ascii="仿宋" w:hAnsi="仿宋" w:eastAsia="仿宋" w:cs="仿宋"/>
                <w:color w:val="auto"/>
                <w:sz w:val="24"/>
                <w:highlight w:val="none"/>
              </w:rPr>
            </w:pPr>
          </w:p>
        </w:tc>
        <w:tc>
          <w:tcPr>
            <w:tcW w:w="7633" w:type="dxa"/>
            <w:vAlign w:val="center"/>
          </w:tcPr>
          <w:p w14:paraId="7452CAA3">
            <w:pPr>
              <w:spacing w:line="360" w:lineRule="auto"/>
              <w:rPr>
                <w:rFonts w:ascii="仿宋" w:hAnsi="仿宋" w:eastAsia="仿宋" w:cs="仿宋"/>
                <w:color w:val="auto"/>
                <w:sz w:val="24"/>
                <w:highlight w:val="none"/>
              </w:rPr>
            </w:pPr>
          </w:p>
        </w:tc>
      </w:tr>
      <w:tr w14:paraId="4A0B865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1B158C5B">
            <w:pPr>
              <w:spacing w:line="360" w:lineRule="auto"/>
              <w:rPr>
                <w:rFonts w:ascii="仿宋" w:hAnsi="仿宋" w:eastAsia="仿宋" w:cs="仿宋"/>
                <w:color w:val="auto"/>
                <w:sz w:val="24"/>
                <w:highlight w:val="none"/>
              </w:rPr>
            </w:pPr>
          </w:p>
        </w:tc>
        <w:tc>
          <w:tcPr>
            <w:tcW w:w="7633" w:type="dxa"/>
            <w:vAlign w:val="center"/>
          </w:tcPr>
          <w:p w14:paraId="19110C5E">
            <w:pPr>
              <w:spacing w:line="360" w:lineRule="auto"/>
              <w:rPr>
                <w:rFonts w:ascii="仿宋" w:hAnsi="仿宋" w:eastAsia="仿宋" w:cs="仿宋"/>
                <w:color w:val="auto"/>
                <w:sz w:val="24"/>
                <w:highlight w:val="none"/>
              </w:rPr>
            </w:pPr>
          </w:p>
        </w:tc>
      </w:tr>
      <w:tr w14:paraId="75F936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top w:val="single" w:color="auto" w:sz="6" w:space="0"/>
              <w:left w:val="single" w:color="auto" w:sz="4" w:space="0"/>
              <w:bottom w:val="single" w:color="auto" w:sz="6" w:space="0"/>
              <w:right w:val="single" w:color="auto" w:sz="6" w:space="0"/>
            </w:tcBorders>
            <w:vAlign w:val="center"/>
          </w:tcPr>
          <w:p w14:paraId="730C7C39">
            <w:pPr>
              <w:spacing w:line="360" w:lineRule="auto"/>
              <w:rPr>
                <w:rFonts w:ascii="仿宋" w:hAnsi="仿宋" w:eastAsia="仿宋" w:cs="仿宋"/>
                <w:color w:val="auto"/>
                <w:sz w:val="24"/>
                <w:highlight w:val="none"/>
              </w:rPr>
            </w:pPr>
          </w:p>
        </w:tc>
        <w:tc>
          <w:tcPr>
            <w:tcW w:w="7633" w:type="dxa"/>
            <w:tcBorders>
              <w:top w:val="single" w:color="auto" w:sz="6" w:space="0"/>
              <w:left w:val="single" w:color="auto" w:sz="6" w:space="0"/>
              <w:bottom w:val="single" w:color="auto" w:sz="6" w:space="0"/>
              <w:right w:val="single" w:color="auto" w:sz="6" w:space="0"/>
            </w:tcBorders>
            <w:vAlign w:val="center"/>
          </w:tcPr>
          <w:p w14:paraId="44EA619A">
            <w:pPr>
              <w:spacing w:line="360" w:lineRule="auto"/>
              <w:rPr>
                <w:rFonts w:ascii="仿宋" w:hAnsi="仿宋" w:eastAsia="仿宋" w:cs="仿宋"/>
                <w:color w:val="auto"/>
                <w:sz w:val="24"/>
                <w:highlight w:val="none"/>
              </w:rPr>
            </w:pPr>
          </w:p>
        </w:tc>
      </w:tr>
      <w:tr w14:paraId="7D4FE3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top w:val="single" w:color="auto" w:sz="6" w:space="0"/>
              <w:left w:val="single" w:color="auto" w:sz="4" w:space="0"/>
              <w:bottom w:val="single" w:color="auto" w:sz="6" w:space="0"/>
              <w:right w:val="single" w:color="auto" w:sz="6" w:space="0"/>
            </w:tcBorders>
            <w:vAlign w:val="center"/>
          </w:tcPr>
          <w:p w14:paraId="6B48925A">
            <w:pPr>
              <w:spacing w:line="360" w:lineRule="auto"/>
              <w:rPr>
                <w:rFonts w:ascii="仿宋" w:hAnsi="仿宋" w:eastAsia="仿宋" w:cs="仿宋"/>
                <w:color w:val="auto"/>
                <w:sz w:val="24"/>
                <w:highlight w:val="none"/>
              </w:rPr>
            </w:pPr>
          </w:p>
        </w:tc>
        <w:tc>
          <w:tcPr>
            <w:tcW w:w="7633" w:type="dxa"/>
            <w:tcBorders>
              <w:top w:val="single" w:color="auto" w:sz="6" w:space="0"/>
              <w:left w:val="single" w:color="auto" w:sz="6" w:space="0"/>
              <w:bottom w:val="single" w:color="auto" w:sz="6" w:space="0"/>
              <w:right w:val="single" w:color="auto" w:sz="6" w:space="0"/>
            </w:tcBorders>
            <w:vAlign w:val="center"/>
          </w:tcPr>
          <w:p w14:paraId="22D9EC79">
            <w:pPr>
              <w:spacing w:line="360" w:lineRule="auto"/>
              <w:rPr>
                <w:rFonts w:ascii="仿宋" w:hAnsi="仿宋" w:eastAsia="仿宋" w:cs="仿宋"/>
                <w:color w:val="auto"/>
                <w:sz w:val="24"/>
                <w:highlight w:val="none"/>
              </w:rPr>
            </w:pPr>
          </w:p>
        </w:tc>
      </w:tr>
    </w:tbl>
    <w:p w14:paraId="1685391B">
      <w:pPr>
        <w:spacing w:line="360" w:lineRule="auto"/>
        <w:ind w:firstLine="480"/>
        <w:rPr>
          <w:rFonts w:ascii="仿宋" w:hAnsi="仿宋" w:eastAsia="仿宋" w:cs="仿宋"/>
          <w:color w:val="auto"/>
          <w:highlight w:val="none"/>
        </w:rPr>
      </w:pPr>
      <w:r>
        <w:rPr>
          <w:rFonts w:hint="eastAsia" w:ascii="仿宋" w:hAnsi="仿宋" w:eastAsia="仿宋" w:cs="仿宋"/>
          <w:color w:val="auto"/>
          <w:highlight w:val="none"/>
        </w:rPr>
        <w:t>注：最终以乙方响应文件响应条款为准修订。</w:t>
      </w:r>
    </w:p>
    <w:p w14:paraId="23DA30FC">
      <w:pPr>
        <w:spacing w:line="360" w:lineRule="auto"/>
        <w:ind w:firstLine="480"/>
        <w:rPr>
          <w:rFonts w:ascii="仿宋" w:hAnsi="仿宋" w:eastAsia="仿宋" w:cs="仿宋"/>
          <w:color w:val="auto"/>
          <w:highlight w:val="none"/>
        </w:rPr>
      </w:pPr>
      <w:r>
        <w:rPr>
          <w:rFonts w:hint="eastAsia" w:ascii="仿宋" w:hAnsi="仿宋" w:eastAsia="仿宋" w:cs="仿宋"/>
          <w:color w:val="auto"/>
          <w:highlight w:val="none"/>
        </w:rPr>
        <w:br w:type="page"/>
      </w:r>
    </w:p>
    <w:p w14:paraId="346F23AE">
      <w:pPr>
        <w:spacing w:line="360" w:lineRule="auto"/>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附件一   廉政合同</w:t>
      </w:r>
    </w:p>
    <w:p w14:paraId="7192F661">
      <w:pPr>
        <w:spacing w:line="360" w:lineRule="auto"/>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廉政合同</w:t>
      </w:r>
    </w:p>
    <w:p w14:paraId="092528C7">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根据《关于在交通基础设施建设中加强廉政建设的若干意见》以及有关工程建设、廉政建设的规定，为做好工程建设中的党风廉政建设，保证工程建设高效优质，保证建设资金的安全和有效使用以及投资效益，</w:t>
      </w:r>
      <w:r>
        <w:rPr>
          <w:rFonts w:hint="eastAsia" w:ascii="仿宋" w:hAnsi="仿宋" w:eastAsia="仿宋" w:cs="仿宋"/>
          <w:color w:val="auto"/>
          <w:sz w:val="24"/>
          <w:szCs w:val="24"/>
          <w:highlight w:val="none"/>
          <w:u w:val="single"/>
        </w:rPr>
        <w:t>西安市108国道山区公路气象融合监测能力提升项目</w:t>
      </w:r>
      <w:r>
        <w:rPr>
          <w:rFonts w:hint="eastAsia" w:ascii="仿宋" w:hAnsi="仿宋" w:eastAsia="仿宋" w:cs="仿宋"/>
          <w:color w:val="auto"/>
          <w:sz w:val="24"/>
          <w:szCs w:val="24"/>
          <w:highlight w:val="none"/>
        </w:rPr>
        <w:t>的项目法人</w:t>
      </w:r>
      <w:r>
        <w:rPr>
          <w:rFonts w:hint="eastAsia" w:ascii="仿宋" w:hAnsi="仿宋" w:eastAsia="仿宋" w:cs="仿宋"/>
          <w:color w:val="auto"/>
          <w:sz w:val="24"/>
          <w:szCs w:val="24"/>
          <w:highlight w:val="none"/>
          <w:u w:val="single"/>
        </w:rPr>
        <w:t>西安市公路局</w:t>
      </w:r>
      <w:r>
        <w:rPr>
          <w:rFonts w:hint="eastAsia" w:ascii="仿宋" w:hAnsi="仿宋" w:eastAsia="仿宋" w:cs="仿宋"/>
          <w:color w:val="auto"/>
          <w:sz w:val="24"/>
          <w:szCs w:val="24"/>
          <w:highlight w:val="none"/>
        </w:rPr>
        <w:t>（以下简称“甲方”）与该项目</w:t>
      </w:r>
      <w:r>
        <w:rPr>
          <w:rFonts w:hint="eastAsia" w:ascii="仿宋" w:hAnsi="仿宋" w:eastAsia="仿宋" w:cs="仿宋"/>
          <w:color w:val="auto"/>
          <w:sz w:val="24"/>
          <w:highlight w:val="none"/>
        </w:rPr>
        <w:t>乙方名称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（以下简称“乙方”），特订立如下合同。</w:t>
      </w:r>
    </w:p>
    <w:p w14:paraId="7EB3E8EA">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1.甲方和乙方双方的权利和义务</w:t>
      </w:r>
    </w:p>
    <w:p w14:paraId="482624D0">
      <w:pPr>
        <w:widowControl/>
        <w:autoSpaceDE w:val="0"/>
        <w:autoSpaceDN w:val="0"/>
        <w:adjustRightInd w:val="0"/>
        <w:snapToGrid w:val="0"/>
        <w:spacing w:line="360" w:lineRule="auto"/>
        <w:ind w:firstLine="360" w:firstLineChars="15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（1）严格遵守党的政策规定和国家有关法律法规及交通运输部的有关规定。</w:t>
      </w:r>
    </w:p>
    <w:p w14:paraId="499F7A55">
      <w:pPr>
        <w:widowControl/>
        <w:autoSpaceDE w:val="0"/>
        <w:autoSpaceDN w:val="0"/>
        <w:adjustRightInd w:val="0"/>
        <w:snapToGrid w:val="0"/>
        <w:spacing w:line="360" w:lineRule="auto"/>
        <w:ind w:firstLine="360" w:firstLineChars="15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（2）严格执行</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合同文件，自觉按合同办事。</w:t>
      </w:r>
    </w:p>
    <w:p w14:paraId="65FCE09C">
      <w:pPr>
        <w:widowControl/>
        <w:autoSpaceDE w:val="0"/>
        <w:autoSpaceDN w:val="0"/>
        <w:adjustRightInd w:val="0"/>
        <w:snapToGrid w:val="0"/>
        <w:spacing w:line="360" w:lineRule="auto"/>
        <w:ind w:firstLine="360" w:firstLineChars="15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（3）双方的业务活动坚持公开、公正、诚信、透明的原则（法律认定的商业秘密和合同文件另有规定除外），不得损害国家和集体利益，不得违反工程建设管理规章制度。</w:t>
      </w:r>
    </w:p>
    <w:p w14:paraId="0FB1B562">
      <w:pPr>
        <w:widowControl/>
        <w:autoSpaceDE w:val="0"/>
        <w:autoSpaceDN w:val="0"/>
        <w:adjustRightInd w:val="0"/>
        <w:snapToGrid w:val="0"/>
        <w:spacing w:line="360" w:lineRule="auto"/>
        <w:ind w:firstLine="360" w:firstLineChars="15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（4）建立健全廉政制度，开展廉政教育，设立廉政告示牌，公布举报电话，监督并认真查处违法违纪行为。</w:t>
      </w:r>
    </w:p>
    <w:p w14:paraId="48C1E384">
      <w:pPr>
        <w:widowControl/>
        <w:autoSpaceDE w:val="0"/>
        <w:autoSpaceDN w:val="0"/>
        <w:adjustRightInd w:val="0"/>
        <w:snapToGrid w:val="0"/>
        <w:spacing w:line="360" w:lineRule="auto"/>
        <w:ind w:firstLine="408" w:firstLineChars="17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（5）发现对方在业务活动中有违反廉政规定的行为，有及时提醒对方纠正的权利和义务。</w:t>
      </w:r>
    </w:p>
    <w:p w14:paraId="4F91909F">
      <w:pPr>
        <w:widowControl/>
        <w:autoSpaceDE w:val="0"/>
        <w:autoSpaceDN w:val="0"/>
        <w:adjustRightInd w:val="0"/>
        <w:snapToGrid w:val="0"/>
        <w:spacing w:line="360" w:lineRule="auto"/>
        <w:ind w:firstLine="408" w:firstLineChars="17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（6）发现对方严重违反本合同义务条款的行为，有向其上级有关部门举报、建议给予处理并要求告知处理结果的权利。</w:t>
      </w:r>
    </w:p>
    <w:p w14:paraId="428A0E6B">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2.甲方的义务</w:t>
      </w:r>
    </w:p>
    <w:p w14:paraId="0F9FF21F">
      <w:pPr>
        <w:widowControl/>
        <w:autoSpaceDE w:val="0"/>
        <w:autoSpaceDN w:val="0"/>
        <w:adjustRightInd w:val="0"/>
        <w:snapToGrid w:val="0"/>
        <w:spacing w:line="360" w:lineRule="auto"/>
        <w:ind w:firstLine="408" w:firstLineChars="17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（1）甲方及其工作人员不得索要或接受乙方的礼金、有价证券和贵重物品，不得让乙方报销任何应由甲方或甲方工作人员个人支付的费用等。</w:t>
      </w:r>
    </w:p>
    <w:p w14:paraId="7615C372">
      <w:pPr>
        <w:widowControl/>
        <w:autoSpaceDE w:val="0"/>
        <w:autoSpaceDN w:val="0"/>
        <w:adjustRightInd w:val="0"/>
        <w:snapToGrid w:val="0"/>
        <w:spacing w:line="360" w:lineRule="auto"/>
        <w:ind w:firstLine="408" w:firstLineChars="17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（2）甲方工作人员不得参加乙方安排的超标准宴请和娱乐活动；不得接受乙方提供的通讯工具、交通工具和高档办公用品等。</w:t>
      </w:r>
    </w:p>
    <w:p w14:paraId="7BD0391D">
      <w:pPr>
        <w:widowControl/>
        <w:autoSpaceDE w:val="0"/>
        <w:autoSpaceDN w:val="0"/>
        <w:adjustRightInd w:val="0"/>
        <w:snapToGrid w:val="0"/>
        <w:spacing w:line="360" w:lineRule="auto"/>
        <w:ind w:firstLine="408" w:firstLineChars="17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（3）甲方及其工作人员不得要求或者接受乙方为其住房装修、婚丧嫁娶活动、配偶子女的工作安排以及出国出境、旅游等提供方便等。</w:t>
      </w:r>
    </w:p>
    <w:p w14:paraId="3BBB635F">
      <w:pPr>
        <w:widowControl/>
        <w:autoSpaceDE w:val="0"/>
        <w:autoSpaceDN w:val="0"/>
        <w:adjustRightInd w:val="0"/>
        <w:snapToGrid w:val="0"/>
        <w:spacing w:line="360" w:lineRule="auto"/>
        <w:ind w:firstLine="408" w:firstLineChars="17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（4）甲方工作人员及其配偶、子女不得从事与甲方工程有关的材料设备供应、工程分包、劳务等经济活动等。</w:t>
      </w:r>
    </w:p>
    <w:p w14:paraId="39411F98">
      <w:pPr>
        <w:widowControl/>
        <w:autoSpaceDE w:val="0"/>
        <w:autoSpaceDN w:val="0"/>
        <w:adjustRightInd w:val="0"/>
        <w:snapToGrid w:val="0"/>
        <w:spacing w:line="360" w:lineRule="auto"/>
        <w:ind w:firstLine="408" w:firstLineChars="17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（5）甲方及其工作人员不得以任何理由向乙方推荐分包单位或推销材料，不得要求乙方购买合同规定外的材料和设备。</w:t>
      </w:r>
    </w:p>
    <w:p w14:paraId="5EAB69DC">
      <w:pPr>
        <w:widowControl/>
        <w:autoSpaceDE w:val="0"/>
        <w:autoSpaceDN w:val="0"/>
        <w:adjustRightInd w:val="0"/>
        <w:snapToGrid w:val="0"/>
        <w:spacing w:line="360" w:lineRule="auto"/>
        <w:ind w:firstLine="408" w:firstLineChars="17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（6）甲方工作人员要秉公办事，不准营私舞弊，不准利用职权从事各种个人有偿中活动和安排个人施工队伍。</w:t>
      </w:r>
    </w:p>
    <w:p w14:paraId="2C1EE60F">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3.乙方的义务</w:t>
      </w:r>
    </w:p>
    <w:p w14:paraId="22B36C47">
      <w:pPr>
        <w:widowControl/>
        <w:autoSpaceDE w:val="0"/>
        <w:autoSpaceDN w:val="0"/>
        <w:adjustRightInd w:val="0"/>
        <w:snapToGrid w:val="0"/>
        <w:spacing w:line="360" w:lineRule="auto"/>
        <w:ind w:firstLine="408" w:firstLineChars="17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（1）乙方不得以任何理由向甲方及其工作人员行贿或馈赠礼金、有价证券、贵重礼品。</w:t>
      </w:r>
    </w:p>
    <w:p w14:paraId="796F6CE5">
      <w:pPr>
        <w:widowControl/>
        <w:autoSpaceDE w:val="0"/>
        <w:autoSpaceDN w:val="0"/>
        <w:adjustRightInd w:val="0"/>
        <w:snapToGrid w:val="0"/>
        <w:spacing w:line="360" w:lineRule="auto"/>
        <w:ind w:firstLine="408" w:firstLineChars="17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（2）乙方不得以任何名义为甲方及其工作人员报销应由甲方单位或个人支付的任何费用。</w:t>
      </w:r>
    </w:p>
    <w:p w14:paraId="6B5B04BE">
      <w:pPr>
        <w:widowControl/>
        <w:autoSpaceDE w:val="0"/>
        <w:autoSpaceDN w:val="0"/>
        <w:adjustRightInd w:val="0"/>
        <w:snapToGrid w:val="0"/>
        <w:spacing w:line="360" w:lineRule="auto"/>
        <w:ind w:firstLine="408" w:firstLineChars="17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（3）乙方不得以任何理由安排甲方工作人员参加超标准宴请及娱乐活动。</w:t>
      </w:r>
    </w:p>
    <w:p w14:paraId="1CA881A3">
      <w:pPr>
        <w:widowControl/>
        <w:autoSpaceDE w:val="0"/>
        <w:autoSpaceDN w:val="0"/>
        <w:adjustRightInd w:val="0"/>
        <w:snapToGrid w:val="0"/>
        <w:spacing w:line="360" w:lineRule="auto"/>
        <w:ind w:firstLine="408" w:firstLineChars="17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（4）乙方不得为甲方单位和个人购置或提供通讯工具、交通工具和高档办公用品等。</w:t>
      </w:r>
    </w:p>
    <w:p w14:paraId="6906EF09">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4.违约责任</w:t>
      </w:r>
    </w:p>
    <w:p w14:paraId="1D4ECB98">
      <w:pPr>
        <w:widowControl/>
        <w:autoSpaceDE w:val="0"/>
        <w:autoSpaceDN w:val="0"/>
        <w:adjustRightInd w:val="0"/>
        <w:snapToGrid w:val="0"/>
        <w:spacing w:line="360" w:lineRule="auto"/>
        <w:ind w:firstLine="408" w:firstLineChars="17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（1）甲方及其工作人员违反本合同第1、2条，按管理权限，依据有关规定给予党纪、政纪或组织处理；涉嫌犯罪的，移交司法机关追究刑事责任；给乙方单位造成经济损失的，应予以赔偿。</w:t>
      </w:r>
    </w:p>
    <w:p w14:paraId="57B26994">
      <w:pPr>
        <w:widowControl/>
        <w:autoSpaceDE w:val="0"/>
        <w:autoSpaceDN w:val="0"/>
        <w:adjustRightInd w:val="0"/>
        <w:snapToGrid w:val="0"/>
        <w:spacing w:line="360" w:lineRule="auto"/>
        <w:ind w:firstLine="408" w:firstLineChars="17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乙方及其工作人员违反本合同第1、3条，按管理权限，依据有关规定给予党纪、政纪或组织处理；给甲方单位造成经济损失的，应予以赔偿；情节严重的，甲方建议交通主管部门给予乙方一至三年内不得进入其主管的公路建设市场的处罚。</w:t>
      </w:r>
    </w:p>
    <w:p w14:paraId="223A917E">
      <w:pPr>
        <w:widowControl/>
        <w:autoSpaceDE w:val="0"/>
        <w:autoSpaceDN w:val="0"/>
        <w:adjustRightInd w:val="0"/>
        <w:snapToGrid w:val="0"/>
        <w:spacing w:line="360" w:lineRule="auto"/>
        <w:ind w:firstLine="528" w:firstLineChars="22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5.双方约定：本合同由双方或双方上级单位的纪检监察部门负责监督执行。由甲方或甲方上级单位的纪检监察部门约请乙方或乙方上级单位纪检监察部门对本合同执行情况进行检查，提出在本合同规定范围内的裁定意见。</w:t>
      </w:r>
    </w:p>
    <w:p w14:paraId="46E96DA6">
      <w:pPr>
        <w:widowControl/>
        <w:autoSpaceDE w:val="0"/>
        <w:autoSpaceDN w:val="0"/>
        <w:adjustRightInd w:val="0"/>
        <w:snapToGrid w:val="0"/>
        <w:spacing w:line="360" w:lineRule="auto"/>
        <w:ind w:firstLine="528" w:firstLineChars="22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6.本合同有效期为甲方和乙方签署之日起至该工程项目竣工验收后止。</w:t>
      </w:r>
    </w:p>
    <w:p w14:paraId="6EFB3E40">
      <w:pPr>
        <w:widowControl/>
        <w:autoSpaceDE w:val="0"/>
        <w:autoSpaceDN w:val="0"/>
        <w:adjustRightInd w:val="0"/>
        <w:snapToGrid w:val="0"/>
        <w:spacing w:line="360" w:lineRule="auto"/>
        <w:ind w:firstLine="528" w:firstLineChars="22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7.本合同作为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合同的附件，与工程施工合同具有同等的法律效力，经合同双方签署后立即生效。</w:t>
      </w:r>
    </w:p>
    <w:p w14:paraId="01FD8B4D">
      <w:pPr>
        <w:widowControl/>
        <w:autoSpaceDE w:val="0"/>
        <w:autoSpaceDN w:val="0"/>
        <w:adjustRightInd w:val="0"/>
        <w:snapToGrid w:val="0"/>
        <w:spacing w:line="360" w:lineRule="auto"/>
        <w:ind w:firstLine="528" w:firstLineChars="22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8.本合同一式</w:t>
      </w:r>
      <w:r>
        <w:rPr>
          <w:rFonts w:hint="eastAsia" w:ascii="仿宋" w:hAnsi="仿宋" w:eastAsia="仿宋" w:cs="仿宋"/>
          <w:color w:val="auto"/>
          <w:sz w:val="24"/>
          <w:szCs w:val="24"/>
          <w:highlight w:val="none"/>
          <w:lang w:val="en-US" w:eastAsia="zh-CN"/>
        </w:rPr>
        <w:t>陆</w:t>
      </w:r>
      <w:r>
        <w:rPr>
          <w:rFonts w:hint="eastAsia" w:ascii="仿宋" w:hAnsi="仿宋" w:eastAsia="仿宋" w:cs="仿宋"/>
          <w:color w:val="auto"/>
          <w:sz w:val="24"/>
          <w:szCs w:val="24"/>
          <w:highlight w:val="none"/>
        </w:rPr>
        <w:t>份，由甲方和乙方各执三份</w:t>
      </w:r>
      <w:r>
        <w:rPr>
          <w:rFonts w:hint="eastAsia" w:ascii="仿宋" w:hAnsi="仿宋" w:eastAsia="仿宋" w:cs="仿宋"/>
          <w:color w:val="auto"/>
          <w:sz w:val="24"/>
          <w:szCs w:val="24"/>
          <w:highlight w:val="none"/>
          <w:lang w:eastAsia="zh-CN"/>
        </w:rPr>
        <w:t>。</w:t>
      </w:r>
    </w:p>
    <w:p w14:paraId="52056B4C">
      <w:pPr>
        <w:widowControl/>
        <w:autoSpaceDE w:val="0"/>
        <w:autoSpaceDN w:val="0"/>
        <w:adjustRightInd w:val="0"/>
        <w:snapToGrid w:val="0"/>
        <w:spacing w:line="360" w:lineRule="auto"/>
        <w:ind w:firstLine="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甲方：</w:t>
      </w:r>
      <w:r>
        <w:rPr>
          <w:rFonts w:hint="eastAsia" w:ascii="仿宋" w:hAnsi="仿宋" w:eastAsia="仿宋" w:cs="仿宋"/>
          <w:color w:val="auto"/>
          <w:sz w:val="24"/>
          <w:szCs w:val="24"/>
          <w:highlight w:val="none"/>
          <w:u w:val="single"/>
        </w:rPr>
        <w:t xml:space="preserve">       （盖单位章）</w:t>
      </w:r>
      <w:r>
        <w:rPr>
          <w:rFonts w:hint="eastAsia" w:ascii="仿宋" w:hAnsi="仿宋" w:eastAsia="仿宋" w:cs="仿宋"/>
          <w:color w:val="auto"/>
          <w:sz w:val="24"/>
          <w:szCs w:val="24"/>
          <w:highlight w:val="none"/>
        </w:rPr>
        <w:t xml:space="preserve">     乙方：</w:t>
      </w:r>
      <w:r>
        <w:rPr>
          <w:rFonts w:hint="eastAsia" w:ascii="仿宋" w:hAnsi="仿宋" w:eastAsia="仿宋" w:cs="仿宋"/>
          <w:color w:val="auto"/>
          <w:sz w:val="24"/>
          <w:szCs w:val="24"/>
          <w:highlight w:val="none"/>
          <w:u w:val="single"/>
        </w:rPr>
        <w:t xml:space="preserve">        （盖单位章）</w:t>
      </w:r>
    </w:p>
    <w:p w14:paraId="7A31BB61">
      <w:pPr>
        <w:widowControl/>
        <w:autoSpaceDE w:val="0"/>
        <w:autoSpaceDN w:val="0"/>
        <w:adjustRightInd w:val="0"/>
        <w:snapToGrid w:val="0"/>
        <w:spacing w:line="360" w:lineRule="auto"/>
        <w:ind w:firstLine="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法定代表人                      法定代表人  </w:t>
      </w:r>
    </w:p>
    <w:p w14:paraId="7AA65AD1">
      <w:pPr>
        <w:widowControl/>
        <w:autoSpaceDE w:val="0"/>
        <w:autoSpaceDN w:val="0"/>
        <w:adjustRightInd w:val="0"/>
        <w:snapToGrid w:val="0"/>
        <w:spacing w:line="360" w:lineRule="auto"/>
        <w:ind w:firstLine="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或其委托代理人：</w:t>
      </w:r>
      <w:r>
        <w:rPr>
          <w:rFonts w:hint="eastAsia" w:ascii="仿宋" w:hAnsi="仿宋" w:eastAsia="仿宋" w:cs="仿宋"/>
          <w:color w:val="auto"/>
          <w:sz w:val="24"/>
          <w:szCs w:val="24"/>
          <w:highlight w:val="none"/>
          <w:u w:val="single"/>
        </w:rPr>
        <w:t xml:space="preserve">   （签字）</w:t>
      </w:r>
      <w:r>
        <w:rPr>
          <w:rFonts w:hint="eastAsia" w:ascii="仿宋" w:hAnsi="仿宋" w:eastAsia="仿宋" w:cs="仿宋"/>
          <w:color w:val="auto"/>
          <w:sz w:val="24"/>
          <w:szCs w:val="24"/>
          <w:highlight w:val="none"/>
        </w:rPr>
        <w:t xml:space="preserve">     或其委托代理人：</w:t>
      </w:r>
      <w:r>
        <w:rPr>
          <w:rFonts w:hint="eastAsia" w:ascii="仿宋" w:hAnsi="仿宋" w:eastAsia="仿宋" w:cs="仿宋"/>
          <w:color w:val="auto"/>
          <w:sz w:val="24"/>
          <w:szCs w:val="24"/>
          <w:highlight w:val="none"/>
          <w:u w:val="single"/>
        </w:rPr>
        <w:t xml:space="preserve">    （签字）</w:t>
      </w:r>
    </w:p>
    <w:p w14:paraId="1EDC9DBC">
      <w:pPr>
        <w:widowControl/>
        <w:autoSpaceDE w:val="0"/>
        <w:autoSpaceDN w:val="0"/>
        <w:adjustRightInd w:val="0"/>
        <w:snapToGrid w:val="0"/>
        <w:spacing w:line="360" w:lineRule="auto"/>
        <w:ind w:firstLine="3120" w:firstLineChars="1300"/>
        <w:textAlignment w:val="baseline"/>
        <w:rPr>
          <w:rFonts w:ascii="仿宋" w:hAnsi="仿宋" w:eastAsia="仿宋" w:cs="仿宋"/>
          <w:color w:val="auto"/>
          <w:sz w:val="24"/>
          <w:szCs w:val="24"/>
          <w:highlight w:val="none"/>
        </w:rPr>
      </w:pPr>
    </w:p>
    <w:p w14:paraId="36568163">
      <w:pPr>
        <w:widowControl/>
        <w:autoSpaceDE w:val="0"/>
        <w:autoSpaceDN w:val="0"/>
        <w:adjustRightInd w:val="0"/>
        <w:snapToGrid w:val="0"/>
        <w:spacing w:line="360" w:lineRule="auto"/>
        <w:ind w:firstLine="1920" w:firstLineChars="8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年   月   日                     年   月   日</w:t>
      </w:r>
    </w:p>
    <w:p w14:paraId="174A8966">
      <w:pPr>
        <w:spacing w:line="360" w:lineRule="auto"/>
        <w:rPr>
          <w:rFonts w:ascii="仿宋" w:hAnsi="仿宋" w:eastAsia="仿宋" w:cs="仿宋"/>
          <w:color w:val="auto"/>
          <w:sz w:val="24"/>
          <w:szCs w:val="24"/>
          <w:highlight w:val="none"/>
        </w:rPr>
      </w:pPr>
    </w:p>
    <w:p w14:paraId="230FA1B5">
      <w:pPr>
        <w:spacing w:line="360" w:lineRule="auto"/>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附件二  安全生产合同</w:t>
      </w:r>
    </w:p>
    <w:p w14:paraId="08052DAF">
      <w:pPr>
        <w:widowControl/>
        <w:autoSpaceDE w:val="0"/>
        <w:autoSpaceDN w:val="0"/>
        <w:adjustRightInd w:val="0"/>
        <w:snapToGrid w:val="0"/>
        <w:spacing w:line="360" w:lineRule="auto"/>
        <w:jc w:val="center"/>
        <w:textAlignment w:val="baseline"/>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安全生产合同</w:t>
      </w:r>
    </w:p>
    <w:p w14:paraId="6C0BEF1E">
      <w:pPr>
        <w:widowControl/>
        <w:autoSpaceDE w:val="0"/>
        <w:autoSpaceDN w:val="0"/>
        <w:adjustRightInd w:val="0"/>
        <w:snapToGrid w:val="0"/>
        <w:spacing w:line="360" w:lineRule="auto"/>
        <w:ind w:firstLine="480" w:firstLineChars="200"/>
        <w:jc w:val="left"/>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为在</w:t>
      </w:r>
      <w:r>
        <w:rPr>
          <w:rFonts w:hint="eastAsia" w:ascii="仿宋" w:hAnsi="仿宋" w:eastAsia="仿宋" w:cs="仿宋"/>
          <w:color w:val="auto"/>
          <w:sz w:val="24"/>
          <w:szCs w:val="24"/>
          <w:highlight w:val="none"/>
          <w:u w:val="single"/>
        </w:rPr>
        <w:t>西安市108国道山区公路气象融合监测能力提升项目</w:t>
      </w:r>
      <w:r>
        <w:rPr>
          <w:rFonts w:hint="eastAsia" w:ascii="仿宋" w:hAnsi="仿宋" w:eastAsia="仿宋" w:cs="仿宋"/>
          <w:color w:val="auto"/>
          <w:sz w:val="24"/>
          <w:szCs w:val="24"/>
          <w:highlight w:val="none"/>
        </w:rPr>
        <w:t>的实施过程中创造安全、高效的施工环境，切实搞好本项目的的安全管理工作，本项目采购人</w:t>
      </w:r>
      <w:r>
        <w:rPr>
          <w:rFonts w:hint="eastAsia" w:ascii="仿宋" w:hAnsi="仿宋" w:eastAsia="仿宋" w:cs="仿宋"/>
          <w:color w:val="auto"/>
          <w:sz w:val="24"/>
          <w:szCs w:val="24"/>
          <w:highlight w:val="none"/>
          <w:u w:val="single"/>
        </w:rPr>
        <w:t>西安市公路局</w:t>
      </w:r>
      <w:r>
        <w:rPr>
          <w:rFonts w:hint="eastAsia" w:ascii="仿宋" w:hAnsi="仿宋" w:eastAsia="仿宋" w:cs="仿宋"/>
          <w:color w:val="auto"/>
          <w:sz w:val="24"/>
          <w:szCs w:val="24"/>
          <w:highlight w:val="none"/>
        </w:rPr>
        <w:t xml:space="preserve">（以下简称“甲方”）与成交供应商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（以下简称“乙方”）特此签订安全生产合同：</w:t>
      </w:r>
    </w:p>
    <w:p w14:paraId="0159C60A">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1.甲方职责</w:t>
      </w:r>
    </w:p>
    <w:p w14:paraId="62537332">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（1）严格遵守国家有关安全生产的法律法规，认真执行工程承包合同中的有关安全要求。</w:t>
      </w:r>
    </w:p>
    <w:p w14:paraId="45E93D39">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（2）按照“安全第一、预防为主、综合治理”和坚持“管生产必须管安全”的原则进行安全生产管理，做到生产与安全工作同时计划、布置、检查、总结和评比。</w:t>
      </w:r>
    </w:p>
    <w:p w14:paraId="621B05A3">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（3）重要的安全设施必须坚持与主体工程“三同时”的原则，即：同时设计、审批，同时施工，同时验收，投入使用。</w:t>
      </w:r>
    </w:p>
    <w:p w14:paraId="49B38AEB">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（4）定期召开安全生产调度会，及时传达中央及地方有关安全生产工作指示和文件精神，对安全生产工作进行安排部署。</w:t>
      </w:r>
    </w:p>
    <w:p w14:paraId="6FCD23E1">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（5）组织对乙方施工现场进行安全生产检查，监督乙方及时处理发现的各种安全隐患。</w:t>
      </w:r>
    </w:p>
    <w:p w14:paraId="48D9F4E4">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2.乙方职责</w:t>
      </w:r>
    </w:p>
    <w:p w14:paraId="7C0E7235">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严格遵守《中华人民共和国安全生产法》、《建设工程安全生产管理条例》、《公路水运工程安全生产监督管理办法》、《公路工程施工安全技术规范》、《公路养护安全作业规程》和《公路筑养路机械操作规程》等安全生产法律法规和标准规范。认真执行工程承包合同中的安全生产条款和有关要求。</w:t>
      </w:r>
    </w:p>
    <w:p w14:paraId="36016247">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坚持“安全第一、预防为主、综合治理”和“管生产必须管安全”的原则，加强安全生产宣传教育，增强全员安全生产意识，建立健全各项安全生产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414A1511">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3）建立健全安全生产责任制。建立全员安全生产责任体系，将项目经理、管理人员、生产工人（包括临时雇请的民工）等各级各类人员纳入安全生产管理系统，做到纵向到底，一环不漏；各职能部门、人员的安全生产责任制做到横向到边，人人有责。项目经理是安全生产的第一责任人。现场设置的安全机构，其专职安全生产管理人员的配备应不低于《公路水运工程安全生产监督管理办法》规定的最低数量和资质条件。安全生产机构专职负责生产施工安全和治安保卫工作及预防事故的发生。安全机构人员有权按有关规定发布指令，并采取保护性措施防止事故发生。</w:t>
      </w:r>
    </w:p>
    <w:p w14:paraId="03B4D55A">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（4）乙方在任何时候都应采取各种合理的预防措施，防止其员工发生任何违法、违禁、暴力或妨碍治安的行为。</w:t>
      </w:r>
    </w:p>
    <w:p w14:paraId="05C69F0F">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5）乙方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必须经过专业培训，获得法定《安全操作合格证》后，方准持证上岗。施工现场如出现特种作业无证操作现象，项目经理必须承担管理责任。</w:t>
      </w:r>
    </w:p>
    <w:p w14:paraId="172DF3B7">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6）对于易燃易爆材料除应专门妥善保管之外，还应配备足够的消防设施，所有从业人员都应熟悉消防设备的性能和使用方法；乙方不得将任何种类的爆炸物给予、易货或以其他方式转让给任何其他人，或允许、容忍上述同样行为。</w:t>
      </w:r>
    </w:p>
    <w:p w14:paraId="27041D85">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（7）操作人员上岗，必须按规定配备防护用品。施工负责人和安全检查员应随时检查劳动防护用品的配备情况，不按规定配备防护用品的人员不得上岗。</w:t>
      </w:r>
    </w:p>
    <w:p w14:paraId="06D331BD">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（8）所有施工机具设备和高空作业设备均应定期检查、维修，并有安全员的签字记录，保证其经常处于完好状态；不合格的机具、设备和劳动保护用品严禁使用。</w:t>
      </w:r>
    </w:p>
    <w:p w14:paraId="53CDF57A">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（9）施工中采用新技术、新工艺、新设备、新材料时，必须制定相应的安全技术措施，施工现场必须具有相关的安全标志牌。</w:t>
      </w:r>
    </w:p>
    <w:p w14:paraId="47028F93">
      <w:pPr>
        <w:widowControl/>
        <w:autoSpaceDE w:val="0"/>
        <w:autoSpaceDN w:val="0"/>
        <w:adjustRightInd w:val="0"/>
        <w:snapToGrid w:val="0"/>
        <w:spacing w:line="360" w:lineRule="auto"/>
        <w:ind w:firstLine="360" w:firstLineChars="15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乙方必须按照本工程项目特点，组织制定本工程实施中的生产安全事故应急救援预案；如果发生安全事故，应按照《生产安全事故报告和调查处理条例》和《国务院关于特大安全事故行政责任追究的规定》以及其他有关规定，及时上报有关部门，并坚持“四不放过”的原则，严肃处理相关责任人。</w:t>
      </w:r>
    </w:p>
    <w:p w14:paraId="6EE1A69F">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（11）安全生产费用按照《公路水运工程安全生产监督管理办法》的相关规定使用和管理。</w:t>
      </w:r>
    </w:p>
    <w:p w14:paraId="4CEFCDAE">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3.违约责任</w:t>
      </w:r>
    </w:p>
    <w:p w14:paraId="47A19E30">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如因甲方或乙方违约造成生产安全事故，将依法追究责任。</w:t>
      </w:r>
    </w:p>
    <w:p w14:paraId="3D3E795D">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4.本合同由双方法定代表人或其授权的代理人签署并加盖单位章后生效，全部工程竣工验收后失效。</w:t>
      </w:r>
    </w:p>
    <w:p w14:paraId="28B389DE">
      <w:pPr>
        <w:widowControl/>
        <w:autoSpaceDE w:val="0"/>
        <w:autoSpaceDN w:val="0"/>
        <w:adjustRightInd w:val="0"/>
        <w:snapToGrid w:val="0"/>
        <w:spacing w:line="360" w:lineRule="auto"/>
        <w:ind w:firstLine="528" w:firstLineChars="22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5.本合同一式</w:t>
      </w:r>
      <w:r>
        <w:rPr>
          <w:rFonts w:hint="eastAsia" w:ascii="仿宋" w:hAnsi="仿宋" w:eastAsia="仿宋" w:cs="仿宋"/>
          <w:color w:val="auto"/>
          <w:sz w:val="24"/>
          <w:szCs w:val="24"/>
          <w:highlight w:val="none"/>
          <w:lang w:val="en-US" w:eastAsia="zh-CN"/>
        </w:rPr>
        <w:t>陆</w:t>
      </w:r>
      <w:r>
        <w:rPr>
          <w:rFonts w:hint="eastAsia" w:ascii="仿宋" w:hAnsi="仿宋" w:eastAsia="仿宋" w:cs="仿宋"/>
          <w:color w:val="auto"/>
          <w:sz w:val="24"/>
          <w:szCs w:val="24"/>
          <w:highlight w:val="none"/>
        </w:rPr>
        <w:t>份，由甲方和乙方各执三份</w:t>
      </w:r>
      <w:r>
        <w:rPr>
          <w:rFonts w:hint="eastAsia" w:ascii="仿宋" w:hAnsi="仿宋" w:eastAsia="仿宋" w:cs="仿宋"/>
          <w:color w:val="auto"/>
          <w:sz w:val="24"/>
          <w:szCs w:val="24"/>
          <w:highlight w:val="none"/>
          <w:lang w:eastAsia="zh-CN"/>
        </w:rPr>
        <w:t>。</w:t>
      </w:r>
    </w:p>
    <w:p w14:paraId="6C7A9B05">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szCs w:val="24"/>
          <w:highlight w:val="none"/>
        </w:rPr>
      </w:pPr>
    </w:p>
    <w:p w14:paraId="59370AB3">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szCs w:val="24"/>
          <w:highlight w:val="none"/>
        </w:rPr>
      </w:pPr>
    </w:p>
    <w:p w14:paraId="7604DE0E">
      <w:pPr>
        <w:widowControl/>
        <w:autoSpaceDE w:val="0"/>
        <w:autoSpaceDN w:val="0"/>
        <w:adjustRightInd w:val="0"/>
        <w:snapToGrid w:val="0"/>
        <w:spacing w:line="360" w:lineRule="auto"/>
        <w:textAlignment w:val="baseline"/>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甲方：</w:t>
      </w:r>
      <w:r>
        <w:rPr>
          <w:rFonts w:hint="eastAsia" w:ascii="仿宋" w:hAnsi="仿宋" w:eastAsia="仿宋" w:cs="仿宋"/>
          <w:color w:val="auto"/>
          <w:sz w:val="24"/>
          <w:szCs w:val="24"/>
          <w:highlight w:val="none"/>
          <w:u w:val="single"/>
        </w:rPr>
        <w:t xml:space="preserve">      （盖单位章）</w:t>
      </w:r>
      <w:r>
        <w:rPr>
          <w:rFonts w:hint="eastAsia" w:ascii="仿宋" w:hAnsi="仿宋" w:eastAsia="仿宋" w:cs="仿宋"/>
          <w:color w:val="auto"/>
          <w:sz w:val="24"/>
          <w:szCs w:val="24"/>
          <w:highlight w:val="none"/>
        </w:rPr>
        <w:t xml:space="preserve">           乙方：</w:t>
      </w:r>
      <w:r>
        <w:rPr>
          <w:rFonts w:hint="eastAsia" w:ascii="仿宋" w:hAnsi="仿宋" w:eastAsia="仿宋" w:cs="仿宋"/>
          <w:color w:val="auto"/>
          <w:sz w:val="24"/>
          <w:szCs w:val="24"/>
          <w:highlight w:val="none"/>
          <w:u w:val="single"/>
        </w:rPr>
        <w:t xml:space="preserve">       （盖单位章）</w:t>
      </w:r>
    </w:p>
    <w:p w14:paraId="62825654">
      <w:pPr>
        <w:widowControl/>
        <w:autoSpaceDE w:val="0"/>
        <w:autoSpaceDN w:val="0"/>
        <w:adjustRightInd w:val="0"/>
        <w:snapToGrid w:val="0"/>
        <w:spacing w:line="360" w:lineRule="auto"/>
        <w:textAlignment w:val="baseline"/>
        <w:rPr>
          <w:rFonts w:ascii="仿宋" w:hAnsi="仿宋" w:eastAsia="仿宋" w:cs="仿宋"/>
          <w:color w:val="auto"/>
          <w:sz w:val="24"/>
          <w:szCs w:val="24"/>
          <w:highlight w:val="none"/>
        </w:rPr>
      </w:pPr>
    </w:p>
    <w:p w14:paraId="0C1B8B41">
      <w:pPr>
        <w:widowControl/>
        <w:autoSpaceDE w:val="0"/>
        <w:autoSpaceDN w:val="0"/>
        <w:adjustRightInd w:val="0"/>
        <w:snapToGrid w:val="0"/>
        <w:spacing w:line="360" w:lineRule="auto"/>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法定代表人                         法定代表人    </w:t>
      </w:r>
    </w:p>
    <w:p w14:paraId="288A7A43">
      <w:pPr>
        <w:widowControl/>
        <w:autoSpaceDE w:val="0"/>
        <w:autoSpaceDN w:val="0"/>
        <w:adjustRightInd w:val="0"/>
        <w:snapToGrid w:val="0"/>
        <w:spacing w:line="360" w:lineRule="auto"/>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或其委托代理人：</w:t>
      </w:r>
      <w:r>
        <w:rPr>
          <w:rFonts w:hint="eastAsia" w:ascii="仿宋" w:hAnsi="仿宋" w:eastAsia="仿宋" w:cs="仿宋"/>
          <w:color w:val="auto"/>
          <w:sz w:val="24"/>
          <w:szCs w:val="24"/>
          <w:highlight w:val="none"/>
          <w:u w:val="single"/>
        </w:rPr>
        <w:t xml:space="preserve">  （签字）</w:t>
      </w:r>
      <w:r>
        <w:rPr>
          <w:rFonts w:hint="eastAsia" w:ascii="仿宋" w:hAnsi="仿宋" w:eastAsia="仿宋" w:cs="仿宋"/>
          <w:color w:val="auto"/>
          <w:sz w:val="24"/>
          <w:szCs w:val="24"/>
          <w:highlight w:val="none"/>
        </w:rPr>
        <w:t xml:space="preserve">         或其委托代理人：</w:t>
      </w:r>
      <w:r>
        <w:rPr>
          <w:rFonts w:hint="eastAsia" w:ascii="仿宋" w:hAnsi="仿宋" w:eastAsia="仿宋" w:cs="仿宋"/>
          <w:color w:val="auto"/>
          <w:sz w:val="24"/>
          <w:szCs w:val="24"/>
          <w:highlight w:val="none"/>
          <w:u w:val="single"/>
        </w:rPr>
        <w:t xml:space="preserve">   （签字）</w:t>
      </w:r>
    </w:p>
    <w:p w14:paraId="73BB811A">
      <w:pPr>
        <w:widowControl/>
        <w:autoSpaceDE w:val="0"/>
        <w:autoSpaceDN w:val="0"/>
        <w:adjustRightInd w:val="0"/>
        <w:snapToGrid w:val="0"/>
        <w:spacing w:line="360" w:lineRule="auto"/>
        <w:ind w:firstLine="1680" w:firstLineChars="700"/>
        <w:textAlignment w:val="baseline"/>
        <w:rPr>
          <w:rFonts w:ascii="仿宋" w:hAnsi="仿宋" w:eastAsia="仿宋" w:cs="仿宋"/>
          <w:color w:val="auto"/>
          <w:sz w:val="24"/>
          <w:szCs w:val="24"/>
          <w:highlight w:val="none"/>
        </w:rPr>
      </w:pPr>
    </w:p>
    <w:p w14:paraId="1D1565AF">
      <w:pPr>
        <w:widowControl/>
        <w:autoSpaceDE w:val="0"/>
        <w:autoSpaceDN w:val="0"/>
        <w:adjustRightInd w:val="0"/>
        <w:snapToGrid w:val="0"/>
        <w:spacing w:line="360" w:lineRule="auto"/>
        <w:ind w:firstLine="1800" w:firstLineChars="75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年   月   日                      年   月   日</w:t>
      </w:r>
    </w:p>
    <w:p w14:paraId="05913C2D">
      <w:pPr>
        <w:widowControl/>
        <w:autoSpaceDE w:val="0"/>
        <w:autoSpaceDN w:val="0"/>
        <w:adjustRightInd w:val="0"/>
        <w:snapToGrid w:val="0"/>
        <w:spacing w:line="360" w:lineRule="auto"/>
        <w:ind w:firstLine="1800" w:firstLineChars="750"/>
        <w:textAlignment w:val="baseline"/>
        <w:rPr>
          <w:rFonts w:ascii="仿宋" w:hAnsi="仿宋" w:eastAsia="仿宋" w:cs="仿宋"/>
          <w:color w:val="auto"/>
          <w:sz w:val="24"/>
          <w:szCs w:val="24"/>
          <w:highlight w:val="none"/>
        </w:rPr>
      </w:pPr>
    </w:p>
    <w:p w14:paraId="4E276981">
      <w:pPr>
        <w:pStyle w:val="2"/>
        <w:widowControl/>
        <w:autoSpaceDE w:val="0"/>
        <w:autoSpaceDN w:val="0"/>
        <w:adjustRightInd w:val="0"/>
        <w:snapToGrid w:val="0"/>
        <w:spacing w:line="360" w:lineRule="auto"/>
        <w:ind w:left="0" w:right="0"/>
        <w:textAlignment w:val="baseline"/>
        <w:rPr>
          <w:rFonts w:ascii="仿宋" w:hAnsi="仿宋" w:eastAsia="仿宋" w:cs="仿宋"/>
          <w:color w:val="auto"/>
          <w:sz w:val="24"/>
          <w:szCs w:val="24"/>
          <w:highlight w:val="none"/>
        </w:rPr>
      </w:pPr>
    </w:p>
    <w:p w14:paraId="036400A3">
      <w:pPr>
        <w:pStyle w:val="2"/>
        <w:widowControl/>
        <w:autoSpaceDE w:val="0"/>
        <w:autoSpaceDN w:val="0"/>
        <w:adjustRightInd w:val="0"/>
        <w:snapToGrid w:val="0"/>
        <w:spacing w:line="360" w:lineRule="auto"/>
        <w:ind w:left="0" w:right="0"/>
        <w:textAlignment w:val="baseline"/>
        <w:rPr>
          <w:rFonts w:ascii="仿宋" w:hAnsi="仿宋" w:eastAsia="仿宋" w:cs="仿宋"/>
          <w:color w:val="auto"/>
          <w:sz w:val="24"/>
          <w:szCs w:val="24"/>
          <w:highlight w:val="none"/>
        </w:rPr>
      </w:pPr>
    </w:p>
    <w:p w14:paraId="71C62DC0">
      <w:pPr>
        <w:pStyle w:val="2"/>
        <w:widowControl/>
        <w:autoSpaceDE w:val="0"/>
        <w:autoSpaceDN w:val="0"/>
        <w:adjustRightInd w:val="0"/>
        <w:snapToGrid w:val="0"/>
        <w:spacing w:line="360" w:lineRule="auto"/>
        <w:ind w:left="0" w:right="0"/>
        <w:textAlignment w:val="baseline"/>
        <w:rPr>
          <w:rFonts w:ascii="仿宋" w:hAnsi="仿宋" w:eastAsia="仿宋" w:cs="仿宋"/>
          <w:color w:val="auto"/>
          <w:sz w:val="24"/>
          <w:szCs w:val="24"/>
          <w:highlight w:val="none"/>
        </w:rPr>
      </w:pPr>
    </w:p>
    <w:p w14:paraId="21F859FD">
      <w:pPr>
        <w:spacing w:line="360" w:lineRule="auto"/>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br w:type="page"/>
      </w:r>
    </w:p>
    <w:p w14:paraId="33EF0980">
      <w:pPr>
        <w:spacing w:line="360" w:lineRule="auto"/>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附件三：保障通行合同</w:t>
      </w:r>
    </w:p>
    <w:p w14:paraId="235CE698">
      <w:pPr>
        <w:widowControl/>
        <w:tabs>
          <w:tab w:val="left" w:pos="540"/>
        </w:tabs>
        <w:autoSpaceDE w:val="0"/>
        <w:autoSpaceDN w:val="0"/>
        <w:adjustRightInd w:val="0"/>
        <w:snapToGrid w:val="0"/>
        <w:spacing w:line="360" w:lineRule="auto"/>
        <w:ind w:firstLine="602"/>
        <w:jc w:val="center"/>
        <w:textAlignment w:val="baseline"/>
        <w:outlineLvl w:val="0"/>
        <w:rPr>
          <w:rFonts w:ascii="仿宋" w:hAnsi="仿宋" w:eastAsia="仿宋" w:cs="仿宋"/>
          <w:b/>
          <w:bCs/>
          <w:color w:val="auto"/>
          <w:sz w:val="24"/>
          <w:szCs w:val="24"/>
          <w:highlight w:val="none"/>
        </w:rPr>
      </w:pPr>
      <w:bookmarkStart w:id="301" w:name="_Toc3088"/>
      <w:r>
        <w:rPr>
          <w:rFonts w:hint="eastAsia" w:ascii="仿宋" w:hAnsi="仿宋" w:eastAsia="仿宋" w:cs="仿宋"/>
          <w:b/>
          <w:bCs/>
          <w:color w:val="auto"/>
          <w:sz w:val="24"/>
          <w:szCs w:val="24"/>
          <w:highlight w:val="none"/>
        </w:rPr>
        <w:t>保障通行合同</w:t>
      </w:r>
      <w:bookmarkEnd w:id="301"/>
    </w:p>
    <w:p w14:paraId="03B3DBE3">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为在</w:t>
      </w:r>
      <w:r>
        <w:rPr>
          <w:rFonts w:hint="eastAsia" w:ascii="仿宋" w:hAnsi="仿宋" w:eastAsia="仿宋" w:cs="仿宋"/>
          <w:color w:val="auto"/>
          <w:sz w:val="24"/>
          <w:szCs w:val="24"/>
          <w:highlight w:val="none"/>
          <w:u w:val="single"/>
        </w:rPr>
        <w:t>西安市108国道山区公路气象融合监测能力提升项目</w:t>
      </w:r>
      <w:r>
        <w:rPr>
          <w:rFonts w:hint="eastAsia" w:ascii="仿宋" w:hAnsi="仿宋" w:eastAsia="仿宋" w:cs="仿宋"/>
          <w:color w:val="auto"/>
          <w:sz w:val="24"/>
          <w:szCs w:val="24"/>
          <w:highlight w:val="none"/>
        </w:rPr>
        <w:t>施工中保障施工路段正常通行，维护公路养护施工秩序，切实搞好本项目的交通保障工作，本项目采购人</w:t>
      </w:r>
      <w:r>
        <w:rPr>
          <w:rFonts w:hint="eastAsia" w:ascii="仿宋" w:hAnsi="仿宋" w:eastAsia="仿宋" w:cs="仿宋"/>
          <w:color w:val="auto"/>
          <w:sz w:val="24"/>
          <w:szCs w:val="24"/>
          <w:highlight w:val="none"/>
          <w:u w:val="single"/>
        </w:rPr>
        <w:t>西安市公路局</w:t>
      </w:r>
      <w:r>
        <w:rPr>
          <w:rFonts w:hint="eastAsia" w:ascii="仿宋" w:hAnsi="仿宋" w:eastAsia="仿宋" w:cs="仿宋"/>
          <w:color w:val="auto"/>
          <w:sz w:val="24"/>
          <w:szCs w:val="24"/>
          <w:highlight w:val="none"/>
        </w:rPr>
        <w:t>（以下简称“甲方”）与乙方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（以下简称“乙方”）特此签订保畅合同。</w:t>
      </w:r>
    </w:p>
    <w:p w14:paraId="2A716897">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一、甲方责任</w:t>
      </w:r>
    </w:p>
    <w:p w14:paraId="1B580128">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1、贯彻执行国家有关公路养护施工保障通行的法律、法规和规章。</w:t>
      </w:r>
    </w:p>
    <w:p w14:paraId="74B1E156">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2、会同当地政府与有关部门组织处理重大及特别重大通行阻塞应急事件。</w:t>
      </w:r>
    </w:p>
    <w:p w14:paraId="08CA1446">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3、组织制定公路养护施工路段保畅通行方案，按规定程序报送有关部门审批后组织实施。</w:t>
      </w:r>
    </w:p>
    <w:p w14:paraId="493135DC">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4、负责落实设计、施工监理单位的公路养护施工保障通行责任。</w:t>
      </w:r>
    </w:p>
    <w:p w14:paraId="6680744C">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5、对公路养护施工路段保畅通行情况进行日常巡查和专项检查，及时发现和处理影响通行的问题。</w:t>
      </w:r>
    </w:p>
    <w:p w14:paraId="559FE682">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二、乙方职责</w:t>
      </w:r>
    </w:p>
    <w:p w14:paraId="400E7205">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1、严格遵守并认真执行各级有关保畅的政策、法规、文件的规定，扎实做好施工保畅工作。</w:t>
      </w:r>
    </w:p>
    <w:p w14:paraId="2DB3233C">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建立健全工程保畅制度和保畅应急预案。项目经理是保畅第一责任人。现场设置保畅机构，并指派专人负责维护公路养护施工和通行便道、负责检查施工标志缺损及完善、负责疏导交通。保畅机构人员有权按规定发布指令，并采取预防性措施防止发生车辆堵塞。</w:t>
      </w:r>
    </w:p>
    <w:p w14:paraId="58C891C4">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3、乙方在任何时候都应采取各种合理的保畅预防措施，防止发生交通堵塞。</w:t>
      </w:r>
    </w:p>
    <w:p w14:paraId="5F49D3C7">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4、在施工路段必须按照《公路养护安全生产作业规程》规范设置公告牌、标志牌、警示牌等，使过往车辆做好提前分流的准备。</w:t>
      </w:r>
    </w:p>
    <w:p w14:paraId="353D7605">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5、在施工路段建筑材料要堆放整齐，建筑垃圾要及时清理，不得占用有效路面，以免造成交通阻塞。</w:t>
      </w:r>
    </w:p>
    <w:p w14:paraId="57F66B2E">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6、白天不能完成的作业现场，晚上一定要按有关规定布设警示灯、警示桶、反光标志牌等标志标识。</w:t>
      </w:r>
    </w:p>
    <w:p w14:paraId="502B3C16">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7、在开山作业后，要及时清除现场和山坡上的浮石，保证车辆和行人正常通行。</w:t>
      </w:r>
    </w:p>
    <w:p w14:paraId="4A81F6E3">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8、制定施工方案时，同时制定保畅方案。保畅方案不能通过时，须修订施工方案。如施工路段发生堵车现象，要及时疏导交通，堵车时间不得超过半小时。</w:t>
      </w:r>
    </w:p>
    <w:p w14:paraId="440B1375">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三、违约责任</w:t>
      </w:r>
    </w:p>
    <w:p w14:paraId="2D1E74C1">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如因甲方或乙方违约造成堵车事件，将追究有关责任人的责任。对造成严重的交通堵塞，影响恶劣的施工单位予以通报批评，并两年内不得参与本局公路养护工程施工投标。对乙方发生的交通堵塞事件均由乙方自行处理，并承担其一切经济损失。</w:t>
      </w:r>
    </w:p>
    <w:p w14:paraId="2DDC1E80">
      <w:pPr>
        <w:widowControl/>
        <w:autoSpaceDE w:val="0"/>
        <w:autoSpaceDN w:val="0"/>
        <w:adjustRightInd w:val="0"/>
        <w:snapToGrid w:val="0"/>
        <w:spacing w:line="360" w:lineRule="auto"/>
        <w:ind w:firstLine="528" w:firstLineChars="22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本合同一式</w:t>
      </w:r>
      <w:r>
        <w:rPr>
          <w:rFonts w:hint="eastAsia" w:ascii="仿宋" w:hAnsi="仿宋" w:eastAsia="仿宋" w:cs="仿宋"/>
          <w:color w:val="auto"/>
          <w:sz w:val="24"/>
          <w:szCs w:val="24"/>
          <w:highlight w:val="none"/>
          <w:lang w:val="en-US" w:eastAsia="zh-CN"/>
        </w:rPr>
        <w:t>陆</w:t>
      </w:r>
      <w:r>
        <w:rPr>
          <w:rFonts w:hint="eastAsia" w:ascii="仿宋" w:hAnsi="仿宋" w:eastAsia="仿宋" w:cs="仿宋"/>
          <w:color w:val="auto"/>
          <w:sz w:val="24"/>
          <w:szCs w:val="24"/>
          <w:highlight w:val="none"/>
        </w:rPr>
        <w:t>份，由甲方和乙方各执三份</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由双方法定代表人或其授权的代理人签署与加盖公章后生效，全部工程竣工验收后失效。</w:t>
      </w:r>
    </w:p>
    <w:p w14:paraId="7E8CBAF3">
      <w:pPr>
        <w:widowControl/>
        <w:autoSpaceDE w:val="0"/>
        <w:autoSpaceDN w:val="0"/>
        <w:adjustRightInd w:val="0"/>
        <w:snapToGrid w:val="0"/>
        <w:spacing w:line="360" w:lineRule="auto"/>
        <w:textAlignment w:val="baseline"/>
        <w:rPr>
          <w:rFonts w:ascii="仿宋" w:hAnsi="仿宋" w:eastAsia="仿宋" w:cs="仿宋"/>
          <w:color w:val="auto"/>
          <w:sz w:val="24"/>
          <w:szCs w:val="24"/>
          <w:highlight w:val="none"/>
        </w:rPr>
      </w:pPr>
    </w:p>
    <w:p w14:paraId="69FB8ECA">
      <w:pPr>
        <w:widowControl/>
        <w:autoSpaceDE w:val="0"/>
        <w:autoSpaceDN w:val="0"/>
        <w:adjustRightInd w:val="0"/>
        <w:snapToGrid w:val="0"/>
        <w:spacing w:line="360" w:lineRule="auto"/>
        <w:textAlignment w:val="baseline"/>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甲方：</w:t>
      </w:r>
      <w:r>
        <w:rPr>
          <w:rFonts w:hint="eastAsia" w:ascii="仿宋" w:hAnsi="仿宋" w:eastAsia="仿宋" w:cs="仿宋"/>
          <w:color w:val="auto"/>
          <w:sz w:val="24"/>
          <w:szCs w:val="24"/>
          <w:highlight w:val="none"/>
          <w:u w:val="single"/>
        </w:rPr>
        <w:t xml:space="preserve">       （盖单位章）</w:t>
      </w:r>
      <w:r>
        <w:rPr>
          <w:rFonts w:hint="eastAsia" w:ascii="仿宋" w:hAnsi="仿宋" w:eastAsia="仿宋" w:cs="仿宋"/>
          <w:color w:val="auto"/>
          <w:sz w:val="24"/>
          <w:szCs w:val="24"/>
          <w:highlight w:val="none"/>
        </w:rPr>
        <w:t xml:space="preserve">         乙方：</w:t>
      </w:r>
      <w:r>
        <w:rPr>
          <w:rFonts w:hint="eastAsia" w:ascii="仿宋" w:hAnsi="仿宋" w:eastAsia="仿宋" w:cs="仿宋"/>
          <w:color w:val="auto"/>
          <w:sz w:val="24"/>
          <w:szCs w:val="24"/>
          <w:highlight w:val="none"/>
          <w:u w:val="single"/>
        </w:rPr>
        <w:t xml:space="preserve">       （盖单位章）</w:t>
      </w:r>
    </w:p>
    <w:p w14:paraId="6D944C22">
      <w:pPr>
        <w:widowControl/>
        <w:autoSpaceDE w:val="0"/>
        <w:autoSpaceDN w:val="0"/>
        <w:adjustRightInd w:val="0"/>
        <w:snapToGrid w:val="0"/>
        <w:spacing w:line="360" w:lineRule="auto"/>
        <w:textAlignment w:val="baseline"/>
        <w:rPr>
          <w:rFonts w:ascii="仿宋" w:hAnsi="仿宋" w:eastAsia="仿宋" w:cs="仿宋"/>
          <w:color w:val="auto"/>
          <w:sz w:val="24"/>
          <w:szCs w:val="24"/>
          <w:highlight w:val="none"/>
        </w:rPr>
      </w:pPr>
    </w:p>
    <w:p w14:paraId="4DB15F1E">
      <w:pPr>
        <w:widowControl/>
        <w:autoSpaceDE w:val="0"/>
        <w:autoSpaceDN w:val="0"/>
        <w:adjustRightInd w:val="0"/>
        <w:snapToGrid w:val="0"/>
        <w:spacing w:line="360" w:lineRule="auto"/>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                          法定代表人</w:t>
      </w:r>
    </w:p>
    <w:p w14:paraId="59B5508A">
      <w:pPr>
        <w:widowControl/>
        <w:autoSpaceDE w:val="0"/>
        <w:autoSpaceDN w:val="0"/>
        <w:adjustRightInd w:val="0"/>
        <w:snapToGrid w:val="0"/>
        <w:spacing w:line="360" w:lineRule="auto"/>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或其委托代理人：</w:t>
      </w:r>
      <w:r>
        <w:rPr>
          <w:rFonts w:hint="eastAsia" w:ascii="仿宋" w:hAnsi="仿宋" w:eastAsia="仿宋" w:cs="仿宋"/>
          <w:color w:val="auto"/>
          <w:sz w:val="24"/>
          <w:szCs w:val="24"/>
          <w:highlight w:val="none"/>
          <w:u w:val="single"/>
        </w:rPr>
        <w:t xml:space="preserve">   （签字）</w:t>
      </w:r>
      <w:r>
        <w:rPr>
          <w:rFonts w:hint="eastAsia" w:ascii="仿宋" w:hAnsi="仿宋" w:eastAsia="仿宋" w:cs="仿宋"/>
          <w:color w:val="auto"/>
          <w:sz w:val="24"/>
          <w:szCs w:val="24"/>
          <w:highlight w:val="none"/>
        </w:rPr>
        <w:t xml:space="preserve">         或其委托代理人：</w:t>
      </w:r>
      <w:r>
        <w:rPr>
          <w:rFonts w:hint="eastAsia" w:ascii="仿宋" w:hAnsi="仿宋" w:eastAsia="仿宋" w:cs="仿宋"/>
          <w:color w:val="auto"/>
          <w:sz w:val="24"/>
          <w:szCs w:val="24"/>
          <w:highlight w:val="none"/>
          <w:u w:val="single"/>
        </w:rPr>
        <w:t xml:space="preserve">   （签字）</w:t>
      </w:r>
    </w:p>
    <w:p w14:paraId="1443F773">
      <w:pPr>
        <w:widowControl/>
        <w:autoSpaceDE w:val="0"/>
        <w:autoSpaceDN w:val="0"/>
        <w:adjustRightInd w:val="0"/>
        <w:snapToGrid w:val="0"/>
        <w:spacing w:line="360" w:lineRule="auto"/>
        <w:ind w:firstLine="1680" w:firstLineChars="700"/>
        <w:textAlignment w:val="baseline"/>
        <w:rPr>
          <w:rFonts w:ascii="仿宋" w:hAnsi="仿宋" w:eastAsia="仿宋" w:cs="仿宋"/>
          <w:color w:val="auto"/>
          <w:sz w:val="24"/>
          <w:szCs w:val="24"/>
          <w:highlight w:val="none"/>
        </w:rPr>
      </w:pPr>
    </w:p>
    <w:p w14:paraId="5A30140E">
      <w:pPr>
        <w:widowControl/>
        <w:autoSpaceDE w:val="0"/>
        <w:autoSpaceDN w:val="0"/>
        <w:adjustRightInd w:val="0"/>
        <w:snapToGrid w:val="0"/>
        <w:spacing w:line="360" w:lineRule="auto"/>
        <w:ind w:firstLine="1800" w:firstLineChars="75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年   月   日                      年   月   日</w:t>
      </w:r>
    </w:p>
    <w:p w14:paraId="2810F4A1">
      <w:pPr>
        <w:spacing w:line="360" w:lineRule="auto"/>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793C0EAC">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附件</w:t>
      </w:r>
      <w:r>
        <w:rPr>
          <w:rFonts w:hint="eastAsia" w:ascii="仿宋" w:hAnsi="仿宋" w:eastAsia="仿宋" w:cs="仿宋"/>
          <w:b/>
          <w:color w:val="auto"/>
          <w:sz w:val="24"/>
          <w:highlight w:val="none"/>
          <w:lang w:val="en-US" w:eastAsia="zh-CN"/>
        </w:rPr>
        <w:t>四</w:t>
      </w:r>
      <w:r>
        <w:rPr>
          <w:rFonts w:hint="eastAsia" w:ascii="仿宋" w:hAnsi="仿宋" w:eastAsia="仿宋" w:cs="仿宋"/>
          <w:b/>
          <w:color w:val="auto"/>
          <w:sz w:val="24"/>
          <w:highlight w:val="none"/>
        </w:rPr>
        <w:t>：项目经理委任书</w:t>
      </w:r>
    </w:p>
    <w:p w14:paraId="0B02FAC8">
      <w:pPr>
        <w:spacing w:line="360" w:lineRule="auto"/>
        <w:jc w:val="center"/>
        <w:rPr>
          <w:rFonts w:ascii="仿宋" w:hAnsi="仿宋" w:eastAsia="仿宋" w:cs="仿宋"/>
          <w:color w:val="auto"/>
          <w:sz w:val="24"/>
          <w:highlight w:val="none"/>
          <w:u w:val="single"/>
        </w:rPr>
      </w:pPr>
    </w:p>
    <w:p w14:paraId="6EA25E1B">
      <w:pPr>
        <w:spacing w:line="360" w:lineRule="auto"/>
        <w:jc w:val="center"/>
        <w:rPr>
          <w:rFonts w:ascii="仿宋" w:hAnsi="仿宋" w:eastAsia="仿宋" w:cs="仿宋"/>
          <w:b/>
          <w:bCs/>
          <w:color w:val="auto"/>
          <w:sz w:val="24"/>
          <w:szCs w:val="24"/>
          <w:highlight w:val="none"/>
          <w:u w:val="single"/>
        </w:rPr>
      </w:pPr>
      <w:r>
        <w:rPr>
          <w:rFonts w:hint="eastAsia" w:ascii="仿宋" w:hAnsi="仿宋" w:eastAsia="仿宋" w:cs="仿宋"/>
          <w:b/>
          <w:bCs/>
          <w:color w:val="auto"/>
          <w:sz w:val="24"/>
          <w:szCs w:val="24"/>
          <w:highlight w:val="none"/>
          <w:u w:val="single"/>
        </w:rPr>
        <w:t>（成交供应商全称）</w:t>
      </w:r>
    </w:p>
    <w:p w14:paraId="71715D0B">
      <w:pPr>
        <w:spacing w:line="360" w:lineRule="auto"/>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u w:val="single"/>
        </w:rPr>
        <w:t>西安市108国道山区公路气象融合监测能力提升项目</w:t>
      </w:r>
      <w:r>
        <w:rPr>
          <w:rFonts w:hint="eastAsia" w:ascii="仿宋" w:hAnsi="仿宋" w:eastAsia="仿宋" w:cs="仿宋"/>
          <w:b/>
          <w:bCs/>
          <w:color w:val="auto"/>
          <w:sz w:val="24"/>
          <w:szCs w:val="24"/>
          <w:highlight w:val="none"/>
        </w:rPr>
        <w:t>项目经理委任书</w:t>
      </w:r>
    </w:p>
    <w:p w14:paraId="7111F0A0">
      <w:pPr>
        <w:spacing w:line="360" w:lineRule="auto"/>
        <w:rPr>
          <w:rFonts w:ascii="仿宋" w:hAnsi="仿宋" w:eastAsia="仿宋" w:cs="仿宋"/>
          <w:color w:val="auto"/>
          <w:sz w:val="24"/>
          <w:szCs w:val="24"/>
          <w:highlight w:val="none"/>
          <w:u w:val="single"/>
        </w:rPr>
      </w:pPr>
    </w:p>
    <w:p w14:paraId="48087930">
      <w:pPr>
        <w:widowControl/>
        <w:autoSpaceDE w:val="0"/>
        <w:autoSpaceDN w:val="0"/>
        <w:adjustRightInd w:val="0"/>
        <w:snapToGrid w:val="0"/>
        <w:spacing w:line="360" w:lineRule="auto"/>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致：西安市公路局</w:t>
      </w:r>
      <w:r>
        <w:rPr>
          <w:rFonts w:hint="eastAsia" w:ascii="仿宋" w:hAnsi="仿宋" w:eastAsia="仿宋" w:cs="仿宋"/>
          <w:color w:val="auto"/>
          <w:sz w:val="24"/>
          <w:szCs w:val="24"/>
          <w:highlight w:val="none"/>
        </w:rPr>
        <w:t>：</w:t>
      </w:r>
    </w:p>
    <w:p w14:paraId="2CBE40EA">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（成交供应商全称）</w:t>
      </w: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rPr>
        <w:t>（职务、姓名）</w:t>
      </w:r>
      <w:r>
        <w:rPr>
          <w:rFonts w:hint="eastAsia" w:ascii="仿宋" w:hAnsi="仿宋" w:eastAsia="仿宋" w:cs="仿宋"/>
          <w:color w:val="auto"/>
          <w:sz w:val="24"/>
          <w:szCs w:val="24"/>
          <w:highlight w:val="none"/>
        </w:rPr>
        <w:t>代表本单位委任</w:t>
      </w:r>
      <w:r>
        <w:rPr>
          <w:rFonts w:hint="eastAsia" w:ascii="仿宋" w:hAnsi="仿宋" w:eastAsia="仿宋" w:cs="仿宋"/>
          <w:color w:val="auto"/>
          <w:sz w:val="24"/>
          <w:szCs w:val="24"/>
          <w:highlight w:val="none"/>
          <w:u w:val="single"/>
        </w:rPr>
        <w:t>（职务、姓名）</w:t>
      </w:r>
      <w:r>
        <w:rPr>
          <w:rFonts w:hint="eastAsia" w:ascii="仿宋" w:hAnsi="仿宋" w:eastAsia="仿宋" w:cs="仿宋"/>
          <w:color w:val="auto"/>
          <w:sz w:val="24"/>
          <w:szCs w:val="24"/>
          <w:highlight w:val="none"/>
        </w:rPr>
        <w:t>为</w:t>
      </w:r>
      <w:r>
        <w:rPr>
          <w:rFonts w:hint="eastAsia" w:ascii="仿宋" w:hAnsi="仿宋" w:eastAsia="仿宋" w:cs="仿宋"/>
          <w:color w:val="auto"/>
          <w:sz w:val="24"/>
          <w:szCs w:val="24"/>
          <w:highlight w:val="none"/>
          <w:u w:val="single"/>
        </w:rPr>
        <w:t xml:space="preserve">西安市108国道山区公路气象融合监测能力提升项目  </w:t>
      </w:r>
      <w:r>
        <w:rPr>
          <w:rFonts w:hint="eastAsia" w:ascii="仿宋" w:hAnsi="仿宋" w:eastAsia="仿宋" w:cs="仿宋"/>
          <w:color w:val="auto"/>
          <w:sz w:val="24"/>
          <w:szCs w:val="24"/>
          <w:highlight w:val="none"/>
        </w:rPr>
        <w:t>的项目经理。凡本合同执行中的有关技术、工程进度、现场管理、质量检验、结算与支付等方面工作，由</w:t>
      </w:r>
      <w:r>
        <w:rPr>
          <w:rFonts w:hint="eastAsia" w:ascii="仿宋" w:hAnsi="仿宋" w:eastAsia="仿宋" w:cs="仿宋"/>
          <w:color w:val="auto"/>
          <w:sz w:val="24"/>
          <w:szCs w:val="24"/>
          <w:highlight w:val="none"/>
          <w:u w:val="single"/>
        </w:rPr>
        <w:t>（姓名）</w:t>
      </w:r>
      <w:r>
        <w:rPr>
          <w:rFonts w:hint="eastAsia" w:ascii="仿宋" w:hAnsi="仿宋" w:eastAsia="仿宋" w:cs="仿宋"/>
          <w:color w:val="auto"/>
          <w:sz w:val="24"/>
          <w:szCs w:val="24"/>
          <w:highlight w:val="none"/>
        </w:rPr>
        <w:t>代表本单位全面负责。</w:t>
      </w:r>
    </w:p>
    <w:p w14:paraId="127428A1">
      <w:pPr>
        <w:widowControl/>
        <w:autoSpaceDE w:val="0"/>
        <w:autoSpaceDN w:val="0"/>
        <w:adjustRightInd w:val="0"/>
        <w:snapToGrid w:val="0"/>
        <w:spacing w:line="360" w:lineRule="auto"/>
        <w:textAlignment w:val="baseline"/>
        <w:rPr>
          <w:rFonts w:ascii="仿宋" w:hAnsi="仿宋" w:eastAsia="仿宋" w:cs="仿宋"/>
          <w:color w:val="auto"/>
          <w:sz w:val="24"/>
          <w:szCs w:val="24"/>
          <w:highlight w:val="none"/>
        </w:rPr>
      </w:pPr>
    </w:p>
    <w:p w14:paraId="49625134">
      <w:pPr>
        <w:widowControl/>
        <w:autoSpaceDE w:val="0"/>
        <w:autoSpaceDN w:val="0"/>
        <w:adjustRightInd w:val="0"/>
        <w:snapToGrid w:val="0"/>
        <w:spacing w:line="360" w:lineRule="auto"/>
        <w:textAlignment w:val="baseline"/>
        <w:rPr>
          <w:rFonts w:ascii="仿宋" w:hAnsi="仿宋" w:eastAsia="仿宋" w:cs="仿宋"/>
          <w:color w:val="auto"/>
          <w:sz w:val="24"/>
          <w:szCs w:val="24"/>
          <w:highlight w:val="none"/>
        </w:rPr>
      </w:pPr>
    </w:p>
    <w:p w14:paraId="578DE1C5">
      <w:pPr>
        <w:pStyle w:val="2"/>
        <w:widowControl/>
        <w:autoSpaceDE w:val="0"/>
        <w:autoSpaceDN w:val="0"/>
        <w:adjustRightInd w:val="0"/>
        <w:snapToGrid w:val="0"/>
        <w:spacing w:line="360" w:lineRule="auto"/>
        <w:ind w:left="0" w:right="0"/>
        <w:textAlignment w:val="baseline"/>
        <w:rPr>
          <w:rFonts w:ascii="仿宋" w:hAnsi="仿宋" w:eastAsia="仿宋" w:cs="仿宋"/>
          <w:color w:val="auto"/>
          <w:highlight w:val="none"/>
        </w:rPr>
      </w:pPr>
    </w:p>
    <w:p w14:paraId="74F5E356">
      <w:pPr>
        <w:widowControl/>
        <w:autoSpaceDE w:val="0"/>
        <w:autoSpaceDN w:val="0"/>
        <w:adjustRightInd w:val="0"/>
        <w:snapToGrid w:val="0"/>
        <w:spacing w:line="360" w:lineRule="auto"/>
        <w:jc w:val="right"/>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成交供应商： </w:t>
      </w:r>
      <w:r>
        <w:rPr>
          <w:rFonts w:hint="eastAsia" w:ascii="仿宋" w:hAnsi="仿宋" w:eastAsia="仿宋" w:cs="仿宋"/>
          <w:color w:val="auto"/>
          <w:sz w:val="24"/>
          <w:szCs w:val="24"/>
          <w:highlight w:val="none"/>
          <w:u w:val="single"/>
        </w:rPr>
        <w:t xml:space="preserve">           （盖单位章）</w:t>
      </w:r>
    </w:p>
    <w:p w14:paraId="26DB6643">
      <w:pPr>
        <w:widowControl/>
        <w:autoSpaceDE w:val="0"/>
        <w:autoSpaceDN w:val="0"/>
        <w:adjustRightInd w:val="0"/>
        <w:snapToGrid w:val="0"/>
        <w:spacing w:line="360" w:lineRule="auto"/>
        <w:jc w:val="right"/>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rPr>
        <w:t xml:space="preserve">            （职务）</w:t>
      </w:r>
    </w:p>
    <w:p w14:paraId="795638C4">
      <w:pPr>
        <w:widowControl/>
        <w:autoSpaceDE w:val="0"/>
        <w:autoSpaceDN w:val="0"/>
        <w:adjustRightInd w:val="0"/>
        <w:snapToGrid w:val="0"/>
        <w:spacing w:line="360" w:lineRule="auto"/>
        <w:ind w:firstLine="1440" w:firstLineChars="600"/>
        <w:jc w:val="right"/>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 xml:space="preserve">            （姓名）</w:t>
      </w:r>
    </w:p>
    <w:p w14:paraId="00D1D5C8">
      <w:pPr>
        <w:widowControl/>
        <w:autoSpaceDE w:val="0"/>
        <w:autoSpaceDN w:val="0"/>
        <w:adjustRightInd w:val="0"/>
        <w:snapToGrid w:val="0"/>
        <w:spacing w:line="360" w:lineRule="auto"/>
        <w:ind w:firstLine="1440" w:firstLineChars="600"/>
        <w:jc w:val="right"/>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 xml:space="preserve">            （签字）</w:t>
      </w:r>
    </w:p>
    <w:p w14:paraId="317A4214">
      <w:pPr>
        <w:widowControl/>
        <w:autoSpaceDE w:val="0"/>
        <w:autoSpaceDN w:val="0"/>
        <w:adjustRightInd w:val="0"/>
        <w:snapToGrid w:val="0"/>
        <w:spacing w:line="360" w:lineRule="auto"/>
        <w:ind w:firstLine="2880" w:firstLineChars="1200"/>
        <w:jc w:val="right"/>
        <w:textAlignment w:val="baseline"/>
        <w:rPr>
          <w:rFonts w:ascii="仿宋" w:hAnsi="仿宋" w:eastAsia="仿宋" w:cs="仿宋"/>
          <w:color w:val="auto"/>
          <w:sz w:val="24"/>
          <w:szCs w:val="24"/>
          <w:highlight w:val="none"/>
        </w:rPr>
      </w:pPr>
    </w:p>
    <w:p w14:paraId="4F744169">
      <w:pPr>
        <w:widowControl/>
        <w:autoSpaceDE w:val="0"/>
        <w:autoSpaceDN w:val="0"/>
        <w:adjustRightInd w:val="0"/>
        <w:snapToGrid w:val="0"/>
        <w:spacing w:line="360" w:lineRule="auto"/>
        <w:ind w:firstLine="2880" w:firstLineChars="1200"/>
        <w:jc w:val="right"/>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年    月    日</w:t>
      </w:r>
    </w:p>
    <w:p w14:paraId="1453A225">
      <w:pPr>
        <w:widowControl/>
        <w:autoSpaceDE w:val="0"/>
        <w:autoSpaceDN w:val="0"/>
        <w:adjustRightInd w:val="0"/>
        <w:snapToGrid w:val="0"/>
        <w:spacing w:line="360" w:lineRule="auto"/>
        <w:jc w:val="center"/>
        <w:textAlignment w:val="baseline"/>
        <w:rPr>
          <w:rFonts w:ascii="仿宋" w:hAnsi="仿宋" w:eastAsia="仿宋" w:cs="仿宋"/>
          <w:color w:val="auto"/>
          <w:sz w:val="55"/>
          <w:szCs w:val="55"/>
          <w:highlight w:val="none"/>
        </w:rPr>
      </w:pPr>
    </w:p>
    <w:p w14:paraId="3CF4B9B4">
      <w:pPr>
        <w:widowControl/>
        <w:autoSpaceDE w:val="0"/>
        <w:autoSpaceDN w:val="0"/>
        <w:adjustRightInd w:val="0"/>
        <w:snapToGrid w:val="0"/>
        <w:spacing w:line="360" w:lineRule="auto"/>
        <w:jc w:val="center"/>
        <w:textAlignment w:val="baseline"/>
        <w:rPr>
          <w:rFonts w:ascii="仿宋" w:hAnsi="仿宋" w:eastAsia="仿宋" w:cs="仿宋"/>
          <w:color w:val="auto"/>
          <w:sz w:val="55"/>
          <w:szCs w:val="55"/>
          <w:highlight w:val="none"/>
        </w:rPr>
      </w:pPr>
    </w:p>
    <w:p w14:paraId="3CDAF70D">
      <w:pPr>
        <w:pStyle w:val="2"/>
        <w:widowControl/>
        <w:autoSpaceDE w:val="0"/>
        <w:autoSpaceDN w:val="0"/>
        <w:adjustRightInd w:val="0"/>
        <w:snapToGrid w:val="0"/>
        <w:spacing w:line="360" w:lineRule="auto"/>
        <w:ind w:left="0" w:right="0"/>
        <w:textAlignment w:val="baseline"/>
        <w:rPr>
          <w:rFonts w:ascii="仿宋" w:hAnsi="仿宋" w:eastAsia="仿宋" w:cs="仿宋"/>
          <w:color w:val="auto"/>
          <w:sz w:val="55"/>
          <w:szCs w:val="55"/>
          <w:highlight w:val="none"/>
        </w:rPr>
      </w:pPr>
    </w:p>
    <w:p w14:paraId="7A1BC53B">
      <w:pPr>
        <w:pStyle w:val="2"/>
        <w:widowControl/>
        <w:autoSpaceDE w:val="0"/>
        <w:autoSpaceDN w:val="0"/>
        <w:adjustRightInd w:val="0"/>
        <w:snapToGrid w:val="0"/>
        <w:spacing w:line="360" w:lineRule="auto"/>
        <w:ind w:left="0" w:right="0"/>
        <w:textAlignment w:val="baseline"/>
        <w:rPr>
          <w:rFonts w:ascii="仿宋" w:hAnsi="仿宋" w:eastAsia="仿宋" w:cs="仿宋"/>
          <w:color w:val="auto"/>
          <w:sz w:val="55"/>
          <w:szCs w:val="55"/>
          <w:highlight w:val="none"/>
        </w:rPr>
      </w:pPr>
    </w:p>
    <w:p w14:paraId="5E73E7F5">
      <w:pPr>
        <w:widowControl/>
        <w:autoSpaceDE w:val="0"/>
        <w:autoSpaceDN w:val="0"/>
        <w:adjustRightInd w:val="0"/>
        <w:snapToGrid w:val="0"/>
        <w:spacing w:line="360" w:lineRule="auto"/>
        <w:jc w:val="left"/>
        <w:textAlignment w:val="baseline"/>
        <w:rPr>
          <w:rFonts w:hint="eastAsia" w:ascii="仿宋" w:hAnsi="仿宋" w:eastAsia="仿宋" w:cs="仿宋"/>
          <w:b/>
          <w:bCs/>
          <w:color w:val="auto"/>
          <w:sz w:val="24"/>
          <w:szCs w:val="24"/>
          <w:highlight w:val="none"/>
        </w:rPr>
      </w:pPr>
    </w:p>
    <w:p w14:paraId="780E8080">
      <w:pPr>
        <w:widowControl/>
        <w:autoSpaceDE w:val="0"/>
        <w:autoSpaceDN w:val="0"/>
        <w:adjustRightInd w:val="0"/>
        <w:snapToGrid w:val="0"/>
        <w:spacing w:line="360" w:lineRule="auto"/>
        <w:jc w:val="left"/>
        <w:textAlignment w:val="baseline"/>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附件</w:t>
      </w:r>
      <w:r>
        <w:rPr>
          <w:rFonts w:hint="eastAsia" w:ascii="仿宋" w:hAnsi="仿宋" w:eastAsia="仿宋" w:cs="仿宋"/>
          <w:b/>
          <w:bCs/>
          <w:color w:val="auto"/>
          <w:sz w:val="24"/>
          <w:szCs w:val="24"/>
          <w:highlight w:val="none"/>
          <w:lang w:val="en-US" w:eastAsia="zh-CN"/>
        </w:rPr>
        <w:t>五</w:t>
      </w:r>
      <w:r>
        <w:rPr>
          <w:rFonts w:hint="eastAsia" w:ascii="仿宋" w:hAnsi="仿宋" w:eastAsia="仿宋" w:cs="仿宋"/>
          <w:b/>
          <w:bCs/>
          <w:color w:val="auto"/>
          <w:sz w:val="24"/>
          <w:szCs w:val="24"/>
          <w:highlight w:val="none"/>
        </w:rPr>
        <w:t xml:space="preserve">  农民工工资支付承诺书</w:t>
      </w:r>
    </w:p>
    <w:p w14:paraId="70691BE3">
      <w:pPr>
        <w:widowControl/>
        <w:autoSpaceDE w:val="0"/>
        <w:autoSpaceDN w:val="0"/>
        <w:adjustRightInd w:val="0"/>
        <w:snapToGrid w:val="0"/>
        <w:spacing w:line="360" w:lineRule="auto"/>
        <w:ind w:firstLine="480" w:firstLineChars="200"/>
        <w:jc w:val="center"/>
        <w:textAlignment w:val="baseline"/>
        <w:rPr>
          <w:rFonts w:ascii="仿宋" w:hAnsi="仿宋" w:eastAsia="仿宋" w:cs="仿宋"/>
          <w:color w:val="auto"/>
          <w:sz w:val="24"/>
          <w:szCs w:val="24"/>
          <w:highlight w:val="none"/>
        </w:rPr>
      </w:pPr>
    </w:p>
    <w:p w14:paraId="67062D4A">
      <w:pPr>
        <w:widowControl/>
        <w:autoSpaceDE w:val="0"/>
        <w:autoSpaceDN w:val="0"/>
        <w:adjustRightInd w:val="0"/>
        <w:snapToGrid w:val="0"/>
        <w:spacing w:line="360" w:lineRule="auto"/>
        <w:ind w:firstLine="480" w:firstLineChars="200"/>
        <w:jc w:val="center"/>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农民工工资支付承诺书</w:t>
      </w:r>
    </w:p>
    <w:p w14:paraId="779BBF15">
      <w:pPr>
        <w:widowControl/>
        <w:autoSpaceDE w:val="0"/>
        <w:autoSpaceDN w:val="0"/>
        <w:adjustRightInd w:val="0"/>
        <w:snapToGrid w:val="0"/>
        <w:spacing w:line="360" w:lineRule="auto"/>
        <w:ind w:firstLine="480" w:firstLineChars="200"/>
        <w:jc w:val="center"/>
        <w:textAlignment w:val="baseline"/>
        <w:rPr>
          <w:rFonts w:ascii="仿宋" w:hAnsi="仿宋" w:eastAsia="仿宋" w:cs="仿宋"/>
          <w:color w:val="auto"/>
          <w:sz w:val="24"/>
          <w:szCs w:val="24"/>
          <w:highlight w:val="none"/>
        </w:rPr>
      </w:pPr>
    </w:p>
    <w:p w14:paraId="2041F1D3">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致：西安市公路局</w:t>
      </w:r>
    </w:p>
    <w:p w14:paraId="30D906C1">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鉴于（成交供应商全称）（下称“成交供应商”）与西安市公路局签订</w:t>
      </w:r>
      <w:r>
        <w:rPr>
          <w:rFonts w:hint="eastAsia" w:ascii="仿宋" w:hAnsi="仿宋" w:eastAsia="仿宋" w:cs="仿宋"/>
          <w:color w:val="auto"/>
          <w:sz w:val="24"/>
          <w:szCs w:val="24"/>
          <w:highlight w:val="none"/>
          <w:u w:val="single"/>
        </w:rPr>
        <w:t>西安市108国道山区公路气象融合监测能力提升项目施工标段的</w:t>
      </w:r>
      <w:r>
        <w:rPr>
          <w:rFonts w:hint="eastAsia" w:ascii="仿宋" w:hAnsi="仿宋" w:eastAsia="仿宋" w:cs="仿宋"/>
          <w:color w:val="auto"/>
          <w:sz w:val="24"/>
          <w:szCs w:val="24"/>
          <w:highlight w:val="none"/>
        </w:rPr>
        <w:t>合同协议书，成交供应商一旦签定合同协议书，成交供应商将承担合同规定的全部责任和义务。在此（成交供应商）的法人代表</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以合法地位郑重做出如下承诺：</w:t>
      </w:r>
    </w:p>
    <w:p w14:paraId="3446BF9B">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一、（成交供应商）在工程施工过程中，承诺不以任何借口拖欠材料、设备货款及农民工工资等费用。承诺严格遵照国家有关规定，开工前按照《劳动法》规定与所雇佣劳务人员签署劳务合同，不无故拖欠克扣农民工工资；坚决不侵害农民工劳动报酬的合法权益。</w:t>
      </w:r>
    </w:p>
    <w:p w14:paraId="19BFDE1B">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1、按时支付农民工工资和加班工资，工资直接发放给农民工本人。</w:t>
      </w:r>
    </w:p>
    <w:p w14:paraId="39C5607A">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我公司下属施工队（劳务协作队）雇佣农民工的，同样要求其按照《劳动法》规定与所雇佣劳务人员签署劳务合同，按时支付农民工工资和加班工资，工资直接发放给农民工本人，并负责督促其及时结付农民工工资。如因我公司未与下属施工队（劳务协作队）结清工程款，致使后者拖欠农民工工资的，将由我公司先行垫付欠款。我公司对下属施工队清偿拖欠农民工工资负总责。</w:t>
      </w:r>
    </w:p>
    <w:p w14:paraId="7B537909">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3、支付农民工工资不低于陕西省最低工资标准</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4AB43B33">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4、我公司同意从正常支付中扣除5%相应款项作为农民工工资保证金：每年元月份和8月份，贵方视我公司对农民工工资支付情况，据实结算返还剩余的保证金。</w:t>
      </w:r>
    </w:p>
    <w:p w14:paraId="727C16F2">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5、成交供应商项目经理部是农民工工资支付行为主体，成交供应商的项目经理或授权的项目副经理是农民工工资支付的责任人。项目经理部要建立全体农民工花名册和工资支付表，确保将工资直接发放给农民工本人，或委托银行发放工资，严禁发放给“包工头”或其他不具备用工主体资格的组织和个人。</w:t>
      </w:r>
    </w:p>
    <w:p w14:paraId="0AF52666">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二、（成交供应商）承诺出现拖欠材料、设备货款及农民工工资的情况后，成交供应商接受贵方对我们所采取的如下任何处理措施：</w:t>
      </w:r>
    </w:p>
    <w:p w14:paraId="77EF3FE0">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贵方有权终止成交供应商在本标段的承包，或将本标段工程中部分工作交由其他成交供应商或特殊分包人完成，（成交供应商）无条件按照业主规定的期限退场或接受调遣。在不解除本合同规定的成交供应商责任和义务的同时，由此引起的责任及相关费用均由成交供应商承担；</w:t>
      </w:r>
    </w:p>
    <w:p w14:paraId="1479AF1B">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2、同意贵方从正常支付中扣除5%相应款项，代为支付所欠材料、设备货款、工程款和农民工工资，不足部分直接从履约担保中扣除；</w:t>
      </w:r>
    </w:p>
    <w:p w14:paraId="48A14E45">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3、同意承担本标段清场而引起的材料、供货、设备租用、农民工工资和其他相关损失费用。</w:t>
      </w:r>
    </w:p>
    <w:p w14:paraId="426BA307">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（成交供应商）还承诺，愿意承担与之相应的连带法律责任和交通主管部门予以通报及行政处罚直至列入信用评价“黑名单”等处罚。</w:t>
      </w:r>
    </w:p>
    <w:p w14:paraId="2731E1A8">
      <w:pPr>
        <w:widowControl/>
        <w:autoSpaceDE w:val="0"/>
        <w:autoSpaceDN w:val="0"/>
        <w:adjustRightInd w:val="0"/>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本承诺自合同签订之日起生效，在收到交工证书之日失效。</w:t>
      </w:r>
    </w:p>
    <w:p w14:paraId="165F68B2">
      <w:pPr>
        <w:spacing w:line="360" w:lineRule="auto"/>
        <w:ind w:firstLine="480" w:firstLineChars="200"/>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p>
    <w:p w14:paraId="58C8BEC4">
      <w:pPr>
        <w:spacing w:line="360" w:lineRule="auto"/>
        <w:ind w:firstLine="480" w:firstLineChars="200"/>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供应商名称：</w:t>
      </w:r>
    </w:p>
    <w:p w14:paraId="201F6DA3">
      <w:pPr>
        <w:spacing w:line="360" w:lineRule="auto"/>
        <w:ind w:firstLine="5520" w:firstLineChars="23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法人代表：</w:t>
      </w:r>
    </w:p>
    <w:p w14:paraId="36CD0F8F">
      <w:pPr>
        <w:spacing w:line="360" w:lineRule="auto"/>
        <w:ind w:firstLine="480" w:firstLineChars="200"/>
        <w:jc w:val="righ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p w14:paraId="69C01921"/>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2MGE3NzI4MDUwMzliYjZjYmMzZmQ4N2QwMWY5ZmQifQ=="/>
  </w:docVars>
  <w:rsids>
    <w:rsidRoot w:val="00000000"/>
    <w:rsid w:val="368E20CC"/>
    <w:rsid w:val="38FC548A"/>
    <w:rsid w:val="3B4E14F1"/>
    <w:rsid w:val="52E87860"/>
    <w:rsid w:val="7E2F72C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qFormat/>
    <w:uiPriority w:val="99"/>
    <w:rPr>
      <w:rFonts w:cs="Times New Roman"/>
      <w:kern w:val="0"/>
    </w:rPr>
  </w:style>
  <w:style w:type="paragraph" w:customStyle="1" w:styleId="5">
    <w:name w:val="纯文本1"/>
    <w:basedOn w:val="1"/>
    <w:qFormat/>
    <w:uiPriority w:val="0"/>
    <w:rPr>
      <w:rFonts w:ascii="宋体" w:hAnsi="Courier New" w:cs="Times New Roman"/>
      <w:szCs w:val="22"/>
    </w:rPr>
  </w:style>
  <w:style w:type="paragraph" w:customStyle="1" w:styleId="6">
    <w:name w:val="_Style 3"/>
    <w:qFormat/>
    <w:uiPriority w:val="1"/>
    <w:pPr>
      <w:widowControl w:val="0"/>
      <w:jc w:val="both"/>
    </w:pPr>
    <w:rPr>
      <w:rFonts w:ascii="Calibri" w:hAnsi="Calibri" w:eastAsia="宋体" w:cs="宋体"/>
      <w:kern w:val="2"/>
      <w:sz w:val="21"/>
      <w:szCs w:val="22"/>
      <w:lang w:val="en-US" w:eastAsia="zh-CN" w:bidi="ar-SA"/>
    </w:rPr>
  </w:style>
  <w:style w:type="paragraph" w:customStyle="1" w:styleId="7">
    <w:name w:val="正文缩进1"/>
    <w:basedOn w:val="1"/>
    <w:qFormat/>
    <w:uiPriority w:val="0"/>
    <w:pPr>
      <w:autoSpaceDE w:val="0"/>
      <w:autoSpaceDN w:val="0"/>
      <w:adjustRightInd w:val="0"/>
      <w:ind w:firstLine="420"/>
      <w:jc w:val="left"/>
    </w:pPr>
    <w:rPr>
      <w:rFonts w:ascii="宋体"/>
      <w:kern w:val="0"/>
      <w:sz w:val="24"/>
    </w:rPr>
  </w:style>
  <w:style w:type="paragraph" w:customStyle="1" w:styleId="8">
    <w:name w:val="Char"/>
    <w:basedOn w:val="1"/>
    <w:qFormat/>
    <w:uiPriority w:val="99"/>
    <w:rPr>
      <w:rFonts w:cs="Calibri"/>
    </w:r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11695</Words>
  <Characters>12066</Characters>
  <Lines>0</Lines>
  <Paragraphs>0</Paragraphs>
  <TotalTime>0</TotalTime>
  <ScaleCrop>false</ScaleCrop>
  <LinksUpToDate>false</LinksUpToDate>
  <CharactersWithSpaces>13399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2024-07-12T01:23:00Z</dcterms:created>
  <dc:creator>DELL</dc:creator>
  <cp:lastModifiedBy>sgyh</cp:lastModifiedBy>
  <dcterms:modified xsi:type="dcterms:W3CDTF">2026-06-12T03:53:50Z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96ABA02781B041C0BA2AB655117E4C87_13</vt:lpwstr>
  </property>
  <property fmtid="{D5CDD505-2E9C-101B-9397-08002B2CF9AE}" pid="4" name="KSOTemplateDocerSaveRecord">
    <vt:lpwstr>eyJoZGlkIjoiMjlmN2I3NTM2MGJhNTQ4Mjg5MGIyZTExN2VmNDgwMDMiLCJ1c2VySWQiOiIxMzk1ODQ4MzgxIn0=</vt:lpwstr>
  </property>
</Properties>
</file>