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eastAsia="zh-CN"/>
        </w:rPr>
        <w:t>硬件指标响应</w:t>
      </w:r>
    </w:p>
    <w:p w14:paraId="36521742">
      <w:pPr>
        <w:jc w:val="center"/>
        <w:rPr>
          <w:rFonts w:ascii="仿宋_GB2312" w:hAnsi="仿宋_GB2312" w:eastAsia="仿宋_GB2312" w:cs="仿宋_GB2312"/>
          <w:b w:val="0"/>
          <w:bCs w:val="0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6"/>
          <w:szCs w:val="36"/>
          <w:highlight w:val="none"/>
          <w:lang w:eastAsia="zh-CN"/>
        </w:rPr>
        <w:t>（各供应商根据评审办法，自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6"/>
          <w:szCs w:val="36"/>
          <w:highlight w:val="none"/>
          <w:lang w:eastAsia="zh-CN"/>
        </w:rPr>
        <w:t>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F5B16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