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版本号：南采NC【2026】18号20260814001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门诊住院综合楼外立面维修加固改造</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南采NC【2026】18号</w:t>
      </w:r>
      <w:r>
        <w:br/>
      </w:r>
      <w:r>
        <w:br/>
      </w:r>
      <w:r>
        <w:br/>
      </w:r>
    </w:p>
    <w:p>
      <w:pPr>
        <w:pStyle w:val="null3"/>
        <w:jc w:val="center"/>
        <w:outlineLvl w:val="2"/>
      </w:pPr>
      <w:r>
        <w:rPr>
          <w:rFonts w:ascii="仿宋_GB2312" w:hAnsi="仿宋_GB2312" w:cs="仿宋_GB2312" w:eastAsia="仿宋_GB2312"/>
          <w:sz w:val="28"/>
          <w:b/>
        </w:rPr>
        <w:t>汉中市南郑区妇幼保健计划生育服务中心</w:t>
      </w:r>
    </w:p>
    <w:p>
      <w:pPr>
        <w:pStyle w:val="null3"/>
        <w:jc w:val="center"/>
        <w:outlineLvl w:val="2"/>
      </w:pPr>
      <w:r>
        <w:rPr>
          <w:rFonts w:ascii="仿宋_GB2312" w:hAnsi="仿宋_GB2312" w:cs="仿宋_GB2312" w:eastAsia="仿宋_GB2312"/>
          <w:sz w:val="28"/>
          <w:b/>
        </w:rPr>
        <w:t>南郑区政府采购中心</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2026年08月20日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南郑区政府采购中心</w:t>
      </w:r>
      <w:r>
        <w:rPr>
          <w:rFonts w:ascii="仿宋_GB2312" w:hAnsi="仿宋_GB2312" w:cs="仿宋_GB2312" w:eastAsia="仿宋_GB2312"/>
        </w:rPr>
        <w:t>（以下简称“代理机构”）受</w:t>
      </w:r>
      <w:r>
        <w:rPr>
          <w:rFonts w:ascii="仿宋_GB2312" w:hAnsi="仿宋_GB2312" w:cs="仿宋_GB2312" w:eastAsia="仿宋_GB2312"/>
        </w:rPr>
        <w:t>汉中市南郑区妇幼保健计划生育服务中心</w:t>
      </w:r>
      <w:r>
        <w:rPr>
          <w:rFonts w:ascii="仿宋_GB2312" w:hAnsi="仿宋_GB2312" w:cs="仿宋_GB2312" w:eastAsia="仿宋_GB2312"/>
        </w:rPr>
        <w:t>委托，拟对</w:t>
      </w:r>
      <w:r>
        <w:rPr>
          <w:rFonts w:ascii="仿宋_GB2312" w:hAnsi="仿宋_GB2312" w:cs="仿宋_GB2312" w:eastAsia="仿宋_GB2312"/>
        </w:rPr>
        <w:t>门诊住院综合楼外立面维修加固改造</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南采NC【2026】18号</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门诊住院综合楼外立面维修加固改造</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本项目位于汉中市南郑区妇幼保健院院内，主要修缮内容为门诊住院综合楼外立面维修加固改造，工程具体内容以设计图纸为准。</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采购包1（汉中市南郑区妇幼保健计划生育服务中心门诊住院综合楼外立面维修加固改造）：属于专门面向中小企业采购。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基本资格：供应商应为合法注册的企业法人、事业法人、其他组织。企业法人应提供合法有效的标识有统一社会信用代码的营业执照；事业法人应提供事业单位法人证书；其他组织应提供合法登记证明文件</w:t>
      </w:r>
    </w:p>
    <w:p>
      <w:pPr>
        <w:pStyle w:val="null3"/>
      </w:pPr>
      <w:r>
        <w:rPr>
          <w:rFonts w:ascii="仿宋_GB2312" w:hAnsi="仿宋_GB2312" w:cs="仿宋_GB2312" w:eastAsia="仿宋_GB2312"/>
        </w:rPr>
        <w:t>2、供应商资质要求：供应商应具备建设行政主管部门核发的建筑工程施工总承包三级（含三级）及其以上资质，资质证件在有效期内，且具有有效的安全生产许可证；供应商基本信息及项目负责人的基本信息应在“陕西省住房和城乡建设厅”或“全国建筑市场监管公共服务平台（四库一平台）”可查询</w:t>
      </w:r>
    </w:p>
    <w:p>
      <w:pPr>
        <w:pStyle w:val="null3"/>
      </w:pPr>
      <w:r>
        <w:rPr>
          <w:rFonts w:ascii="仿宋_GB2312" w:hAnsi="仿宋_GB2312" w:cs="仿宋_GB2312" w:eastAsia="仿宋_GB2312"/>
        </w:rPr>
        <w:t>3、拟派项⽬负责⼈资质和专业要求：证书等级：⼆级及以上建造师 专业：建筑⼯程 补充说明：取得安全考核B证（建安B证），且⽆在建⼯程</w:t>
      </w:r>
    </w:p>
    <w:p>
      <w:pPr>
        <w:pStyle w:val="null3"/>
      </w:pPr>
      <w:r>
        <w:rPr>
          <w:rFonts w:ascii="仿宋_GB2312" w:hAnsi="仿宋_GB2312" w:cs="仿宋_GB2312" w:eastAsia="仿宋_GB2312"/>
        </w:rPr>
        <w:t>4、供应商资格承诺函：供应商应按照汉中市财政局《关于全面推行政府采购供应商基本资格条件承诺制的通知》（汉采办采管〔2024〕20号）文件要求，提供资格承诺函</w:t>
      </w:r>
    </w:p>
    <w:p>
      <w:pPr>
        <w:pStyle w:val="null3"/>
      </w:pPr>
      <w:r>
        <w:rPr>
          <w:rFonts w:ascii="仿宋_GB2312" w:hAnsi="仿宋_GB2312" w:cs="仿宋_GB2312" w:eastAsia="仿宋_GB2312"/>
        </w:rPr>
        <w:t>5、法定代表人证明书及授权书：法定代表人亲自参加磋商活动时，应提供法定代表人证明书及身份证复印件；法定代表人委托代理人参加磋商活动时，应提供法定代表人授权书。如法人的分支机构参与磋商活动的，除提供《法定代表人授权书》外，还须同时提供法人给分支机构出具的授权书，并加盖公章。法人只能授权一家分支机构参与磋商活动，且不能与分支机构同时参与磋商活动。</w:t>
      </w:r>
    </w:p>
    <w:p>
      <w:pPr>
        <w:pStyle w:val="null3"/>
      </w:pPr>
      <w:r>
        <w:rPr>
          <w:rFonts w:ascii="仿宋_GB2312" w:hAnsi="仿宋_GB2312" w:cs="仿宋_GB2312" w:eastAsia="仿宋_GB2312"/>
        </w:rPr>
        <w:t>6、是否面向中、小企业：本项目为专门面向中小企业项目，响应人应为中型企业、小型企业、微型企业或监狱企业或残疾人福利性单位。提供《中小企业声明函》；响应人为监狱企业的，应提供监狱企业的证明文件；响应人为残疾人福利性单位的，应提供《残疾人福利性单位声明函》（监狱企业或残疾人福利性单位视同小型、微型企业）。</w:t>
      </w:r>
    </w:p>
    <w:p>
      <w:pPr>
        <w:pStyle w:val="null3"/>
      </w:pPr>
      <w:r>
        <w:rPr>
          <w:rFonts w:ascii="仿宋_GB2312" w:hAnsi="仿宋_GB2312" w:cs="仿宋_GB2312" w:eastAsia="仿宋_GB2312"/>
        </w:rPr>
        <w:t>7、其他要求：本项目不接受联合体投标，供应商需提供非联合体书面声明。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汉中市南郑区妇幼保健计划生育服务中心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南郑区汉山街道办汉山路12号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汉中市南郑区妇幼保健计划生育服务中心经办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0916-5512208</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南郑区政府采购中心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 xml:space="preserve"> 汉中市南郑区县城南大街区绩效评价中心五楼区政府采购中心</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 xml:space="preserve"> 南郑区政府采购中心业务股经办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0916-2995589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南郑县政府采购管理股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程辉</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15991836389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采购包1：450,000.00元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本项目不收取代理服务费</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汉中市南郑区妇幼保健计划生育服务中心</w:t>
      </w:r>
      <w:r>
        <w:rPr>
          <w:rFonts w:ascii="仿宋_GB2312" w:hAnsi="仿宋_GB2312" w:cs="仿宋_GB2312" w:eastAsia="仿宋_GB2312"/>
        </w:rPr>
        <w:t>和</w:t>
      </w:r>
      <w:r>
        <w:rPr>
          <w:rFonts w:ascii="仿宋_GB2312" w:hAnsi="仿宋_GB2312" w:cs="仿宋_GB2312" w:eastAsia="仿宋_GB2312"/>
        </w:rPr>
        <w:t>南郑区政府采购中心</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汉中市南郑区妇幼保健计划生育服务中心</w:t>
      </w:r>
      <w:r>
        <w:rPr>
          <w:rFonts w:ascii="仿宋_GB2312" w:hAnsi="仿宋_GB2312" w:cs="仿宋_GB2312" w:eastAsia="仿宋_GB2312"/>
        </w:rPr>
        <w:t>负责解释。除上述磋商文件内容，其他内容由</w:t>
      </w:r>
      <w:r>
        <w:rPr>
          <w:rFonts w:ascii="仿宋_GB2312" w:hAnsi="仿宋_GB2312" w:cs="仿宋_GB2312" w:eastAsia="仿宋_GB2312"/>
        </w:rPr>
        <w:t>南郑区政府采购中心</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汉中市南郑区妇幼保健计划生育服务中心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南郑区政府采购中心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 三、如采用供应商所不拥有的知识产权，则在报价中必须包括合法使用该知识产权的相关费用。 四、构成本磋商文件的各组成部分，未经采购人书面同意，供应商不得擅自复印或用于非本磋商项目所需的其他目的。</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采购包1：项目包干价</w:t>
      </w:r>
    </w:p>
    <w:p>
      <w:pPr>
        <w:pStyle w:val="null3"/>
      </w:pPr>
      <w:r>
        <w:rPr>
          <w:rFonts w:ascii="仿宋_GB2312" w:hAnsi="仿宋_GB2312" w:cs="仿宋_GB2312" w:eastAsia="仿宋_GB2312"/>
        </w:rPr>
        <w:t>项目包干价。适用于设计施工图纸详尽完善（即工程量固定），投资规模较小、施工工期较短且施工内容相对简单的工程项目。</w:t>
      </w:r>
    </w:p>
    <w:p>
      <w:pPr>
        <w:pStyle w:val="null3"/>
      </w:pPr>
      <w:r>
        <w:rPr>
          <w:rFonts w:ascii="仿宋_GB2312" w:hAnsi="仿宋_GB2312" w:cs="仿宋_GB2312" w:eastAsia="仿宋_GB2312"/>
        </w:rPr>
        <w:t>参加采购活动的供应商应当全部响应采购人提供的工程量清单，供应商直接给出其完成本项目全部工作内容所需的总价，不再提供已标价工程量清单。</w:t>
      </w:r>
    </w:p>
    <w:p>
      <w:pPr>
        <w:pStyle w:val="null3"/>
      </w:pPr>
      <w:r>
        <w:rPr>
          <w:rFonts w:ascii="仿宋_GB2312" w:hAnsi="仿宋_GB2312" w:cs="仿宋_GB2312" w:eastAsia="仿宋_GB2312"/>
        </w:rPr>
        <w:t>说明：采购人选择采用此种报价方式的，应当科学测算项目工程量，避免工程量调整造成履约纠纷。</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执行《建筑工程施工质量验收统一标准》GB50300-2013等相关质量验收规范要求</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汉中市南郑区妇幼保健计划生育服务中心</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南郑区政府采购中心</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南郑区政府采购中心</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联系人：李青茂</w:t>
      </w:r>
    </w:p>
    <w:p>
      <w:pPr>
        <w:pStyle w:val="null3"/>
      </w:pPr>
      <w:r>
        <w:rPr>
          <w:rFonts w:ascii="仿宋_GB2312" w:hAnsi="仿宋_GB2312" w:cs="仿宋_GB2312" w:eastAsia="仿宋_GB2312"/>
        </w:rPr>
        <w:t>联系电话：0916-2995594</w:t>
      </w:r>
    </w:p>
    <w:p>
      <w:pPr>
        <w:pStyle w:val="null3"/>
      </w:pPr>
      <w:r>
        <w:rPr>
          <w:rFonts w:ascii="仿宋_GB2312" w:hAnsi="仿宋_GB2312" w:cs="仿宋_GB2312" w:eastAsia="仿宋_GB2312"/>
        </w:rPr>
        <w:t>地址：汉中市南郑区县城南大街区绩效评价中心五楼区政府采购中心</w:t>
      </w:r>
    </w:p>
    <w:p>
      <w:pPr>
        <w:pStyle w:val="null3"/>
      </w:pPr>
      <w:r>
        <w:rPr>
          <w:rFonts w:ascii="仿宋_GB2312" w:hAnsi="仿宋_GB2312" w:cs="仿宋_GB2312" w:eastAsia="仿宋_GB2312"/>
        </w:rPr>
        <w:t>邮编：723100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450,000.00</w:t>
      </w:r>
    </w:p>
    <w:p>
      <w:pPr>
        <w:pStyle w:val="null3"/>
      </w:pPr>
      <w:r>
        <w:rPr>
          <w:rFonts w:ascii="仿宋_GB2312" w:hAnsi="仿宋_GB2312" w:cs="仿宋_GB2312" w:eastAsia="仿宋_GB2312"/>
        </w:rPr>
        <w:t>采购包最高限价（元）: 406,800.53</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门诊住院综合楼外立面维修加固改造项目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450,000.00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标的名称：门诊住院综合楼外立面维修加固改造项目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1"/>
              </w:rPr>
              <w:t>工期：</w:t>
            </w:r>
            <w:r>
              <w:rPr>
                <w:rFonts w:ascii="仿宋_GB2312" w:hAnsi="仿宋_GB2312" w:cs="仿宋_GB2312" w:eastAsia="仿宋_GB2312"/>
                <w:sz w:val="21"/>
              </w:rPr>
              <w:t>30日历天</w:t>
            </w:r>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工程质量:合格，满足设计文件及相关规范要求</w:t>
            </w:r>
          </w:p>
        </w:tc>
      </w:tr>
      <w:tr>
        <w:tc>
          <w:tcPr>
            <w:tcW w:type="dxa" w:w="2769"/>
          </w:tcPr>
          <w:p>
            <w:pPr>
              <w:pStyle w:val="null3"/>
            </w:pPr>
            <w:r>
              <w:rPr>
                <w:rFonts w:ascii="仿宋_GB2312" w:hAnsi="仿宋_GB2312" w:cs="仿宋_GB2312" w:eastAsia="仿宋_GB2312"/>
              </w:rPr>
              <w:t>3</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质保期:2年</w:t>
            </w:r>
          </w:p>
        </w:tc>
      </w:tr>
      <w:tr>
        <w:tc>
          <w:tcPr>
            <w:tcW w:type="dxa" w:w="2769"/>
          </w:tcPr>
          <w:p>
            <w:pPr>
              <w:pStyle w:val="null3"/>
            </w:pPr>
            <w:r>
              <w:rPr>
                <w:rFonts w:ascii="仿宋_GB2312" w:hAnsi="仿宋_GB2312" w:cs="仿宋_GB2312" w:eastAsia="仿宋_GB2312"/>
              </w:rPr>
              <w:t>4</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1"/>
              </w:rPr>
              <w:t>安全目标：项目建设期内无安全事故发生</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pPr>
            <w:r>
              <w:rPr>
                <w:rFonts w:ascii="仿宋_GB2312" w:hAnsi="仿宋_GB2312" w:cs="仿宋_GB2312" w:eastAsia="仿宋_GB2312"/>
              </w:rPr>
              <w:t>供应商可自行联系采购人进行踏勘</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本项目施工及验收必须严格执行国家、行业及地方现行有效的技术规范、标准、规程及图集，包括但不限于： 1.《建筑工程施工质量验收统一标准》GB 50300 2.《建筑装饰装修工程质量验收标准》GB 50210 3.《建筑结构加固工程施工质量验收规范》GB 50550 4.《混凝土结构加固设计规范》GB 50367 5.《建筑外墙防水工程技术规程》JGJ/T 235 6.《建筑施工高处作业安全技术规范》JGJ 80 7.《建筑机械使用安全技术规程》JGJ 33 8.《施工现场临时用电安全技术规范》JGJ 46 9.《建筑施工安全检查标准》JGJ 59 10.《建设工程施工现场环境与卫生标准》JGJ 146 11. 陕西省及汉中市现行地方工程建设标准、管理规定及相关图集。 上述标准规范如有新版本发布，以项目实施时最新有效版本为准。当不同规范标准条文出现不一致时，按国家强制性标准、地方强制性标准、行业标准、推荐性标准的优先级执行。本采购文件及设计图纸技术要求高于现行标准的，以采购文件及图纸要求为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1. 医院正常运营保障：本项目施工期间采购单位门诊、住院业务正常开展，供应商须制定专项施工组织方案，合理划分施工区段、错峰作业，不得影响医院正常诊疗秩序、患者就医通道及消防通道畅通。施工区域与医疗区域须设置硬质封闭隔离设施，并设置明显安全警示标识。 2. 高空作业安全防护：外立面维修加固涉及高处作业，供应商须搭设符合规范的外脚手架或采用高空作业平台，作业层满铺脚手板、设置防护栏杆和密目安全网，严禁高空抛物。作业下方须设置警戒区，安排专人监护，防止坠物伤人。 3. 降噪防尘控制：施工期间须采取有效降噪、防尘措施，切割、钻孔等产生扬尘的作业须湿法施工；易产生噪声的工序尽量避开医院诊疗高峰时段（8:00-12:00、14:00-17:00），确需连续作业的须提前书面报采购单位同意。 4. 材料进场检验：所有工程材料、构配件进场时须提供产品合格证、出厂检验报告，按规范要求进行进场复验，合格后方可使用。涉及结构安全的加固材料（如结构胶、碳纤维布、钢筋等）须见证取样送检。 5. 隐蔽工程验收：隐蔽工程覆盖前，供应商须提前24小时书面通知采购单位及监理（如有）进行验收，验收合格并签署记录后方可进行下道工序施工。未经验收擅自覆盖的，采购单位有权要求剥露检查，由此产生的费用和工期延误由供应商承担。 6. 成品保护：施工期间供应商须对既有建筑外立面、门窗、室内装修、医疗设备及周边设施采取有效保护措施，因施工造成损坏的须无偿修复或赔偿。 7. 竣工验收资料：工程完工后供应商须提交完整的竣工验收资料，包括但不限于：竣工图、材料合格证及检验报告、隐蔽工程验收记录、分项分部工程验收记录、结构加固检测报告（如涉及）、施工日志等，资料份数满足采购单位及城建档案管理要求。 8. 质保期服务：质保期内出现质量问题，供应商须在接到采购单位通知后24小时内响应、48小时内到场维修，紧急情况（如外立面脱落、渗漏影响安全）须在4小时内到场处置。质保期满前须进行一次全面检查并出具检查报告。</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一、工期：30日历天； 二、支付方式：一次付清 ； 三、合同支付约定：1.进度款，合同签订并正式开工后，达到付款条件起5个工作日内，支付合同总金额的20.0%。2.工程进度达到50%，达到付款条件起5个工作日内，支付合同总金额的30.0%。3.工程实际总金额以审计认定金额为准。 4.工程完工，审计完成，达到付款条件起10个工作日内，扣除审计认定金额的5%质保金外，支付剩余部分金额。达到付款条件起10个工作日内，支付合同总金额的100.0% ； 四、验收组织方式：自行验收； 五、履约验收时间：供应商提出验收申请之日起15日内组织验收； 六、履约验收标准：执行《建筑工程施工质量验收统一标准》GB50300-2013等相关质量验收规范要求； 七、质量保修范围和保修期：1.保修范围：工程建设内容包含的一切建筑物、构筑物。2.保修期：2年</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 汉中市政府采购供应商资格承诺函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控股管理关系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响应函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供应商基本资格</w:t>
            </w:r>
          </w:p>
        </w:tc>
        <w:tc>
          <w:tcPr>
            <w:tcW w:type="dxa" w:w="3322"/>
          </w:tcPr>
          <w:p>
            <w:pPr>
              <w:pStyle w:val="null3"/>
            </w:pPr>
            <w:r>
              <w:rPr>
                <w:rFonts w:ascii="仿宋_GB2312" w:hAnsi="仿宋_GB2312" w:cs="仿宋_GB2312" w:eastAsia="仿宋_GB2312"/>
              </w:rPr>
              <w:t>供应商应为合法注册的企业法人、事业法人、其他组织。企业法人应提供合法有效的标识有统一社会信用代码的营业执照；事业法人应提供事业单位法人证书；其他组织应提供合法登记证明文件</w:t>
            </w:r>
          </w:p>
        </w:tc>
        <w:tc>
          <w:tcPr>
            <w:tcW w:type="dxa" w:w="1661"/>
          </w:tcPr>
          <w:p>
            <w:pPr>
              <w:pStyle w:val="null3"/>
            </w:pPr>
            <w:r>
              <w:rPr>
                <w:rFonts w:ascii="仿宋_GB2312" w:hAnsi="仿宋_GB2312" w:cs="仿宋_GB2312" w:eastAsia="仿宋_GB2312"/>
              </w:rPr>
              <w:t>营业执照等主体资格证明文件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供应商资质要求</w:t>
            </w:r>
          </w:p>
        </w:tc>
        <w:tc>
          <w:tcPr>
            <w:tcW w:type="dxa" w:w="3322"/>
          </w:tcPr>
          <w:p>
            <w:pPr>
              <w:pStyle w:val="null3"/>
            </w:pPr>
            <w:r>
              <w:rPr>
                <w:rFonts w:ascii="仿宋_GB2312" w:hAnsi="仿宋_GB2312" w:cs="仿宋_GB2312" w:eastAsia="仿宋_GB2312"/>
              </w:rPr>
              <w:t>供应商应具备建设行政主管部门核发的建筑工程施工总承包三级（含三级）及其以上资质，资质证件在有效期内，且具有有效的安全生产许可证；供应商基本信息及项目负责人的基本信息应在“陕西省住房和城乡建设厅”或“全国建筑市场监管公共服务平台（四库一平台）”可查询</w:t>
            </w:r>
          </w:p>
        </w:tc>
        <w:tc>
          <w:tcPr>
            <w:tcW w:type="dxa" w:w="1661"/>
          </w:tcPr>
          <w:p>
            <w:pPr>
              <w:pStyle w:val="null3"/>
            </w:pPr>
            <w:r>
              <w:rPr>
                <w:rFonts w:ascii="仿宋_GB2312" w:hAnsi="仿宋_GB2312" w:cs="仿宋_GB2312" w:eastAsia="仿宋_GB2312"/>
              </w:rPr>
              <w:t>特殊资质证明</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拟派项⽬负责⼈资质和专业要求</w:t>
            </w:r>
          </w:p>
        </w:tc>
        <w:tc>
          <w:tcPr>
            <w:tcW w:type="dxa" w:w="3322"/>
          </w:tcPr>
          <w:p>
            <w:pPr>
              <w:pStyle w:val="null3"/>
            </w:pPr>
            <w:r>
              <w:rPr>
                <w:rFonts w:ascii="仿宋_GB2312" w:hAnsi="仿宋_GB2312" w:cs="仿宋_GB2312" w:eastAsia="仿宋_GB2312"/>
              </w:rPr>
              <w:t>证书等级：⼆级及以上建造师 专业：建筑⼯程 补充说明：取得安全考核B证（建安B证），且⽆在建⼯程</w:t>
            </w:r>
          </w:p>
        </w:tc>
        <w:tc>
          <w:tcPr>
            <w:tcW w:type="dxa" w:w="1661"/>
          </w:tcPr>
          <w:p>
            <w:pPr>
              <w:pStyle w:val="null3"/>
            </w:pPr>
            <w:r>
              <w:rPr>
                <w:rFonts w:ascii="仿宋_GB2312" w:hAnsi="仿宋_GB2312" w:cs="仿宋_GB2312" w:eastAsia="仿宋_GB2312"/>
              </w:rPr>
              <w:t>项目管理机构组成表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供应商资格承诺函</w:t>
            </w:r>
          </w:p>
        </w:tc>
        <w:tc>
          <w:tcPr>
            <w:tcW w:type="dxa" w:w="3322"/>
          </w:tcPr>
          <w:p>
            <w:pPr>
              <w:pStyle w:val="null3"/>
            </w:pPr>
            <w:r>
              <w:rPr>
                <w:rFonts w:ascii="仿宋_GB2312" w:hAnsi="仿宋_GB2312" w:cs="仿宋_GB2312" w:eastAsia="仿宋_GB2312"/>
              </w:rPr>
              <w:t>供应商应按照汉中市财政局《关于全面推行政府采购供应商基本资格条件承诺制的通知》（汉采办采管〔2024〕20号）文件要求，提供资格承诺函</w:t>
            </w:r>
          </w:p>
        </w:tc>
        <w:tc>
          <w:tcPr>
            <w:tcW w:type="dxa" w:w="1661"/>
          </w:tcPr>
          <w:p>
            <w:pPr>
              <w:pStyle w:val="null3"/>
            </w:pPr>
            <w:r>
              <w:rPr>
                <w:rFonts w:ascii="仿宋_GB2312" w:hAnsi="仿宋_GB2312" w:cs="仿宋_GB2312" w:eastAsia="仿宋_GB2312"/>
              </w:rPr>
              <w:t>汉中市政府采购供应商资格承诺函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法定代表人证明书及授权书</w:t>
            </w:r>
          </w:p>
        </w:tc>
        <w:tc>
          <w:tcPr>
            <w:tcW w:type="dxa" w:w="3322"/>
          </w:tcPr>
          <w:p>
            <w:pPr>
              <w:pStyle w:val="null3"/>
            </w:pPr>
            <w:r>
              <w:rPr>
                <w:rFonts w:ascii="仿宋_GB2312" w:hAnsi="仿宋_GB2312" w:cs="仿宋_GB2312" w:eastAsia="仿宋_GB2312"/>
              </w:rPr>
              <w:t>法定代表人亲自参加磋商活动时，应提供法定代表人证明书及身份证复印件；法定代表人委托代理人参加磋商活动时，应提供法定代表人授权书。如法人的分支机构参与磋商活动的，除提供《法定代表人授权书》外，还须同时提供法人给分支机构出具的授权书，并加盖公章。法人只能授权一家分支机构参与磋商活动，且不能与分支机构同时参与磋商活动。</w:t>
            </w:r>
          </w:p>
        </w:tc>
        <w:tc>
          <w:tcPr>
            <w:tcW w:type="dxa" w:w="1661"/>
          </w:tcPr>
          <w:p>
            <w:pPr>
              <w:pStyle w:val="null3"/>
            </w:pPr>
            <w:r>
              <w:rPr>
                <w:rFonts w:ascii="仿宋_GB2312" w:hAnsi="仿宋_GB2312" w:cs="仿宋_GB2312" w:eastAsia="仿宋_GB2312"/>
              </w:rPr>
              <w:t>法定代表人证明书及法定代表人授权书</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是否面向中、小企业</w:t>
            </w:r>
          </w:p>
        </w:tc>
        <w:tc>
          <w:tcPr>
            <w:tcW w:type="dxa" w:w="3322"/>
          </w:tcPr>
          <w:p>
            <w:pPr>
              <w:pStyle w:val="null3"/>
            </w:pPr>
            <w:r>
              <w:rPr>
                <w:rFonts w:ascii="仿宋_GB2312" w:hAnsi="仿宋_GB2312" w:cs="仿宋_GB2312" w:eastAsia="仿宋_GB2312"/>
              </w:rPr>
              <w:t>本项目为专门面向中小企业项目，响应人应为中型企业、小型企业、微型企业或监狱企业或残疾人福利性单位。提供《中小企业声明函》；响应人为监狱企业的，应提供监狱企业的证明文件；响应人为残疾人福利性单位的，应提供《残疾人福利性单位声明函》（监狱企业或残疾人福利性单位视同小型、微型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其他要求</w:t>
            </w:r>
          </w:p>
        </w:tc>
        <w:tc>
          <w:tcPr>
            <w:tcW w:type="dxa" w:w="3322"/>
          </w:tcPr>
          <w:p>
            <w:pPr>
              <w:pStyle w:val="null3"/>
            </w:pPr>
            <w:r>
              <w:rPr>
                <w:rFonts w:ascii="仿宋_GB2312" w:hAnsi="仿宋_GB2312" w:cs="仿宋_GB2312" w:eastAsia="仿宋_GB2312"/>
              </w:rPr>
              <w:t>本项目不接受联合体投标，供应商需提供非联合体书面声明。</w:t>
            </w:r>
          </w:p>
        </w:tc>
        <w:tc>
          <w:tcPr>
            <w:tcW w:type="dxa" w:w="1661"/>
          </w:tcPr>
          <w:p>
            <w:pPr>
              <w:pStyle w:val="null3"/>
            </w:pPr>
            <w:r>
              <w:rPr>
                <w:rFonts w:ascii="仿宋_GB2312" w:hAnsi="仿宋_GB2312" w:cs="仿宋_GB2312" w:eastAsia="仿宋_GB2312"/>
              </w:rPr>
              <w:t>非联合体磋商书面声明 响应函</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报价函 标的清单 技术服务合同条款及其他商务要求应答表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响应文件是否按竞争性磋商文件要求签署、盖章的</w:t>
            </w:r>
          </w:p>
        </w:tc>
        <w:tc>
          <w:tcPr>
            <w:tcW w:type="dxa" w:w="3322"/>
          </w:tcPr>
          <w:p>
            <w:pPr>
              <w:pStyle w:val="null3"/>
            </w:pPr>
            <w:r>
              <w:rPr>
                <w:rFonts w:ascii="仿宋_GB2312" w:hAnsi="仿宋_GB2312" w:cs="仿宋_GB2312" w:eastAsia="仿宋_GB2312"/>
              </w:rPr>
              <w:t>响应文件应按照竞争性磋商文件要求签署、盖章</w:t>
            </w:r>
          </w:p>
        </w:tc>
        <w:tc>
          <w:tcPr>
            <w:tcW w:type="dxa" w:w="1661"/>
          </w:tcPr>
          <w:p>
            <w:pPr>
              <w:pStyle w:val="null3"/>
            </w:pPr>
            <w:r>
              <w:rPr>
                <w:rFonts w:ascii="仿宋_GB2312" w:hAnsi="仿宋_GB2312" w:cs="仿宋_GB2312" w:eastAsia="仿宋_GB2312"/>
              </w:rPr>
              <w:t>非联合体磋商书面声明 营业执照等主体资格证明文件 中小企业声明函 技术服务合同条款及其他商务要求应答表 拒绝政府采购领域商业贿赂承诺书 控股管理关系 法定代表人证明书及法定代表人授权书 响应文件封面 项目管理机构组成表 特殊资质证明 残疾人福利性单位声明函 报价函 标的清单 供应商类似项目业绩一览表 项目整体实施方案 响应函 汉中市政府采购供应商资格承诺函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报价是否超过竞争性磋商文件中规定的预算金额或者最高限价</w:t>
            </w:r>
          </w:p>
        </w:tc>
        <w:tc>
          <w:tcPr>
            <w:tcW w:type="dxa" w:w="3322"/>
          </w:tcPr>
          <w:p>
            <w:pPr>
              <w:pStyle w:val="null3"/>
            </w:pPr>
            <w:r>
              <w:rPr>
                <w:rFonts w:ascii="仿宋_GB2312" w:hAnsi="仿宋_GB2312" w:cs="仿宋_GB2312" w:eastAsia="仿宋_GB2312"/>
              </w:rPr>
              <w:t>报价未超过竞争性磋商文件中规定的最高限价的</w:t>
            </w:r>
          </w:p>
        </w:tc>
        <w:tc>
          <w:tcPr>
            <w:tcW w:type="dxa" w:w="1661"/>
          </w:tcPr>
          <w:p>
            <w:pPr>
              <w:pStyle w:val="null3"/>
            </w:pPr>
            <w:r>
              <w:rPr>
                <w:rFonts w:ascii="仿宋_GB2312" w:hAnsi="仿宋_GB2312" w:cs="仿宋_GB2312" w:eastAsia="仿宋_GB2312"/>
              </w:rPr>
              <w:t>报价函 技术服务合同条款及其他商务要求应答表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响应文件是否含有采购人不能接受的附加条件的或其他情形</w:t>
            </w:r>
          </w:p>
        </w:tc>
        <w:tc>
          <w:tcPr>
            <w:tcW w:type="dxa" w:w="3322"/>
          </w:tcPr>
          <w:p>
            <w:pPr>
              <w:pStyle w:val="null3"/>
            </w:pPr>
            <w:r>
              <w:rPr>
                <w:rFonts w:ascii="仿宋_GB2312" w:hAnsi="仿宋_GB2312" w:cs="仿宋_GB2312" w:eastAsia="仿宋_GB2312"/>
              </w:rPr>
              <w:t>响应文件未含有采购人不能接受的附加条件的或其他情形</w:t>
            </w:r>
          </w:p>
        </w:tc>
        <w:tc>
          <w:tcPr>
            <w:tcW w:type="dxa" w:w="1661"/>
          </w:tcPr>
          <w:p>
            <w:pPr>
              <w:pStyle w:val="null3"/>
            </w:pPr>
            <w:r>
              <w:rPr>
                <w:rFonts w:ascii="仿宋_GB2312" w:hAnsi="仿宋_GB2312" w:cs="仿宋_GB2312" w:eastAsia="仿宋_GB2312"/>
              </w:rPr>
              <w:t>非联合体磋商书面声明 营业执照等主体资格证明文件 中小企业声明函 技术服务合同条款及其他商务要求应答表 拒绝政府采购领域商业贿赂承诺书 控股管理关系 法定代表人证明书及法定代表人授权书 响应文件封面 项目管理机构组成表 特殊资质证明 残疾人福利性单位声明函 报价函 标的清单 供应商类似项目业绩一览表 项目整体实施方案 响应函 汉中市政府采购供应商资格承诺函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是否发现法律、法规和竞争性磋商文件规定的其他无效情形</w:t>
            </w:r>
          </w:p>
        </w:tc>
        <w:tc>
          <w:tcPr>
            <w:tcW w:type="dxa" w:w="3322"/>
          </w:tcPr>
          <w:p>
            <w:pPr>
              <w:pStyle w:val="null3"/>
            </w:pPr>
            <w:r>
              <w:rPr>
                <w:rFonts w:ascii="仿宋_GB2312" w:hAnsi="仿宋_GB2312" w:cs="仿宋_GB2312" w:eastAsia="仿宋_GB2312"/>
              </w:rPr>
              <w:t>响应文件不存在法律、法规和竞争性磋商文件规定的其他无效情形</w:t>
            </w:r>
          </w:p>
        </w:tc>
        <w:tc>
          <w:tcPr>
            <w:tcW w:type="dxa" w:w="1661"/>
          </w:tcPr>
          <w:p>
            <w:pPr>
              <w:pStyle w:val="null3"/>
            </w:pPr>
            <w:r>
              <w:rPr>
                <w:rFonts w:ascii="仿宋_GB2312" w:hAnsi="仿宋_GB2312" w:cs="仿宋_GB2312" w:eastAsia="仿宋_GB2312"/>
              </w:rPr>
              <w:t>非联合体磋商书面声明 营业执照等主体资格证明文件 中小企业声明函 技术服务合同条款及其他商务要求应答表 拒绝政府采购领域商业贿赂承诺书 控股管理关系 法定代表人证明书及法定代表人授权书 响应文件封面 项目管理机构组成表 特殊资质证明 残疾人福利性单位声明函 报价函 标的清单 供应商类似项目业绩一览表 项目整体实施方案 响应函 汉中市政府采购供应商资格承诺函 监狱企业的证明文件</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详细评审100.00分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供应商业绩</w:t>
            </w:r>
          </w:p>
        </w:tc>
        <w:tc>
          <w:tcPr>
            <w:tcW w:type="dxa" w:w="2492"/>
          </w:tcPr>
          <w:p>
            <w:pPr>
              <w:pStyle w:val="null3"/>
            </w:pPr>
            <w:r>
              <w:rPr>
                <w:rFonts w:ascii="仿宋_GB2312" w:hAnsi="仿宋_GB2312" w:cs="仿宋_GB2312" w:eastAsia="仿宋_GB2312"/>
              </w:rPr>
              <w:t>供应商 2023 年 1 月 1 日起（以施工合同签订时间为准）至本项目递交截止时间止类似工程业绩，每有 1 项得1.5分，最多得6 分。 评审依据：以施工合同复印件或扫描件为准。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tc>
      </w:tr>
      <w:tr>
        <w:tc>
          <w:tcPr>
            <w:tcW w:type="dxa" w:w="831"/>
            <w:vMerge/>
          </w:tcPr>
          <w:p/>
        </w:tc>
        <w:tc>
          <w:tcPr>
            <w:tcW w:type="dxa" w:w="1661"/>
          </w:tcPr>
          <w:p>
            <w:pPr>
              <w:pStyle w:val="null3"/>
            </w:pPr>
            <w:r>
              <w:rPr>
                <w:rFonts w:ascii="仿宋_GB2312" w:hAnsi="仿宋_GB2312" w:cs="仿宋_GB2312" w:eastAsia="仿宋_GB2312"/>
              </w:rPr>
              <w:t>项目部管理人员配置</w:t>
            </w:r>
          </w:p>
        </w:tc>
        <w:tc>
          <w:tcPr>
            <w:tcW w:type="dxa" w:w="2492"/>
          </w:tcPr>
          <w:p>
            <w:pPr>
              <w:pStyle w:val="null3"/>
            </w:pPr>
            <w:r>
              <w:rPr>
                <w:rFonts w:ascii="仿宋_GB2312" w:hAnsi="仿宋_GB2312" w:cs="仿宋_GB2312" w:eastAsia="仿宋_GB2312"/>
              </w:rPr>
              <w:t>1.项目技术负责人具有工程类中级及以上技术职称，得3分；2.项目所配备地施工员、质检员、安全员、材料员、预算员具有相关岗位证书（或职业资格），全部满足得10分，每缺少一人或相应人员无证书证件扣 2 分，扣完为止。（供应商应提供相关人员证书证件复印件作为佐证材料，且上述人员必须为供应商员工，提供社保证明或其他能证明劳动关系的证明材料）</w:t>
            </w:r>
          </w:p>
        </w:tc>
        <w:tc>
          <w:tcPr>
            <w:tcW w:type="dxa" w:w="831"/>
          </w:tcPr>
          <w:p>
            <w:pPr>
              <w:pStyle w:val="null3"/>
              <w:jc w:val="right"/>
            </w:pPr>
            <w:r>
              <w:rPr>
                <w:rFonts w:ascii="仿宋_GB2312" w:hAnsi="仿宋_GB2312" w:cs="仿宋_GB2312" w:eastAsia="仿宋_GB2312"/>
              </w:rPr>
              <w:t>13.0000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项目整体实施方案</w:t>
            </w:r>
          </w:p>
        </w:tc>
      </w:tr>
      <w:tr>
        <w:tc>
          <w:tcPr>
            <w:tcW w:type="dxa" w:w="831"/>
            <w:vMerge/>
          </w:tcPr>
          <w:p/>
        </w:tc>
        <w:tc>
          <w:tcPr>
            <w:tcW w:type="dxa" w:w="1661"/>
          </w:tcPr>
          <w:p>
            <w:pPr>
              <w:pStyle w:val="null3"/>
            </w:pPr>
            <w:r>
              <w:rPr>
                <w:rFonts w:ascii="仿宋_GB2312" w:hAnsi="仿宋_GB2312" w:cs="仿宋_GB2312" w:eastAsia="仿宋_GB2312"/>
              </w:rPr>
              <w:t>拟投入项目机械设备及材料配备</w:t>
            </w:r>
          </w:p>
        </w:tc>
        <w:tc>
          <w:tcPr>
            <w:tcW w:type="dxa" w:w="2492"/>
          </w:tcPr>
          <w:p>
            <w:pPr>
              <w:pStyle w:val="null3"/>
            </w:pPr>
            <w:r>
              <w:rPr>
                <w:rFonts w:ascii="仿宋_GB2312" w:hAnsi="仿宋_GB2312" w:cs="仿宋_GB2312" w:eastAsia="仿宋_GB2312"/>
              </w:rPr>
              <w:t>供应商应针对本项目建设内容和相关技术要求编制机械设备配置表及材料配备表，每提供一个2.5分，满分5分，未提供不得分。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项目整体实施方案</w:t>
            </w:r>
          </w:p>
        </w:tc>
      </w:tr>
      <w:tr>
        <w:tc>
          <w:tcPr>
            <w:tcW w:type="dxa" w:w="831"/>
            <w:vMerge/>
          </w:tcPr>
          <w:p/>
        </w:tc>
        <w:tc>
          <w:tcPr>
            <w:tcW w:type="dxa" w:w="1661"/>
          </w:tcPr>
          <w:p>
            <w:pPr>
              <w:pStyle w:val="null3"/>
            </w:pPr>
            <w:r>
              <w:rPr>
                <w:rFonts w:ascii="仿宋_GB2312" w:hAnsi="仿宋_GB2312" w:cs="仿宋_GB2312" w:eastAsia="仿宋_GB2312"/>
              </w:rPr>
              <w:t>施工承诺</w:t>
            </w:r>
          </w:p>
        </w:tc>
        <w:tc>
          <w:tcPr>
            <w:tcW w:type="dxa" w:w="2492"/>
          </w:tcPr>
          <w:p>
            <w:pPr>
              <w:pStyle w:val="null3"/>
            </w:pPr>
            <w:r>
              <w:rPr>
                <w:rFonts w:ascii="仿宋_GB2312" w:hAnsi="仿宋_GB2312" w:cs="仿宋_GB2312" w:eastAsia="仿宋_GB2312"/>
              </w:rPr>
              <w:t>供应商针对本项目特点提供切实可行的施工安全承诺、文明施工承诺、施工质量保证和不得转包、分包承诺、工期保证承诺、施工环境承诺，保证按时按质按量完成本项目（均须提供承诺函，格式自拟）。二、赋分标准：每提供一项承诺得1分，满分5分。未提供此项内容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项目整体实施方案</w:t>
            </w:r>
          </w:p>
        </w:tc>
      </w:tr>
      <w:tr>
        <w:tc>
          <w:tcPr>
            <w:tcW w:type="dxa" w:w="831"/>
            <w:vMerge/>
          </w:tcPr>
          <w:p/>
        </w:tc>
        <w:tc>
          <w:tcPr>
            <w:tcW w:type="dxa" w:w="1661"/>
          </w:tcPr>
          <w:p>
            <w:pPr>
              <w:pStyle w:val="null3"/>
            </w:pPr>
            <w:r>
              <w:rPr>
                <w:rFonts w:ascii="仿宋_GB2312" w:hAnsi="仿宋_GB2312" w:cs="仿宋_GB2312" w:eastAsia="仿宋_GB2312"/>
              </w:rPr>
              <w:t>施工总体方案</w:t>
            </w:r>
          </w:p>
        </w:tc>
        <w:tc>
          <w:tcPr>
            <w:tcW w:type="dxa" w:w="2492"/>
          </w:tcPr>
          <w:p>
            <w:pPr>
              <w:pStyle w:val="null3"/>
            </w:pPr>
            <w:r>
              <w:rPr>
                <w:rFonts w:ascii="仿宋_GB2312" w:hAnsi="仿宋_GB2312" w:cs="仿宋_GB2312" w:eastAsia="仿宋_GB2312"/>
              </w:rPr>
              <w:t>供应商针对本项目编制施工总体方案：包括但不限于①施工现场布置；②施工总体思路；③主要分部分项工程施工工艺；④施工质量控制措施、工程超过15%增成量或变更，须提前书面申请，经建设方、设计方审批同意后方可实施，要出具承诺书；⑤季节性施工保障措施；⑥施工进度及安全文明管控方案；满分12分。每有一项缺项扣2分；每有一处内容存在缺陷，扣 1 分，扣完为止。备注：缺陷是指内容不合理、虽有内容但不完善、内容表述前后不一致、套用其他项目方案或与项目需求不匹配及其他不利于项目实施的等任意一种情形。未提供不得分。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项目整体实施方案</w:t>
            </w:r>
          </w:p>
        </w:tc>
      </w:tr>
      <w:tr>
        <w:tc>
          <w:tcPr>
            <w:tcW w:type="dxa" w:w="831"/>
            <w:vMerge/>
          </w:tcPr>
          <w:p/>
        </w:tc>
        <w:tc>
          <w:tcPr>
            <w:tcW w:type="dxa" w:w="1661"/>
          </w:tcPr>
          <w:p>
            <w:pPr>
              <w:pStyle w:val="null3"/>
            </w:pPr>
            <w:r>
              <w:rPr>
                <w:rFonts w:ascii="仿宋_GB2312" w:hAnsi="仿宋_GB2312" w:cs="仿宋_GB2312" w:eastAsia="仿宋_GB2312"/>
              </w:rPr>
              <w:t>项目实施的重点难点分析及对策</w:t>
            </w:r>
          </w:p>
        </w:tc>
        <w:tc>
          <w:tcPr>
            <w:tcW w:type="dxa" w:w="2492"/>
          </w:tcPr>
          <w:p>
            <w:pPr>
              <w:pStyle w:val="null3"/>
            </w:pPr>
            <w:r>
              <w:rPr>
                <w:rFonts w:ascii="仿宋_GB2312" w:hAnsi="仿宋_GB2312" w:cs="仿宋_GB2312" w:eastAsia="仿宋_GB2312"/>
              </w:rPr>
              <w:t>供应商针对本项目的实际情况，对项目的重点难点进行分析并提出相应对策：包括但不限于①对项目实施重点、难点的分析、②合理化建议、③解决方案； 满分 6 分。每有一项缺项扣 2 分；每有一处内容存在缺陷，扣 1 分，扣完为止。备注：缺陷是指内容不合理、虽有内容但不完善、内容表述前后不一致、套用其他项目方案或与项目需求不匹配及其他不利于项目实施的等任意一种情形。未提供不得分。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项目整体实施方案</w:t>
            </w:r>
          </w:p>
        </w:tc>
      </w:tr>
      <w:tr>
        <w:tc>
          <w:tcPr>
            <w:tcW w:type="dxa" w:w="831"/>
            <w:vMerge/>
          </w:tcPr>
          <w:p/>
        </w:tc>
        <w:tc>
          <w:tcPr>
            <w:tcW w:type="dxa" w:w="1661"/>
          </w:tcPr>
          <w:p>
            <w:pPr>
              <w:pStyle w:val="null3"/>
            </w:pPr>
            <w:r>
              <w:rPr>
                <w:rFonts w:ascii="仿宋_GB2312" w:hAnsi="仿宋_GB2312" w:cs="仿宋_GB2312" w:eastAsia="仿宋_GB2312"/>
              </w:rPr>
              <w:t>施工组织计划</w:t>
            </w:r>
          </w:p>
        </w:tc>
        <w:tc>
          <w:tcPr>
            <w:tcW w:type="dxa" w:w="2492"/>
          </w:tcPr>
          <w:p>
            <w:pPr>
              <w:pStyle w:val="null3"/>
            </w:pPr>
            <w:r>
              <w:rPr>
                <w:rFonts w:ascii="仿宋_GB2312" w:hAnsi="仿宋_GB2312" w:cs="仿宋_GB2312" w:eastAsia="仿宋_GB2312"/>
              </w:rPr>
              <w:t>供应商应针对本项目编制施工组织计划：包括但不限于①施工进度计划及保障措施、②交叉作业的协调方案、③新技术、新工艺、新工法应用； 满分 6 分。每有一项缺项扣 2 分；每有一处内容存在缺陷，扣 1 分，扣完为止。备注：缺陷是指内容不合理、虽有内容但不完善、内容表述前后不一致、套用其他项目方案或与项目需求不匹配及其他不利于项目实施的等任意一种情形。未提供不得分。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项目整体实施方案</w:t>
            </w:r>
          </w:p>
        </w:tc>
      </w:tr>
      <w:tr>
        <w:tc>
          <w:tcPr>
            <w:tcW w:type="dxa" w:w="831"/>
            <w:vMerge/>
          </w:tcPr>
          <w:p/>
        </w:tc>
        <w:tc>
          <w:tcPr>
            <w:tcW w:type="dxa" w:w="1661"/>
          </w:tcPr>
          <w:p>
            <w:pPr>
              <w:pStyle w:val="null3"/>
            </w:pPr>
            <w:r>
              <w:rPr>
                <w:rFonts w:ascii="仿宋_GB2312" w:hAnsi="仿宋_GB2312" w:cs="仿宋_GB2312" w:eastAsia="仿宋_GB2312"/>
              </w:rPr>
              <w:t>文明施工及环境保护组织措施</w:t>
            </w:r>
          </w:p>
        </w:tc>
        <w:tc>
          <w:tcPr>
            <w:tcW w:type="dxa" w:w="2492"/>
          </w:tcPr>
          <w:p>
            <w:pPr>
              <w:pStyle w:val="null3"/>
            </w:pPr>
            <w:r>
              <w:rPr>
                <w:rFonts w:ascii="仿宋_GB2312" w:hAnsi="仿宋_GB2312" w:cs="仿宋_GB2312" w:eastAsia="仿宋_GB2312"/>
              </w:rPr>
              <w:t>供应商应针对本项目编制文明施工及环境保护组织措施：包括但不限于①文明及环境保护管理制度；②防尘降噪、治污减霾措施；③节能减排措施； ④文明及环境保护施工监督检查机制等。 满分 4 分。每有一项缺项扣 1 分；每有一处内容存在缺陷，扣 0.5 分，扣完为止。备注：缺陷是指内容不合理、虽有内容但不完善、内容表述前后不一致、套用其他项目方案或与项目需求不匹配及其他不利于项目实施的等任意一种情形。未提供不得分。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项目整体实施方案</w:t>
            </w:r>
          </w:p>
        </w:tc>
      </w:tr>
      <w:tr>
        <w:tc>
          <w:tcPr>
            <w:tcW w:type="dxa" w:w="831"/>
            <w:vMerge/>
          </w:tcPr>
          <w:p/>
        </w:tc>
        <w:tc>
          <w:tcPr>
            <w:tcW w:type="dxa" w:w="1661"/>
          </w:tcPr>
          <w:p>
            <w:pPr>
              <w:pStyle w:val="null3"/>
            </w:pPr>
            <w:r>
              <w:rPr>
                <w:rFonts w:ascii="仿宋_GB2312" w:hAnsi="仿宋_GB2312" w:cs="仿宋_GB2312" w:eastAsia="仿宋_GB2312"/>
              </w:rPr>
              <w:t>安全生产方案</w:t>
            </w:r>
          </w:p>
        </w:tc>
        <w:tc>
          <w:tcPr>
            <w:tcW w:type="dxa" w:w="2492"/>
          </w:tcPr>
          <w:p>
            <w:pPr>
              <w:pStyle w:val="null3"/>
            </w:pPr>
            <w:r>
              <w:rPr>
                <w:rFonts w:ascii="仿宋_GB2312" w:hAnsi="仿宋_GB2312" w:cs="仿宋_GB2312" w:eastAsia="仿宋_GB2312"/>
              </w:rPr>
              <w:t>供应商应针对本项目编制安全生产方案：包括但不限于①安全生产管理制度；动火、高空作业人员持证上岗，不得冒名顶替，出具承诺书。②配置安全组织机构；动火、高空作业等提前1天书面申请，建设方审批，并提供人员名单及资质。③安全隐患排查、整改制度；④应急保障预案等。 满分8 分。每有一项缺项扣 2 分；每有一处内容存在缺陷，扣 1 分，扣完为止。备注：缺陷是指内容不合理、虽有内容但不完善、内容表述前后不一致、套用其他项目方案或与项目需求不匹配及其他不利于项目实施的等任意一种情形。未提供不得分。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项目整体实施方案</w:t>
            </w:r>
          </w:p>
        </w:tc>
      </w:tr>
      <w:tr>
        <w:tc>
          <w:tcPr>
            <w:tcW w:type="dxa" w:w="831"/>
            <w:vMerge/>
          </w:tcPr>
          <w:p/>
        </w:tc>
        <w:tc>
          <w:tcPr>
            <w:tcW w:type="dxa" w:w="1661"/>
          </w:tcPr>
          <w:p>
            <w:pPr>
              <w:pStyle w:val="null3"/>
            </w:pPr>
            <w:r>
              <w:rPr>
                <w:rFonts w:ascii="仿宋_GB2312" w:hAnsi="仿宋_GB2312" w:cs="仿宋_GB2312" w:eastAsia="仿宋_GB2312"/>
              </w:rPr>
              <w:t>工程质保承诺</w:t>
            </w:r>
          </w:p>
        </w:tc>
        <w:tc>
          <w:tcPr>
            <w:tcW w:type="dxa" w:w="2492"/>
          </w:tcPr>
          <w:p>
            <w:pPr>
              <w:pStyle w:val="null3"/>
            </w:pPr>
            <w:r>
              <w:rPr>
                <w:rFonts w:ascii="仿宋_GB2312" w:hAnsi="仿宋_GB2312" w:cs="仿宋_GB2312" w:eastAsia="仿宋_GB2312"/>
              </w:rPr>
              <w:t>供应商应编制适用于本项目的工程质量保证承诺书，内容应包含①保修范围；②保修期限；③售后服务团队配置；④质量保修责任；⑤售后响应时间。评分标准：承诺内容包含以上全部内容得5分，以上内容每有一项缺失扣1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项目整体实施方案</w:t>
            </w:r>
          </w:p>
        </w:tc>
      </w:tr>
      <w:tr>
        <w:tc>
          <w:tcPr>
            <w:tcW w:type="dxa" w:w="831"/>
            <w:vMerge/>
          </w:tcP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满足磋商文件要求且磋商响应最低的报价（最后的响应报价）为评审基准价，其价格分为满分。其他磋商供应商的价格分统一按照下列公式计算：磋商报价得分=（评标基准价/评标价）×价格权值%×100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报价函</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详见附件：非联合体磋商书面声明</w:t>
      </w:r>
    </w:p>
    <w:p>
      <w:pPr>
        <w:pStyle w:val="null3"/>
        <w:ind w:firstLine="960"/>
      </w:pPr>
      <w:r>
        <w:rPr>
          <w:rFonts w:ascii="仿宋_GB2312" w:hAnsi="仿宋_GB2312" w:cs="仿宋_GB2312" w:eastAsia="仿宋_GB2312"/>
        </w:rPr>
        <w:t>详见附件：汉中市政府采购供应商资格承诺函</w:t>
      </w:r>
    </w:p>
    <w:p>
      <w:pPr>
        <w:pStyle w:val="null3"/>
        <w:ind w:firstLine="960"/>
      </w:pPr>
      <w:r>
        <w:rPr>
          <w:rFonts w:ascii="仿宋_GB2312" w:hAnsi="仿宋_GB2312" w:cs="仿宋_GB2312" w:eastAsia="仿宋_GB2312"/>
        </w:rPr>
        <w:t>详见附件：拒绝政府采购领域商业贿赂承诺书</w:t>
      </w:r>
    </w:p>
    <w:p>
      <w:pPr>
        <w:pStyle w:val="null3"/>
        <w:ind w:firstLine="960"/>
      </w:pPr>
      <w:r>
        <w:rPr>
          <w:rFonts w:ascii="仿宋_GB2312" w:hAnsi="仿宋_GB2312" w:cs="仿宋_GB2312" w:eastAsia="仿宋_GB2312"/>
        </w:rPr>
        <w:t>详见附件：控股管理关系</w:t>
      </w:r>
    </w:p>
    <w:p>
      <w:pPr>
        <w:pStyle w:val="null3"/>
        <w:ind w:firstLine="960"/>
      </w:pPr>
      <w:r>
        <w:rPr>
          <w:rFonts w:ascii="仿宋_GB2312" w:hAnsi="仿宋_GB2312" w:cs="仿宋_GB2312" w:eastAsia="仿宋_GB2312"/>
        </w:rPr>
        <w:t>详见附件：营业执照等主体资格证明文件</w:t>
      </w:r>
    </w:p>
    <w:p>
      <w:pPr>
        <w:pStyle w:val="null3"/>
        <w:ind w:firstLine="960"/>
      </w:pPr>
      <w:r>
        <w:rPr>
          <w:rFonts w:ascii="仿宋_GB2312" w:hAnsi="仿宋_GB2312" w:cs="仿宋_GB2312" w:eastAsia="仿宋_GB2312"/>
        </w:rPr>
        <w:t>详见附件：法定代表人证明书及法定代表人授权书</w:t>
      </w:r>
    </w:p>
    <w:p>
      <w:pPr>
        <w:pStyle w:val="null3"/>
        <w:ind w:firstLine="960"/>
      </w:pPr>
      <w:r>
        <w:rPr>
          <w:rFonts w:ascii="仿宋_GB2312" w:hAnsi="仿宋_GB2312" w:cs="仿宋_GB2312" w:eastAsia="仿宋_GB2312"/>
        </w:rPr>
        <w:t>详见附件：项目整体实施方案</w:t>
      </w:r>
    </w:p>
    <w:p>
      <w:pPr>
        <w:pStyle w:val="null3"/>
        <w:ind w:firstLine="960"/>
      </w:pPr>
      <w:r>
        <w:rPr>
          <w:rFonts w:ascii="仿宋_GB2312" w:hAnsi="仿宋_GB2312" w:cs="仿宋_GB2312" w:eastAsia="仿宋_GB2312"/>
        </w:rPr>
        <w:t>详见附件：特殊资质证明</w:t>
      </w:r>
    </w:p>
    <w:p>
      <w:pPr>
        <w:pStyle w:val="null3"/>
        <w:ind w:firstLine="960"/>
      </w:pPr>
      <w:r>
        <w:rPr>
          <w:rFonts w:ascii="仿宋_GB2312" w:hAnsi="仿宋_GB2312" w:cs="仿宋_GB2312" w:eastAsia="仿宋_GB2312"/>
        </w:rPr>
        <w:t>详见附件：供应商类似项目业绩一览表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详见附件：竞争性磋商合同文本.docx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