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版本号：SDZC2026-068.1B120260629001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购买2027年校车保险项目(二次)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SDZC2026-068.1B1</w:t>
      </w:r>
      <w:r>
        <w:br/>
      </w:r>
      <w:r>
        <w:br/>
      </w:r>
      <w:r>
        <w:br/>
      </w:r>
    </w:p>
    <w:p>
      <w:pPr>
        <w:pStyle w:val="null3"/>
        <w:jc w:val="center"/>
        <w:outlineLvl w:val="2"/>
      </w:pPr>
      <w:r>
        <w:rPr>
          <w:rFonts w:ascii="仿宋_GB2312" w:hAnsi="仿宋_GB2312" w:cs="仿宋_GB2312" w:eastAsia="仿宋_GB2312"/>
          <w:sz w:val="28"/>
          <w:b/>
        </w:rPr>
        <w:t>西安市阎良区交通运输局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西安市阎良区交通运输局</w:t>
      </w:r>
      <w:r>
        <w:rPr>
          <w:rFonts w:ascii="仿宋_GB2312" w:hAnsi="仿宋_GB2312" w:cs="仿宋_GB2312" w:eastAsia="仿宋_GB2312"/>
        </w:rPr>
        <w:t>委托，拟对</w:t>
      </w:r>
      <w:r>
        <w:rPr>
          <w:rFonts w:ascii="仿宋_GB2312" w:hAnsi="仿宋_GB2312" w:cs="仿宋_GB2312" w:eastAsia="仿宋_GB2312"/>
        </w:rPr>
        <w:t>购买2027年校车保险项目(二次)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SDZC2026-068.1B1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购买2027年校车保险项目(二次)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一、车辆数量：全区48辆公办校车 二、本次磋商所采购的险种如下：1、交强险（含车船使用税）； 2、商业险：包括车辆损失险；第三者责任险（200万元）； 3、承运人责任险（50万/座）。 三、保险周期： 交强险 43辆海格车：2026年9月2日至2027年9月1日 5辆中通车：2026年10月25日至2027年10月24日 商业险 43辆海格车：2026年12月31日至2027年12月30日 5辆中通车：2026年10月26日至2027年10月25日 承运人险 43辆海格车：2027年1月1日至2027年12月31日 5辆中通车：2026年10月25日至2027年10月24日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经营机动车辆保险业务资格：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中国执行信息公开网”和“中国政府采购网”进行查询，截图留档；如网站无供应商信息的，供应商须提供相关证明资料或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西安市阎良区人民东路新汽车站内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029-86203137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西安市阎良区交通运输局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一、车辆数量：全区48辆公办校车 二、本次磋商所采购的险种如下：1、交强险（含车船使用税）； 2、商业险：包括车辆损失险；第三者责任险（200万元）； 3、承运人责任险（50万/座）。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购买2027年校车保险项目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标的名称：购买2027年校车保险项目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一、车辆数量：全区</w:t>
            </w:r>
            <w:r>
              <w:rPr>
                <w:rFonts w:ascii="仿宋_GB2312" w:hAnsi="仿宋_GB2312" w:cs="仿宋_GB2312" w:eastAsia="仿宋_GB2312"/>
                <w:sz w:val="21"/>
                <w:shd w:fill="FFFFFF" w:val="clear"/>
              </w:rPr>
              <w:t>48辆公办校车</w:t>
            </w:r>
          </w:p>
          <w:p>
            <w:pPr>
              <w:pStyle w:val="null3"/>
              <w:jc w:val="both"/>
            </w:pPr>
            <w:r>
              <w:rPr>
                <w:rFonts w:ascii="仿宋_GB2312" w:hAnsi="仿宋_GB2312" w:cs="仿宋_GB2312" w:eastAsia="仿宋_GB2312"/>
                <w:sz w:val="21"/>
                <w:shd w:fill="FFFFFF" w:val="clear"/>
              </w:rPr>
              <w:t>二、本次磋商所采购的险种如下：</w:t>
            </w:r>
            <w:r>
              <w:rPr>
                <w:rFonts w:ascii="仿宋_GB2312" w:hAnsi="仿宋_GB2312" w:cs="仿宋_GB2312" w:eastAsia="仿宋_GB2312"/>
                <w:sz w:val="21"/>
                <w:shd w:fill="FFFFFF" w:val="clear"/>
              </w:rPr>
              <w:t>1、交强险（含车船使用税）； 2、商业险：包括车辆损失险；第三者责任险（200万元）； 3、承运人责任险（50万/座）。</w:t>
            </w:r>
          </w:p>
          <w:p>
            <w:pPr>
              <w:pStyle w:val="null3"/>
              <w:jc w:val="both"/>
            </w:pPr>
            <w:r>
              <w:rPr>
                <w:rFonts w:ascii="仿宋_GB2312" w:hAnsi="仿宋_GB2312" w:cs="仿宋_GB2312" w:eastAsia="仿宋_GB2312"/>
                <w:sz w:val="21"/>
                <w:shd w:fill="FFFFFF" w:val="clear"/>
              </w:rPr>
              <w:t>三、保险周期：</w:t>
            </w:r>
          </w:p>
          <w:p>
            <w:pPr>
              <w:pStyle w:val="null3"/>
              <w:jc w:val="both"/>
            </w:pPr>
            <w:r>
              <w:rPr>
                <w:rFonts w:ascii="仿宋_GB2312" w:hAnsi="仿宋_GB2312" w:cs="仿宋_GB2312" w:eastAsia="仿宋_GB2312"/>
                <w:sz w:val="21"/>
                <w:shd w:fill="FFFFFF" w:val="clear"/>
              </w:rPr>
              <w:t>交强险</w:t>
            </w:r>
          </w:p>
          <w:p>
            <w:pPr>
              <w:pStyle w:val="null3"/>
              <w:jc w:val="left"/>
            </w:pPr>
            <w:r>
              <w:rPr>
                <w:rFonts w:ascii="仿宋_GB2312" w:hAnsi="仿宋_GB2312" w:cs="仿宋_GB2312" w:eastAsia="仿宋_GB2312"/>
                <w:sz w:val="21"/>
                <w:shd w:fill="FFFFFF" w:val="clear"/>
              </w:rPr>
              <w:t>43辆海格车：2026年9月2日至2027年9月1日</w:t>
            </w:r>
          </w:p>
          <w:p>
            <w:pPr>
              <w:pStyle w:val="null3"/>
              <w:jc w:val="left"/>
            </w:pPr>
            <w:r>
              <w:rPr>
                <w:rFonts w:ascii="仿宋_GB2312" w:hAnsi="仿宋_GB2312" w:cs="仿宋_GB2312" w:eastAsia="仿宋_GB2312"/>
                <w:sz w:val="21"/>
                <w:shd w:fill="FFFFFF" w:val="clear"/>
              </w:rPr>
              <w:t>5辆中通车：2026年10月25日至2027年10月24日</w:t>
            </w:r>
          </w:p>
          <w:p>
            <w:pPr>
              <w:pStyle w:val="null3"/>
              <w:jc w:val="left"/>
            </w:pPr>
            <w:r>
              <w:rPr>
                <w:rFonts w:ascii="仿宋_GB2312" w:hAnsi="仿宋_GB2312" w:cs="仿宋_GB2312" w:eastAsia="仿宋_GB2312"/>
                <w:sz w:val="21"/>
                <w:shd w:fill="FFFFFF" w:val="clear"/>
              </w:rPr>
              <w:t>商业险</w:t>
            </w:r>
          </w:p>
          <w:p>
            <w:pPr>
              <w:pStyle w:val="null3"/>
              <w:jc w:val="left"/>
            </w:pPr>
            <w:r>
              <w:rPr>
                <w:rFonts w:ascii="仿宋_GB2312" w:hAnsi="仿宋_GB2312" w:cs="仿宋_GB2312" w:eastAsia="仿宋_GB2312"/>
                <w:sz w:val="21"/>
                <w:shd w:fill="FFFFFF" w:val="clear"/>
              </w:rPr>
              <w:t>43辆海格车：2026年12月31日至2027年12月30日</w:t>
            </w:r>
          </w:p>
          <w:p>
            <w:pPr>
              <w:pStyle w:val="null3"/>
              <w:jc w:val="left"/>
            </w:pPr>
            <w:r>
              <w:rPr>
                <w:rFonts w:ascii="仿宋_GB2312" w:hAnsi="仿宋_GB2312" w:cs="仿宋_GB2312" w:eastAsia="仿宋_GB2312"/>
                <w:sz w:val="21"/>
                <w:shd w:fill="FFFFFF" w:val="clear"/>
              </w:rPr>
              <w:t>5辆中通车：2026年10月26日至2027年10月25日</w:t>
            </w:r>
          </w:p>
          <w:p>
            <w:pPr>
              <w:pStyle w:val="null3"/>
              <w:jc w:val="left"/>
            </w:pPr>
            <w:r>
              <w:rPr>
                <w:rFonts w:ascii="仿宋_GB2312" w:hAnsi="仿宋_GB2312" w:cs="仿宋_GB2312" w:eastAsia="仿宋_GB2312"/>
                <w:sz w:val="21"/>
                <w:shd w:fill="FFFFFF" w:val="clear"/>
              </w:rPr>
              <w:t>承运人险</w:t>
            </w:r>
          </w:p>
          <w:p>
            <w:pPr>
              <w:pStyle w:val="null3"/>
              <w:jc w:val="left"/>
            </w:pPr>
            <w:r>
              <w:rPr>
                <w:rFonts w:ascii="仿宋_GB2312" w:hAnsi="仿宋_GB2312" w:cs="仿宋_GB2312" w:eastAsia="仿宋_GB2312"/>
                <w:sz w:val="21"/>
                <w:shd w:fill="FFFFFF" w:val="clear"/>
              </w:rPr>
              <w:t>43辆海格车：2027年1月1日至2027年12月31日</w:t>
            </w:r>
          </w:p>
          <w:p>
            <w:pPr>
              <w:pStyle w:val="null3"/>
              <w:jc w:val="left"/>
            </w:pPr>
            <w:r>
              <w:rPr>
                <w:rFonts w:ascii="仿宋_GB2312" w:hAnsi="仿宋_GB2312" w:cs="仿宋_GB2312" w:eastAsia="仿宋_GB2312"/>
                <w:sz w:val="21"/>
                <w:shd w:fill="FFFFFF" w:val="clear"/>
              </w:rPr>
              <w:t>5辆中通车：2026年10月25日至2027年10月24日</w:t>
            </w:r>
          </w:p>
          <w:tbl>
            <w:tblPr>
              <w:tblInd w:type="dxa" w:w="285"/>
              <w:tblBorders>
                <w:top w:val="none" w:color="000000" w:sz="4"/>
                <w:left w:val="none" w:color="000000" w:sz="4"/>
                <w:bottom w:val="none" w:color="000000" w:sz="4"/>
                <w:right w:val="none" w:color="000000" w:sz="4"/>
                <w:insideH w:val="none"/>
                <w:insideV w:val="none"/>
              </w:tblBorders>
            </w:tblPr>
            <w:tblGrid>
              <w:gridCol w:w="92"/>
              <w:gridCol w:w="231"/>
              <w:gridCol w:w="231"/>
              <w:gridCol w:w="369"/>
              <w:gridCol w:w="261"/>
              <w:gridCol w:w="338"/>
              <w:gridCol w:w="200"/>
              <w:gridCol w:w="338"/>
              <w:gridCol w:w="123"/>
              <w:gridCol w:w="169"/>
              <w:gridCol w:w="200"/>
            </w:tblGrid>
            <w:tr>
              <w:tc>
                <w:tcPr>
                  <w:tcW w:type="dxa" w:w="2552"/>
                  <w:gridSpan w:val="11"/>
                  <w:tcBorders>
                    <w:top w:val="none" w:color="000000" w:sz="4"/>
                    <w:left w:val="none" w:color="000000" w:sz="4"/>
                    <w:bottom w:val="none" w:color="000000" w:sz="4"/>
                    <w:right w:val="non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31"/>
                      <w:color w:val="000000"/>
                    </w:rPr>
                    <w:t>阎良区校车</w:t>
                  </w:r>
                  <w:r>
                    <w:rPr>
                      <w:rFonts w:ascii="仿宋_GB2312" w:hAnsi="仿宋_GB2312" w:cs="仿宋_GB2312" w:eastAsia="仿宋_GB2312"/>
                      <w:sz w:val="31"/>
                      <w:color w:val="000000"/>
                    </w:rPr>
                    <w:t>48 辆名录</w:t>
                  </w:r>
                </w:p>
              </w:tc>
            </w:tr>
            <w:tr>
              <w:tc>
                <w:tcPr>
                  <w:tcW w:type="dxa" w:w="92"/>
                  <w:tcBorders>
                    <w:top w:val="singl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序号</w:t>
                  </w:r>
                </w:p>
              </w:tc>
              <w:tc>
                <w:tcPr>
                  <w:tcW w:type="dxa" w:w="231"/>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车号</w:t>
                  </w:r>
                </w:p>
              </w:tc>
              <w:tc>
                <w:tcPr>
                  <w:tcW w:type="dxa" w:w="231"/>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车辆类型</w:t>
                  </w:r>
                </w:p>
              </w:tc>
              <w:tc>
                <w:tcPr>
                  <w:tcW w:type="dxa" w:w="369"/>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品牌型号</w:t>
                  </w:r>
                </w:p>
              </w:tc>
              <w:tc>
                <w:tcPr>
                  <w:tcW w:type="dxa" w:w="261"/>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发动机号</w:t>
                  </w:r>
                </w:p>
              </w:tc>
              <w:tc>
                <w:tcPr>
                  <w:tcW w:type="dxa" w:w="338"/>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车辆识别代号</w:t>
                  </w:r>
                </w:p>
              </w:tc>
              <w:tc>
                <w:tcPr>
                  <w:tcW w:type="dxa" w:w="200"/>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注册日期</w:t>
                  </w:r>
                </w:p>
              </w:tc>
              <w:tc>
                <w:tcPr>
                  <w:tcW w:type="dxa" w:w="338"/>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核定人数</w:t>
                  </w:r>
                  <w:r>
                    <w:rPr>
                      <w:rFonts w:ascii="仿宋_GB2312" w:hAnsi="仿宋_GB2312" w:cs="仿宋_GB2312" w:eastAsia="仿宋_GB2312"/>
                      <w:sz w:val="19"/>
                      <w:color w:val="000000"/>
                    </w:rPr>
                    <w:t xml:space="preserve">  </w:t>
                  </w:r>
                </w:p>
              </w:tc>
              <w:tc>
                <w:tcPr>
                  <w:tcW w:type="dxa" w:w="123"/>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总质量</w:t>
                  </w:r>
                </w:p>
              </w:tc>
              <w:tc>
                <w:tcPr>
                  <w:tcW w:type="dxa" w:w="169"/>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整备质量</w:t>
                  </w:r>
                </w:p>
              </w:tc>
              <w:tc>
                <w:tcPr>
                  <w:tcW w:type="dxa" w:w="200"/>
                  <w:tcBorders>
                    <w:top w:val="singl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报废日期</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E28SAG00092</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LKLS1DS63GA710454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A95950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LKLS1CS43GA710477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E28SAG00087</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LKLS1DS65GA710441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A95836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LKLS1DS62GA710459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LKLS1DS60GA710458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A95639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E28SAG00082</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LKLS1DS66GA710464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A95622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E28SAG00102</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LKLS1DS65GA710455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8</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A95501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LKLS1DS64GA710463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E28SAG00094</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LKLS1DS69GA710457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A95575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E28SAG00104</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LKLS1DS60GA710444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A95700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FG3SAG00013</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LKLS1CS44GA710469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LKLS1CS41GA710476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A95877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E28SAG00097</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LKLS1DS60GA710461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14</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A95855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LKLS1DS68GA710448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A95892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LKLS1DS69GA710443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LKLS1DS6XGA710466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LKLS1DS62GA710445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18</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LKLS1DS6XGA710452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19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A95889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FG3SAG00017</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LKLS1CS4XGA710475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A95951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E28SAG00093</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LKLS1DS69GA710460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LKLS1DS61GA710467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A95926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LKLS1CS44GA710472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A95602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LKLS1DS64GA710446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24</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A95802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LKLS1DS6XGA710449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E28SAG00084</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LKLS1DS63GA710440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A95691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LKLS1DS68GA710465</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A95531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LKLS1CS42GA710471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28</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A95991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E28SAG00103</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LKLS1DS62GA710469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A95890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LKLS1DS67GA710456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E28SAG00089</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LKLS1DS61GA710453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2031.08.31</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A95661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LKLS1DS67GA710439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A95811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E28SAG00101</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LKLS1DS66GA710450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A95861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E28SAG00100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LKLS1DS66GA710447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34</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A95681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LKLS1CS45GA710478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A95636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FG3SAG00014</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LKLS1CS46GA710473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LKLS1DS65GA710438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A95962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LKLS1DS68GA710451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38</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A95536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FG3SAG00007</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LKLS1CS48GA710474</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A95910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E28SAG00077</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LKLS1DS67GA710442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A95835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E28SAG00099</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LKLS1DS61GA710436</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A95853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E28SAG00083</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LKLS1DS63GA710437</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A95829</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KLQ6896XQE4</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E28SAG00079</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LKLS1DS63GA710468</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51人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9600kg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43</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A95582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海格牌</w:t>
                  </w:r>
                  <w:r>
                    <w:rPr>
                      <w:rFonts w:ascii="仿宋_GB2312" w:hAnsi="仿宋_GB2312" w:cs="仿宋_GB2312" w:eastAsia="仿宋_GB2312"/>
                      <w:sz w:val="19"/>
                      <w:color w:val="000000"/>
                    </w:rPr>
                    <w:t>KLQ6706XQE4A</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FG3SAG00012</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LKLS1CS40GA710470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2016.08.30</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35人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7075kg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5300kg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2031.08.30</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44</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ACB502</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YM41FAM00426</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LGF1BA9R0MF102320</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ACP291</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YM41FAM00315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LGF1BA9R0MF102321</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ACP827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YM41FAM00438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LGF1BA9R0MF102322</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47</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ACP585</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YM41FAM00425</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LGF1BA9R0MF102319</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r>
              <w:tc>
                <w:tcPr>
                  <w:tcW w:type="dxa" w:w="92"/>
                  <w:tcBorders>
                    <w:top w:val="none" w:color="000000" w:sz="4"/>
                    <w:left w:val="singl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48</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陕</w:t>
                  </w:r>
                  <w:r>
                    <w:rPr>
                      <w:rFonts w:ascii="仿宋_GB2312" w:hAnsi="仿宋_GB2312" w:cs="仿宋_GB2312" w:eastAsia="仿宋_GB2312"/>
                      <w:sz w:val="19"/>
                      <w:color w:val="000000"/>
                    </w:rPr>
                    <w:t>ACP970</w:t>
                  </w:r>
                </w:p>
              </w:tc>
              <w:tc>
                <w:tcPr>
                  <w:tcW w:type="dxa" w:w="23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大型专用校车</w:t>
                  </w:r>
                </w:p>
              </w:tc>
              <w:tc>
                <w:tcPr>
                  <w:tcW w:type="dxa" w:w="3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中通牌</w:t>
                  </w:r>
                  <w:r>
                    <w:rPr>
                      <w:rFonts w:ascii="仿宋_GB2312" w:hAnsi="仿宋_GB2312" w:cs="仿宋_GB2312" w:eastAsia="仿宋_GB2312"/>
                      <w:sz w:val="19"/>
                      <w:color w:val="000000"/>
                    </w:rPr>
                    <w:t>LCK6799D6XE</w:t>
                  </w:r>
                </w:p>
              </w:tc>
              <w:tc>
                <w:tcPr>
                  <w:tcW w:type="dxa" w:w="261"/>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YM41FAM00442</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LGF1BA9R0MF102323</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2021.09.28</w:t>
                  </w:r>
                </w:p>
              </w:tc>
              <w:tc>
                <w:tcPr>
                  <w:tcW w:type="dxa" w:w="338"/>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46人</w:t>
                  </w:r>
                </w:p>
              </w:tc>
              <w:tc>
                <w:tcPr>
                  <w:tcW w:type="dxa" w:w="123"/>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7990kg</w:t>
                  </w:r>
                </w:p>
              </w:tc>
              <w:tc>
                <w:tcPr>
                  <w:tcW w:type="dxa" w:w="169"/>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5220kg</w:t>
                  </w:r>
                </w:p>
              </w:tc>
              <w:tc>
                <w:tcPr>
                  <w:tcW w:type="dxa" w:w="200"/>
                  <w:tcBorders>
                    <w:top w:val="none" w:color="000000" w:sz="4"/>
                    <w:left w:val="none" w:color="000000" w:sz="4"/>
                    <w:bottom w:val="single" w:color="000000" w:sz="4"/>
                    <w:right w:val="single" w:color="000000" w:sz="4"/>
                  </w:tcBorders>
                  <w:shd w:fill="FFFFFF"/>
                  <w:tcMar>
                    <w:top w:type="dxa" w:w="15"/>
                    <w:left w:type="dxa" w:w="15"/>
                    <w:bottom w:type="dxa" w:w="75"/>
                    <w:right w:type="dxa" w:w="15"/>
                  </w:tcMar>
                  <w:vAlign w:val="top"/>
                </w:tcPr>
                <w:p>
                  <w:pPr>
                    <w:pStyle w:val="null3"/>
                    <w:jc w:val="center"/>
                  </w:pPr>
                  <w:r>
                    <w:rPr>
                      <w:rFonts w:ascii="仿宋_GB2312" w:hAnsi="仿宋_GB2312" w:cs="仿宋_GB2312" w:eastAsia="仿宋_GB2312"/>
                      <w:sz w:val="19"/>
                      <w:color w:val="000000"/>
                    </w:rPr>
                    <w:t>2036.10.29</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西安市阎良区交通运输局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其他，办理保险手续时，供应商开具合同总价数的全额发票交采购人。采购人在支付保险费时，按供应商所承诺的费率进行审核，审核后支付实际的保险费，达到付款条件起5个工作日内，支付合同总金额的100.0%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3、在执行本合同中发生的或与本合同有关的争端，双方应通过友好协商解决，经协商在15天内不能达成协议时，应提交西安仲裁委员会仲裁。 4、仲裁裁决应为最终决定，并对双方具有约束力。 5、除另有裁决外，仲裁费应由败诉方负担。 6、在仲裁期间，除正在进行仲裁部分外，合同其他部分继续执行。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装订：纸质竞争性磋商响应文件采用书籍（胶装）方式装订成册，与电子竞争性磋商响应文件一致的签字、盖章的完整版本。 2、磋商响应文件中提供的资质证书等材料在合同签订及履行期间持续有效，否则采购人有权终止合同并要求赔偿。 3、磋商报价要求：首次、二次磋商报价（总价）均填写预算38万元；自主核保系数下浮率（范围：0-100）。 价格分统一采用低价优先法计算，即满足磋商文件要求且(1-最高下浮率报价)为评标基准价，下浮率最高的报价分为满分。其他供应商的价格分统一按照下列公式计算： 磋商报价得分= (磋商基准价／（1-下浮率报价)）×价格权值×100 自主核保系数下浮率的定义：定价10元的产品减到8元为8.0折。 折扣=1-系数下浮率，本文件要求投标文件统一用系数下浮率报价和描述。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经营机动车辆保险业务资格</w:t>
            </w:r>
          </w:p>
        </w:tc>
        <w:tc>
          <w:tcPr>
            <w:tcW w:type="dxa" w:w="3322"/>
          </w:tcPr>
          <w:p>
            <w:pPr>
              <w:pStyle w:val="null3"/>
            </w:pPr>
            <w:r>
              <w:rPr>
                <w:rFonts w:ascii="仿宋_GB2312" w:hAnsi="仿宋_GB2312" w:cs="仿宋_GB2312" w:eastAsia="仿宋_GB2312"/>
              </w:rPr>
              <w:t>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中国执行信息公开网”和“中国政府采购网”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响应文件编制格式</w:t>
            </w:r>
          </w:p>
        </w:tc>
        <w:tc>
          <w:tcPr>
            <w:tcW w:type="dxa" w:w="3322"/>
          </w:tcPr>
          <w:p>
            <w:pPr>
              <w:pStyle w:val="null3"/>
            </w:pPr>
            <w:r>
              <w:rPr>
                <w:rFonts w:ascii="仿宋_GB2312" w:hAnsi="仿宋_GB2312" w:cs="仿宋_GB2312" w:eastAsia="仿宋_GB2312"/>
              </w:rPr>
              <w:t>除明确允许供应商可以自行编写的外，响应文件是否按照磋商文件给定的格式和要求编制</w:t>
            </w:r>
          </w:p>
        </w:tc>
        <w:tc>
          <w:tcPr>
            <w:tcW w:type="dxa" w:w="1661"/>
          </w:tcPr>
          <w:p>
            <w:pPr>
              <w:pStyle w:val="null3"/>
            </w:pPr>
            <w:r>
              <w:rPr>
                <w:rFonts w:ascii="仿宋_GB2312" w:hAnsi="仿宋_GB2312" w:cs="仿宋_GB2312" w:eastAsia="仿宋_GB2312"/>
              </w:rPr>
              <w:t>业绩.docx 培训方案.docx 时效保障承诺.docx 中小企业声明函 承诺书.docx 保障范围.docx 投诉管理制度.docx 核心偿付能力.docx 供应商有必要说明的其他事项.docx 资格证明文件.docx 法定代表人授权书.docx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 技术、服务、商务及其他要求响应偏离表.docx 综合偿付能力.docx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业绩.docx 培训方案.docx 时效保障承诺.docx 中小企业声明函 承诺书.docx 保障范围.docx 投诉管理制度.docx 核心偿付能力.docx 供应商有必要说明的其他事项.docx 资格证明文件.docx 法定代表人授权书.docx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 技术、服务、商务及其他要求响应偏离表.docx 综合偿付能力.docx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商报价未超过最高限价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培训方案.docx 时效保障承诺.docx 中小企业声明函 承诺书.docx 保障范围.docx 投诉管理制度.docx 核心偿付能力.docx 供应商有必要说明的其他事项.docx 资格证明文件.docx 法定代表人授权书.docx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 技术、服务、商务及其他要求响应偏离表.docx 综合偿付能力.docx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培训方案.docx 时效保障承诺.docx 中小企业声明函 承诺书.docx 保障范围.docx 投诉管理制度.docx 核心偿付能力.docx 供应商有必要说明的其他事项.docx 资格证明文件.docx 法定代表人授权书.docx 服务团队.docx 响应文件封面 《拒绝政府采购领域商业贿赂承诺书》.docx 残疾人福利性单位声明函 其他服务与优惠承诺.docx 供应商参与政府采购活动的承诺函.docx 标的清单 响应函 客户回访.docx 服务方案.docx 监狱企业的证明文件 技术、服务、商务及其他要求响应偏离表.docx 综合偿付能力.docx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保障范围</w:t>
            </w:r>
          </w:p>
        </w:tc>
        <w:tc>
          <w:tcPr>
            <w:tcW w:type="dxa" w:w="2492"/>
          </w:tcPr>
          <w:p>
            <w:pPr>
              <w:pStyle w:val="null3"/>
            </w:pPr>
            <w:r>
              <w:rPr>
                <w:rFonts w:ascii="仿宋_GB2312" w:hAnsi="仿宋_GB2312" w:cs="仿宋_GB2312" w:eastAsia="仿宋_GB2312"/>
              </w:rPr>
              <w:t>根据供应商针对本项目的校车保险投保保障范围进行综合评分： ①完全符合竞争性磋商文件的保险保障要求，措辞严谨，描述清晰，保障全面，对保险保障范围进行实质性扩展、提升得5分； ②有明确的保障范围、保险保障要求措辞合理且内容完善，对保障范围有提升的得4分； ③符合保障范围及保险保障要求，未提供相应优惠措施的得3分； ④符合保障范围及保险保障要求得2分； ⑤未提供车辆保障范围不得分。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保障范围.docx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根据供应商承保、理赔服务方案的合理性、简便性、时效性、适用性，进行综合评定： ①服务方案内容完整、合理，投保、理赔程序清晰明确，理赔时效性高，各类服务丰富实用针对性强得5分； ②服务方案内容充实，投保、理赔程序规范，理赔时效性高，各类服务明确的得4分； ③服务方案内容有欠缺，投保、理赔等服务有欠缺，但尚且具备可操作性得3分； ④服务方案内容欠缺多，投保、理赔等服务欠缺多得2分； ⑤没有服务方案或服务方案与本项目要求严重不符的不得分。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投诉管理制度</w:t>
            </w:r>
          </w:p>
        </w:tc>
        <w:tc>
          <w:tcPr>
            <w:tcW w:type="dxa" w:w="2492"/>
          </w:tcPr>
          <w:p>
            <w:pPr>
              <w:pStyle w:val="null3"/>
            </w:pPr>
            <w:r>
              <w:rPr>
                <w:rFonts w:ascii="仿宋_GB2312" w:hAnsi="仿宋_GB2312" w:cs="仿宋_GB2312" w:eastAsia="仿宋_GB2312"/>
              </w:rPr>
              <w:t>有严格的投诉管理制度，并严格执行。 ①具有完善的制度，完全能够保证项目的顺利实施的，计5分； ②制度内容有欠缺的或制度保障深度不足的计3分； ③仅具备初步框架、未明确执行规则或落地要求的计1分;④未提供相关内容的不计分。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投诉管理制度.docx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定期提供优质的保险服务培训，提供详细的培训方案，按以下标准评分： ①内容详细全面、方案合理、完善可行的计5分； ②有欠缺或只有书面承诺，缺少具体措施办法的计3分； ③仅提供零散培训素材、未形成完整培训体系，且培训内容覆盖率不足60%、无明确实施安排的计1分； 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客户回访</w:t>
            </w:r>
          </w:p>
        </w:tc>
        <w:tc>
          <w:tcPr>
            <w:tcW w:type="dxa" w:w="2492"/>
          </w:tcPr>
          <w:p>
            <w:pPr>
              <w:pStyle w:val="null3"/>
            </w:pPr>
            <w:r>
              <w:rPr>
                <w:rFonts w:ascii="仿宋_GB2312" w:hAnsi="仿宋_GB2312" w:cs="仿宋_GB2312" w:eastAsia="仿宋_GB2312"/>
              </w:rPr>
              <w:t>定期对客户进行回访，并提供详细的服务方案。 ①内容详细全面、方案合理、完善可行的计5分； ②有欠缺或只有书面承诺，缺少具体措施办法的计3分；③仅做了初步规划、未明确回访频次、对接主体和响应机制等落地要求的计1分；④未提供相关内容的不计分。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客户回访.docx</w:t>
            </w:r>
          </w:p>
        </w:tc>
      </w:tr>
      <w:tr>
        <w:tc>
          <w:tcPr>
            <w:tcW w:type="dxa" w:w="831"/>
            <w:vMerge/>
          </w:tcPr>
          <w:p/>
        </w:tc>
        <w:tc>
          <w:tcPr>
            <w:tcW w:type="dxa" w:w="1661"/>
          </w:tcPr>
          <w:p>
            <w:pPr>
              <w:pStyle w:val="null3"/>
            </w:pPr>
            <w:r>
              <w:rPr>
                <w:rFonts w:ascii="仿宋_GB2312" w:hAnsi="仿宋_GB2312" w:cs="仿宋_GB2312" w:eastAsia="仿宋_GB2312"/>
              </w:rPr>
              <w:t>时效保障承诺1</w:t>
            </w:r>
          </w:p>
        </w:tc>
        <w:tc>
          <w:tcPr>
            <w:tcW w:type="dxa" w:w="2492"/>
          </w:tcPr>
          <w:p>
            <w:pPr>
              <w:pStyle w:val="null3"/>
            </w:pPr>
            <w:r>
              <w:rPr>
                <w:rFonts w:ascii="仿宋_GB2312" w:hAnsi="仿宋_GB2312" w:cs="仿宋_GB2312" w:eastAsia="仿宋_GB2312"/>
              </w:rPr>
              <w:t>根据供应商对出现车辆事故出险响应时效承诺情况进行评分： ①从报案确认至现场处理响应在30分钟（含）内得6分； ②从报案确认至现场处理响应超过30分钟但不超过1小时（含）得3分； ③从报案确认至现场处理响应超过1小时得2分； ④从报案确认至现场处理响应超过2小时得1分。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时效保障承诺2</w:t>
            </w:r>
          </w:p>
        </w:tc>
        <w:tc>
          <w:tcPr>
            <w:tcW w:type="dxa" w:w="2492"/>
          </w:tcPr>
          <w:p>
            <w:pPr>
              <w:pStyle w:val="null3"/>
            </w:pPr>
            <w:r>
              <w:rPr>
                <w:rFonts w:ascii="仿宋_GB2312" w:hAnsi="仿宋_GB2312" w:cs="仿宋_GB2312" w:eastAsia="仿宋_GB2312"/>
              </w:rPr>
              <w:t>根据供应商对出现车辆事故理赔结案时效承诺情况进行评分： 从被保险人提供全部单证至完成结案的周期（以天计），结案周期最短者得6分，最短周期每延长3天（含3天内）减1分，依次递减，减完为止。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时效保障承诺3</w:t>
            </w:r>
          </w:p>
        </w:tc>
        <w:tc>
          <w:tcPr>
            <w:tcW w:type="dxa" w:w="2492"/>
          </w:tcPr>
          <w:p>
            <w:pPr>
              <w:pStyle w:val="null3"/>
            </w:pPr>
            <w:r>
              <w:rPr>
                <w:rFonts w:ascii="仿宋_GB2312" w:hAnsi="仿宋_GB2312" w:cs="仿宋_GB2312" w:eastAsia="仿宋_GB2312"/>
              </w:rPr>
              <w:t>根据供应商对出现车辆事故从赔款金额确认至划到被保险人账户的结案支付周期时效承诺情况进行评分： 结案支付周期最短者得5分，较最短周期每延长3天（含3天内）减1分，依次递减，减完为止。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时效保障承诺.docx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本项目负责人具有本科及以上学历，年龄50岁以下，保险从业经验5年以上，具有保险从业资格证，以服务商缴纳2021年1月1日以来连续8年的基本养老保险证明材料、身份证、毕业证（须附学信网《教育部学历证书电子注册备案表》）、保险从业资格证为赋分依据。 满足以上岗位要求且提供资料齐全的，得5分，否则不得分；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服务团队人员应包含承保、理赔、风险管理和协调沟通不同专业能力和职能的人员，根据团队人员构成情况、人员数量、职责情况进行综合评分： ①服务团队人员构成专业全面，服务团队岗位人员≥3人且职责明确合理得5分； ②服务团队人员构成全面，服务团队人员≥3人，职责不明确得3分； ③服务团队人员专业构成存在缺陷，服务团队人员不足3人，职责混乱得1分。 ④未提供服务团队人员不得分。 注：须提供人员身份证、资格证书等材料并加盖供应商公章。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其他服务与优惠承诺1</w:t>
            </w:r>
          </w:p>
        </w:tc>
        <w:tc>
          <w:tcPr>
            <w:tcW w:type="dxa" w:w="2492"/>
          </w:tcPr>
          <w:p>
            <w:pPr>
              <w:pStyle w:val="null3"/>
            </w:pPr>
            <w:r>
              <w:rPr>
                <w:rFonts w:ascii="仿宋_GB2312" w:hAnsi="仿宋_GB2312" w:cs="仿宋_GB2312" w:eastAsia="仿宋_GB2312"/>
              </w:rPr>
              <w:t>根据供应商服务特色及其他增值服务与优惠承诺的合理性、可行性，进行综合评定： ①特色服务丰富，其他优惠承诺合理可行得5分； ②有明确特色服务，其他优惠承诺整体合理可行，仅少量内容存在细微调整空间，不影响整体落地执行得3分；③具备基础特色服务或仅明确了一般性增值内容，优惠承诺存在一定合理性但部分条款可行性不足，需调整后才可执行得1分；④没有特色服务及其他服务与优惠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其他服务与优惠承诺.docx</w:t>
            </w:r>
          </w:p>
        </w:tc>
      </w:tr>
      <w:tr>
        <w:tc>
          <w:tcPr>
            <w:tcW w:type="dxa" w:w="831"/>
            <w:vMerge/>
          </w:tcPr>
          <w:p/>
        </w:tc>
        <w:tc>
          <w:tcPr>
            <w:tcW w:type="dxa" w:w="1661"/>
          </w:tcPr>
          <w:p>
            <w:pPr>
              <w:pStyle w:val="null3"/>
            </w:pPr>
            <w:r>
              <w:rPr>
                <w:rFonts w:ascii="仿宋_GB2312" w:hAnsi="仿宋_GB2312" w:cs="仿宋_GB2312" w:eastAsia="仿宋_GB2312"/>
              </w:rPr>
              <w:t>其他服务与优惠承诺2</w:t>
            </w:r>
          </w:p>
        </w:tc>
        <w:tc>
          <w:tcPr>
            <w:tcW w:type="dxa" w:w="2492"/>
          </w:tcPr>
          <w:p>
            <w:pPr>
              <w:pStyle w:val="null3"/>
            </w:pPr>
            <w:r>
              <w:rPr>
                <w:rFonts w:ascii="仿宋_GB2312" w:hAnsi="仿宋_GB2312" w:cs="仿宋_GB2312" w:eastAsia="仿宋_GB2312"/>
              </w:rPr>
              <w:t>针对本项目招标人保险服务需求的基础上，承诺有一定的经济实力垫付已产生未支付的保险费用的能力： ①完全响应招标文件要求，承诺具备足额经济实力，可无条件垫付本项目已产生且尚未完成支付的全部保险费用得5分；② 基本响应招标文件要求，承诺具备对应经济实力，但仅可垫付本项目已产生未支付保险费用的70%及以上，不足部分可在30个工作日内完成资金补足得3分；③部分响应招标文件要求，承诺具备一定经济实力，可垫付本项目已产生未支付保险费用的30%至70%（不含），不足部分可在60个工作日内完成资金补足得1分； ④不响应不得分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其他服务与优惠承诺.docx</w:t>
            </w:r>
          </w:p>
        </w:tc>
      </w:tr>
      <w:tr>
        <w:tc>
          <w:tcPr>
            <w:tcW w:type="dxa" w:w="831"/>
            <w:vMerge/>
          </w:tcPr>
          <w:p/>
        </w:tc>
        <w:tc>
          <w:tcPr>
            <w:tcW w:type="dxa" w:w="1661"/>
          </w:tcPr>
          <w:p>
            <w:pPr>
              <w:pStyle w:val="null3"/>
            </w:pPr>
            <w:r>
              <w:rPr>
                <w:rFonts w:ascii="仿宋_GB2312" w:hAnsi="仿宋_GB2312" w:cs="仿宋_GB2312" w:eastAsia="仿宋_GB2312"/>
              </w:rPr>
              <w:t>其他服务与优惠承诺3</w:t>
            </w:r>
          </w:p>
        </w:tc>
        <w:tc>
          <w:tcPr>
            <w:tcW w:type="dxa" w:w="2492"/>
          </w:tcPr>
          <w:p>
            <w:pPr>
              <w:pStyle w:val="null3"/>
            </w:pPr>
            <w:r>
              <w:rPr>
                <w:rFonts w:ascii="仿宋_GB2312" w:hAnsi="仿宋_GB2312" w:cs="仿宋_GB2312" w:eastAsia="仿宋_GB2312"/>
              </w:rPr>
              <w:t>根据供应商对出现人伤事故，能无条件垫付医疗费用周期时效承诺情况进行评分：当天垫付得8分，晚一天扣一分，不垫付不得分。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其他服务与优惠承诺.docx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6月1日至磋商响应文件截止时间）供应商曾参与过类似服务项目的业绩的情况，须提供合同复印件等证明材料（所提供的合同可以不牵涉到金额等相关商业机密信息，但必须提供合同双方签署页及合同签署双方的完整信息进行评审）。每提供一个有效业绩证明材料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核心偿付能力</w:t>
            </w:r>
          </w:p>
        </w:tc>
        <w:tc>
          <w:tcPr>
            <w:tcW w:type="dxa" w:w="2492"/>
          </w:tcPr>
          <w:p>
            <w:pPr>
              <w:pStyle w:val="null3"/>
            </w:pPr>
            <w:r>
              <w:rPr>
                <w:rFonts w:ascii="仿宋_GB2312" w:hAnsi="仿宋_GB2312" w:cs="仿宋_GB2312" w:eastAsia="仿宋_GB2312"/>
              </w:rPr>
              <w:t>供应商所属总公司2025年第四季度核心偿付能力充足率大于160%得5分，大于130%得4分，大于110%得3分，大于100%得2分，低于100%不得分。（以金融监督管理局公布数据为准）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核心偿付能力.docx</w:t>
            </w:r>
          </w:p>
        </w:tc>
      </w:tr>
      <w:tr>
        <w:tc>
          <w:tcPr>
            <w:tcW w:type="dxa" w:w="831"/>
            <w:vMerge/>
          </w:tcPr>
          <w:p/>
        </w:tc>
        <w:tc>
          <w:tcPr>
            <w:tcW w:type="dxa" w:w="1661"/>
          </w:tcPr>
          <w:p>
            <w:pPr>
              <w:pStyle w:val="null3"/>
            </w:pPr>
            <w:r>
              <w:rPr>
                <w:rFonts w:ascii="仿宋_GB2312" w:hAnsi="仿宋_GB2312" w:cs="仿宋_GB2312" w:eastAsia="仿宋_GB2312"/>
              </w:rPr>
              <w:t>综合偿付能力</w:t>
            </w:r>
          </w:p>
        </w:tc>
        <w:tc>
          <w:tcPr>
            <w:tcW w:type="dxa" w:w="2492"/>
          </w:tcPr>
          <w:p>
            <w:pPr>
              <w:pStyle w:val="null3"/>
            </w:pPr>
            <w:r>
              <w:rPr>
                <w:rFonts w:ascii="仿宋_GB2312" w:hAnsi="仿宋_GB2312" w:cs="仿宋_GB2312" w:eastAsia="仿宋_GB2312"/>
              </w:rPr>
              <w:t>供应商所属总公司2025年第四季度综合偿付能力充足率260%以上得5分，200%-260%得3分，200%以下不得分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综合偿付能力.docx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(1-最高下浮率报价)为评标基准价，下浮率最高的报价分为满分。其他供应商的价格分统一按照下列公式计算： 磋商报价得分= (磋商基准价／（1-下浮率报价)）×价格权值（即10%）×100 自主核保系数下浮率的定义：定价10元的产品减到8元为8.0折。折扣=1-系数下浮率，本文件要求投标文件统一用系数下浮率报价和描述。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详见附件：保障范围.docx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详见附件：投诉管理制度.docx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详见附件：客户回访.docx</w:t>
      </w:r>
    </w:p>
    <w:p>
      <w:pPr>
        <w:pStyle w:val="null3"/>
        <w:ind w:firstLine="960"/>
      </w:pPr>
      <w:r>
        <w:rPr>
          <w:rFonts w:ascii="仿宋_GB2312" w:hAnsi="仿宋_GB2312" w:cs="仿宋_GB2312" w:eastAsia="仿宋_GB2312"/>
        </w:rPr>
        <w:t>详见附件：时效保障承诺.docx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详见附件：其他服务与优惠承诺.docx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详见附件：核心偿付能力.docx</w:t>
      </w:r>
    </w:p>
    <w:p>
      <w:pPr>
        <w:pStyle w:val="null3"/>
        <w:ind w:firstLine="960"/>
      </w:pPr>
      <w:r>
        <w:rPr>
          <w:rFonts w:ascii="仿宋_GB2312" w:hAnsi="仿宋_GB2312" w:cs="仿宋_GB2312" w:eastAsia="仿宋_GB2312"/>
        </w:rPr>
        <w:t>详见附件：综合偿付能力.docx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详见附件：供应商有必要说明的其他事项.docx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