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版本号：ZCSP-渭南市-2026-00229、DLCG2026-02320260705001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渭南市2026年国家重点野生动物疫源疫病监测防控项目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ZCSP-渭南市-2026-00229、DLCG2026-023</w:t>
      </w:r>
      <w:r>
        <w:br/>
      </w:r>
      <w:r>
        <w:br/>
      </w:r>
      <w:r>
        <w:br/>
      </w:r>
    </w:p>
    <w:p>
      <w:pPr>
        <w:pStyle w:val="null3"/>
        <w:jc w:val="center"/>
        <w:outlineLvl w:val="2"/>
      </w:pPr>
      <w:r>
        <w:rPr>
          <w:rFonts w:ascii="仿宋_GB2312" w:hAnsi="仿宋_GB2312" w:cs="仿宋_GB2312" w:eastAsia="仿宋_GB2312"/>
          <w:sz w:val="28"/>
          <w:b/>
        </w:rPr>
        <w:t>陕西黄河湿地省级自然保护区管理处</w:t>
      </w:r>
    </w:p>
    <w:p>
      <w:pPr>
        <w:pStyle w:val="null3"/>
        <w:jc w:val="center"/>
        <w:outlineLvl w:val="2"/>
      </w:pPr>
      <w:r>
        <w:rPr>
          <w:rFonts w:ascii="仿宋_GB2312" w:hAnsi="仿宋_GB2312" w:cs="仿宋_GB2312" w:eastAsia="仿宋_GB2312"/>
          <w:sz w:val="28"/>
          <w:b/>
        </w:rPr>
        <w:t>陕西鼎力中创项目管理有限公司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陕西鼎力中创项目管理有限公司</w:t>
      </w:r>
      <w:r>
        <w:rPr>
          <w:rFonts w:ascii="仿宋_GB2312" w:hAnsi="仿宋_GB2312" w:cs="仿宋_GB2312" w:eastAsia="仿宋_GB2312"/>
        </w:rPr>
        <w:t>（以下简称“代理机构”）受</w:t>
      </w:r>
      <w:r>
        <w:rPr>
          <w:rFonts w:ascii="仿宋_GB2312" w:hAnsi="仿宋_GB2312" w:cs="仿宋_GB2312" w:eastAsia="仿宋_GB2312"/>
        </w:rPr>
        <w:t>陕西黄河湿地省级自然保护区管理处</w:t>
      </w:r>
      <w:r>
        <w:rPr>
          <w:rFonts w:ascii="仿宋_GB2312" w:hAnsi="仿宋_GB2312" w:cs="仿宋_GB2312" w:eastAsia="仿宋_GB2312"/>
        </w:rPr>
        <w:t>委托，拟对</w:t>
      </w:r>
      <w:r>
        <w:rPr>
          <w:rFonts w:ascii="仿宋_GB2312" w:hAnsi="仿宋_GB2312" w:cs="仿宋_GB2312" w:eastAsia="仿宋_GB2312"/>
        </w:rPr>
        <w:t>渭南市2026年国家重点野生动物疫源疫病监测防控项目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ZCSP-渭南市-2026-00229、DLCG2026-023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渭南市2026年国家重点野生动物疫源疫病监测防控项目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过项目的实施，配备完善疫源疫病监测、防控设备和野生动物救助处置装备，及时监测保护区辖区内野生动物疫源疫病及周边养殖疫源疫病情况，促进区域野生动物保护、救助等综合保护管理能力提升，为长期野生动物疾病防控做好预警工作，保护区域生物多样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采购包1（渭南市2026年国家重点野生动物疫源疫病监测防控项目）：属于专门面向中小企业采购。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负责人）或授权代表身份证明：供应商应授权合法的人员参加磋商全过程，其中法定代表人（或负责人）直接参加磋商的，须出具法定代表人（或负责人）身份证明，并与营业执照上信息一致；法定代表人（或负责人）授权代表参加磋商的，须出具法定代表人（或负责人）授权书及授权代表身份证明；</w:t>
      </w:r>
    </w:p>
    <w:p>
      <w:pPr>
        <w:pStyle w:val="null3"/>
      </w:pPr>
      <w:r>
        <w:rPr>
          <w:rFonts w:ascii="仿宋_GB2312" w:hAnsi="仿宋_GB2312" w:cs="仿宋_GB2312" w:eastAsia="仿宋_GB2312"/>
        </w:rPr>
        <w:t>2、企业资质：供应商须具备林业调查规划设计丙级及以上资质证书；</w:t>
      </w:r>
    </w:p>
    <w:p>
      <w:pPr>
        <w:pStyle w:val="null3"/>
      </w:pPr>
      <w:r>
        <w:rPr>
          <w:rFonts w:ascii="仿宋_GB2312" w:hAnsi="仿宋_GB2312" w:cs="仿宋_GB2312" w:eastAsia="仿宋_GB2312"/>
        </w:rPr>
        <w:t>3、信用信息：供应商未列入“信用中国”网站(www.creditchina.gov.cn)失信被执行人、重大税收违法失信主体、政府采购严重违法失信行为记录名单和“中国政府采购网”(www.ccgp.gov.cn)政府采购严重违法失信行为信息记录；</w:t>
      </w:r>
    </w:p>
    <w:p>
      <w:pPr>
        <w:pStyle w:val="null3"/>
      </w:pPr>
      <w:r>
        <w:rPr>
          <w:rFonts w:ascii="仿宋_GB2312" w:hAnsi="仿宋_GB2312" w:cs="仿宋_GB2312" w:eastAsia="仿宋_GB2312"/>
        </w:rPr>
        <w:t>4、供应商不得存在下列情形：单位负责人为同一人或者存在直接控股、管理关系的不同供应商不得参加同一合同项下的政府采购活动。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陕西黄河湿地省级自然保护区管理处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渭南市仓程路与朝阳大街西北角林业大厦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郭俊刚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0913-2369181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陕西鼎力中创项目管理有限公司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陕西省渭南市临渭区乐天大街碧桂园翡翠公馆北门商铺2层208号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邵宝舟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0913-2185335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开户名称：陕西鼎力中创项目管理有限公司</w:t>
            </w:r>
          </w:p>
          <w:p>
            <w:pPr>
              <w:pStyle w:val="null3"/>
            </w:pPr>
            <w:r>
              <w:rPr>
                <w:rFonts w:ascii="仿宋_GB2312" w:hAnsi="仿宋_GB2312" w:cs="仿宋_GB2312" w:eastAsia="仿宋_GB2312"/>
              </w:rPr>
              <w:t>开户银行：工行渭南仓程路支行</w:t>
            </w:r>
          </w:p>
          <w:p>
            <w:pPr>
              <w:pStyle w:val="null3"/>
            </w:pPr>
            <w:r>
              <w:rPr>
                <w:rFonts w:ascii="仿宋_GB2312" w:hAnsi="仿宋_GB2312" w:cs="仿宋_GB2312" w:eastAsia="仿宋_GB2312"/>
              </w:rPr>
              <w:t>银行账号：2605 0259 1910 0033 019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 857号）的有关规定标准，成交供应商向采购代理机构一次付清采购代理服务费。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陕西黄河湿地省级自然保护区管理处</w:t>
      </w:r>
      <w:r>
        <w:rPr>
          <w:rFonts w:ascii="仿宋_GB2312" w:hAnsi="仿宋_GB2312" w:cs="仿宋_GB2312" w:eastAsia="仿宋_GB2312"/>
        </w:rPr>
        <w:t>和</w:t>
      </w:r>
      <w:r>
        <w:rPr>
          <w:rFonts w:ascii="仿宋_GB2312" w:hAnsi="仿宋_GB2312" w:cs="仿宋_GB2312" w:eastAsia="仿宋_GB2312"/>
        </w:rPr>
        <w:t>陕西鼎力中创项目管理有限公司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陕西黄河湿地省级自然保护区管理处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陕西鼎力中创项目管理有限公司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陕西黄河湿地省级自然保护区管理处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陕西鼎力中创项目管理有限公司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本项目实施过程中形成的相关文档，其知识产权及所有权均归采购人所有，供应商仅可在本项目范围内使用，不得向第三方泄露或用于其他目的。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1.项目全部验收达到合格标准，符合国家相关行业规范、规程和有关技术规定。 2.供应商的每一项内容完成后，须向采购人提出申请，经采购人负责人员验收合格后，方可进行下一道工序工作。供应商全面完成项目建设任务后单位要及时组织自查，并向采购人提交自查报告，采购人对自查报告进行审核，审核内容包括：实施方案执行、任务完成情况、服务质量、资金使用情况及项目成效、存在问题与建议等。 3.本项目由采购人及相关部门定期对项目进行阶段性验收。 4.按磋商文件、磋商响应文件及澄清函、项目检查情况等综合指标进行验收。各项指标均应符合验收标准及要求。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联系人：李杰</w:t>
      </w:r>
    </w:p>
    <w:p>
      <w:pPr>
        <w:pStyle w:val="null3"/>
      </w:pPr>
      <w:r>
        <w:rPr>
          <w:rFonts w:ascii="仿宋_GB2312" w:hAnsi="仿宋_GB2312" w:cs="仿宋_GB2312" w:eastAsia="仿宋_GB2312"/>
        </w:rPr>
        <w:t>联系电话：0913-2185335</w:t>
      </w:r>
    </w:p>
    <w:p>
      <w:pPr>
        <w:pStyle w:val="null3"/>
      </w:pPr>
      <w:r>
        <w:rPr>
          <w:rFonts w:ascii="仿宋_GB2312" w:hAnsi="仿宋_GB2312" w:cs="仿宋_GB2312" w:eastAsia="仿宋_GB2312"/>
        </w:rPr>
        <w:t>地址：渭南市临渭区乐天大街碧桂园翡翠公馆北门11栋商铺2层208号</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项目的实施，配备完善疫源疫病监测、防控设备和野生动物救助处置装备，及时监测保护区辖区内野生动物疫源疫病及周边养殖疫源疫病情况，促进区域野生动物保护、救助等综合保护管理能力提升，为长期野生动物疾病防控做好预警工作，保护区域生物多样性。</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渭南市2026年国家重点野生动物疫源疫病监测防控项目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标的名称：渭南市2026年国家重点野生动物疫源疫病监测防控项目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需执行的国家相关标准、行业标准、地方标准或者其他标准、规范标准：</w:t>
            </w:r>
            <w:r>
              <w:br/>
            </w:r>
            <w:r>
              <w:rPr>
                <w:rFonts w:ascii="仿宋_GB2312" w:hAnsi="仿宋_GB2312" w:cs="仿宋_GB2312" w:eastAsia="仿宋_GB2312"/>
                <w:sz w:val="18"/>
              </w:rPr>
              <w:t xml:space="preserve"> 1.《中华人民共和国野生动物保护法》（2022年12月30日修订）</w:t>
            </w:r>
            <w:r>
              <w:br/>
            </w:r>
            <w:r>
              <w:rPr>
                <w:rFonts w:ascii="仿宋_GB2312" w:hAnsi="仿宋_GB2312" w:cs="仿宋_GB2312" w:eastAsia="仿宋_GB2312"/>
                <w:sz w:val="18"/>
              </w:rPr>
              <w:t xml:space="preserve"> 2.《中华人民共和国动物防疫法》（2021年1月22日修订）</w:t>
            </w:r>
            <w:r>
              <w:br/>
            </w:r>
            <w:r>
              <w:rPr>
                <w:rFonts w:ascii="仿宋_GB2312" w:hAnsi="仿宋_GB2312" w:cs="仿宋_GB2312" w:eastAsia="仿宋_GB2312"/>
                <w:sz w:val="18"/>
              </w:rPr>
              <w:t xml:space="preserve"> 3.《中华人民共和国生物安全法》（2021年4月15日施行）</w:t>
            </w:r>
            <w:r>
              <w:br/>
            </w:r>
            <w:r>
              <w:rPr>
                <w:rFonts w:ascii="仿宋_GB2312" w:hAnsi="仿宋_GB2312" w:cs="仿宋_GB2312" w:eastAsia="仿宋_GB2312"/>
                <w:sz w:val="18"/>
              </w:rPr>
              <w:t xml:space="preserve"> 4.《中华人民共和国畜牧法》（2022年10月30日修订）</w:t>
            </w:r>
            <w:r>
              <w:br/>
            </w:r>
            <w:r>
              <w:rPr>
                <w:rFonts w:ascii="仿宋_GB2312" w:hAnsi="仿宋_GB2312" w:cs="仿宋_GB2312" w:eastAsia="仿宋_GB2312"/>
                <w:sz w:val="18"/>
              </w:rPr>
              <w:t xml:space="preserve"> 5.《中华人民共和国陆生野生动物保护实施条例》（2016年2月6日修订）</w:t>
            </w:r>
            <w:r>
              <w:br/>
            </w:r>
            <w:r>
              <w:rPr>
                <w:rFonts w:ascii="仿宋_GB2312" w:hAnsi="仿宋_GB2312" w:cs="仿宋_GB2312" w:eastAsia="仿宋_GB2312"/>
                <w:sz w:val="18"/>
              </w:rPr>
              <w:t xml:space="preserve"> 6.《陕西省实施&lt;中华人民共和国野生动物保护法&gt;办法》（2023年7月28日修订）</w:t>
            </w:r>
            <w:r>
              <w:br/>
            </w:r>
            <w:r>
              <w:rPr>
                <w:rFonts w:ascii="仿宋_GB2312" w:hAnsi="仿宋_GB2312" w:cs="仿宋_GB2312" w:eastAsia="仿宋_GB2312"/>
                <w:sz w:val="18"/>
              </w:rPr>
              <w:t xml:space="preserve"> 7.《重大动物疫情应急条例》（2017年10月7日修订）</w:t>
            </w:r>
            <w:r>
              <w:br/>
            </w:r>
            <w:r>
              <w:rPr>
                <w:rFonts w:ascii="仿宋_GB2312" w:hAnsi="仿宋_GB2312" w:cs="仿宋_GB2312" w:eastAsia="仿宋_GB2312"/>
                <w:sz w:val="18"/>
              </w:rPr>
              <w:t xml:space="preserve"> 8.《陆生野生动物疫源疫病监测防控管理办法》（2013年1月22日国家林业局令第31号）</w:t>
            </w:r>
            <w:r>
              <w:br/>
            </w:r>
            <w:r>
              <w:rPr>
                <w:rFonts w:ascii="仿宋_GB2312" w:hAnsi="仿宋_GB2312" w:cs="仿宋_GB2312" w:eastAsia="仿宋_GB2312"/>
                <w:sz w:val="18"/>
              </w:rPr>
              <w:t xml:space="preserve"> 9.《野生动物收容救助管理办法》（2017年12月1日国家林业局第47号令）</w:t>
            </w:r>
            <w:r>
              <w:br/>
            </w:r>
            <w:r>
              <w:rPr>
                <w:rFonts w:ascii="仿宋_GB2312" w:hAnsi="仿宋_GB2312" w:cs="仿宋_GB2312" w:eastAsia="仿宋_GB2312"/>
                <w:sz w:val="18"/>
              </w:rPr>
              <w:t xml:space="preserve"> 10.《野生动物检疫办法》（2023年3月24日农业农村部、国家林业和草原局第656号公布发布）</w:t>
            </w:r>
            <w:r>
              <w:br/>
            </w:r>
            <w:r>
              <w:rPr>
                <w:rFonts w:ascii="仿宋_GB2312" w:hAnsi="仿宋_GB2312" w:cs="仿宋_GB2312" w:eastAsia="仿宋_GB2312"/>
                <w:sz w:val="18"/>
              </w:rPr>
              <w:t xml:space="preserve"> 11.《陕西省分布的国家重点保护野生动物名录》（2022年）</w:t>
            </w:r>
            <w:r>
              <w:br/>
            </w:r>
            <w:r>
              <w:rPr>
                <w:rFonts w:ascii="仿宋_GB2312" w:hAnsi="仿宋_GB2312" w:cs="仿宋_GB2312" w:eastAsia="仿宋_GB2312"/>
                <w:sz w:val="18"/>
              </w:rPr>
              <w:t xml:space="preserve"> 12.《陕西省分布的有重要生态、科学、社会价值的陆生野生动物及其分布》（2022年）</w:t>
            </w:r>
            <w:r>
              <w:br/>
            </w:r>
            <w:r>
              <w:rPr>
                <w:rFonts w:ascii="仿宋_GB2312" w:hAnsi="仿宋_GB2312" w:cs="仿宋_GB2312" w:eastAsia="仿宋_GB2312"/>
                <w:sz w:val="18"/>
              </w:rPr>
              <w:t xml:space="preserve"> 13.《陆生野生动物及其栖息地调查技术规程》（GB/T37364.4—2024 ）</w:t>
            </w:r>
            <w:r>
              <w:br/>
            </w:r>
            <w:r>
              <w:rPr>
                <w:rFonts w:ascii="仿宋_GB2312" w:hAnsi="仿宋_GB2312" w:cs="仿宋_GB2312" w:eastAsia="仿宋_GB2312"/>
                <w:sz w:val="18"/>
              </w:rPr>
              <w:t xml:space="preserve"> 14.《生物多样性观测技术导则》（HJ 710.1～11—2014）</w:t>
            </w:r>
            <w:r>
              <w:br/>
            </w:r>
            <w:r>
              <w:rPr>
                <w:rFonts w:ascii="仿宋_GB2312" w:hAnsi="仿宋_GB2312" w:cs="仿宋_GB2312" w:eastAsia="仿宋_GB2312"/>
                <w:sz w:val="18"/>
              </w:rPr>
              <w:t xml:space="preserve"> 15.《陆生野生动物疫源疫病调查监测技术规范》（LY/T2359-2014）</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18"/>
              </w:rPr>
              <w:t xml:space="preserve"> 野生动物疫源疫病防控能力提升</w:t>
            </w:r>
          </w:p>
          <w:p>
            <w:pPr>
              <w:pStyle w:val="null3"/>
              <w:jc w:val="both"/>
            </w:pPr>
            <w:r>
              <w:rPr>
                <w:rFonts w:ascii="仿宋_GB2312" w:hAnsi="仿宋_GB2312" w:cs="仿宋_GB2312" w:eastAsia="仿宋_GB2312"/>
                <w:sz w:val="18"/>
              </w:rPr>
              <w:t>个人防护装备（防疫装备）：针对野生动物疫源疫病防控特点和工作需求，为工作人员配合符合国家相关标准的防护服、N95口罩、一次性医用手套，提升野生动物疫源疫病防控过程中工作人员个人防护能力，确保人员安全；设备设施提升：为保障疫源疫病监测数据采集处理技术和数据安全，配备必要的数据处理及存储装置；采样设备：采购无菌样品采集工具、酒精等，确保采集的样品不受污染，同时满足必要的消杀工作需要，确保疫病采样安全，防止疫病扩散。</w:t>
            </w:r>
          </w:p>
          <w:p>
            <w:pPr>
              <w:pStyle w:val="null3"/>
              <w:jc w:val="both"/>
            </w:pPr>
            <w:r>
              <w:rPr>
                <w:rFonts w:ascii="仿宋_GB2312" w:hAnsi="仿宋_GB2312" w:cs="仿宋_GB2312" w:eastAsia="仿宋_GB2312"/>
                <w:sz w:val="18"/>
              </w:rPr>
              <w:t>在野生动物疫源疫病监测与防控过程中，为处置自然灾害、动物疫情和人为干扰等因素造成区域内野生动物受到伤害而采取的救治活动，救援救护设施设备包括个人防护装备、采样设备和设备设施提升。其中，个人防护装备包括防护服、口罩、手套等防护装备；采样设备包括剪刀、镊子、解剖刀、注射器、冻存管、样品收集瓶、试管、酒精、照相机等；设备设施提升，主要是数据处理及存储装置的提升，包括台式工作站、移动工作站、巡护直报系统设备。（详见附件）</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18"/>
              </w:rPr>
              <w:t>野生动物疫源疫病监测及保护与救助</w:t>
            </w:r>
          </w:p>
          <w:p>
            <w:pPr>
              <w:pStyle w:val="null3"/>
              <w:jc w:val="both"/>
            </w:pPr>
            <w:r>
              <w:rPr>
                <w:rFonts w:ascii="仿宋_GB2312" w:hAnsi="仿宋_GB2312" w:cs="仿宋_GB2312" w:eastAsia="仿宋_GB2312"/>
                <w:sz w:val="18"/>
              </w:rPr>
              <w:t>依据《陆生野生动物疫源疫病监测防控管理办法》，结合区域野生动物分布及近年保护状况，采用样线法，在渭南市黄河沿线布设20条监测样线，共实施4次野生动物疫源疫病监测，开展野生动物死亡、疾病、威胁因素等方面调查监测，及时发现异常情况，为疫源疫病判断提供基础数据。</w:t>
            </w:r>
          </w:p>
          <w:p>
            <w:pPr>
              <w:pStyle w:val="null3"/>
              <w:jc w:val="both"/>
            </w:pPr>
            <w:r>
              <w:rPr>
                <w:rFonts w:ascii="仿宋_GB2312" w:hAnsi="仿宋_GB2312" w:cs="仿宋_GB2312" w:eastAsia="仿宋_GB2312"/>
                <w:sz w:val="18"/>
              </w:rPr>
              <w:t>依据区域野生动物分布情况，结合近年来保护状况，拟开展野生动物疫源疫病监测共计4次，对野生动物死亡、疾病、威胁因素等方面开展监测。</w:t>
            </w:r>
          </w:p>
          <w:p>
            <w:pPr>
              <w:pStyle w:val="null3"/>
              <w:jc w:val="both"/>
            </w:pPr>
            <w:r>
              <w:rPr>
                <w:rFonts w:ascii="仿宋_GB2312" w:hAnsi="仿宋_GB2312" w:cs="仿宋_GB2312" w:eastAsia="仿宋_GB2312"/>
                <w:sz w:val="18"/>
              </w:rPr>
              <w:t>（1）监测对象</w:t>
            </w:r>
          </w:p>
          <w:p>
            <w:pPr>
              <w:pStyle w:val="null3"/>
              <w:jc w:val="both"/>
            </w:pPr>
            <w:r>
              <w:rPr>
                <w:rFonts w:ascii="仿宋_GB2312" w:hAnsi="仿宋_GB2312" w:cs="仿宋_GB2312" w:eastAsia="仿宋_GB2312"/>
                <w:sz w:val="18"/>
              </w:rPr>
              <w:t>主要监测对象为陆生脊椎动物，包括哺乳动物、陆生鸟类、两栖类、爬行类；重点监测对象主要为国家一、二级重点保护动物、陕西省重点保护动物。</w:t>
            </w:r>
          </w:p>
          <w:p>
            <w:pPr>
              <w:pStyle w:val="null3"/>
              <w:jc w:val="both"/>
            </w:pPr>
            <w:r>
              <w:rPr>
                <w:rFonts w:ascii="仿宋_GB2312" w:hAnsi="仿宋_GB2312" w:cs="仿宋_GB2312" w:eastAsia="仿宋_GB2312"/>
                <w:sz w:val="18"/>
              </w:rPr>
              <w:t>（2）监测内容</w:t>
            </w:r>
          </w:p>
          <w:p>
            <w:pPr>
              <w:pStyle w:val="null3"/>
              <w:jc w:val="both"/>
            </w:pPr>
            <w:r>
              <w:rPr>
                <w:rFonts w:ascii="仿宋_GB2312" w:hAnsi="仿宋_GB2312" w:cs="仿宋_GB2312" w:eastAsia="仿宋_GB2312"/>
                <w:sz w:val="18"/>
              </w:rPr>
              <w:t>主要包括野生动物活动状况以及野生动物死亡、疾病、受威胁因素及栖息地状况。</w:t>
            </w:r>
          </w:p>
          <w:p>
            <w:pPr>
              <w:pStyle w:val="null3"/>
              <w:jc w:val="both"/>
            </w:pPr>
            <w:r>
              <w:rPr>
                <w:rFonts w:ascii="仿宋_GB2312" w:hAnsi="仿宋_GB2312" w:cs="仿宋_GB2312" w:eastAsia="仿宋_GB2312"/>
                <w:sz w:val="18"/>
              </w:rPr>
              <w:t>（3）监测方法</w:t>
            </w:r>
          </w:p>
          <w:p>
            <w:pPr>
              <w:pStyle w:val="null3"/>
              <w:jc w:val="both"/>
            </w:pPr>
            <w:r>
              <w:rPr>
                <w:rFonts w:ascii="仿宋_GB2312" w:hAnsi="仿宋_GB2312" w:cs="仿宋_GB2312" w:eastAsia="仿宋_GB2312"/>
                <w:sz w:val="18"/>
              </w:rPr>
              <w:t>野生动物疫源疫病监测采用样线法。在渭南市黄河沿线布设20条监测样线（位置见2026年渭南市野生动物疫源疫病监测样线布置图）（详见附件）。监测人员根据野生动物的活动习性，选择一天中的最佳时间段进行样线监测。在沿样线行进过程中，调查人员以步行方式，速度为每小时0.5-1km，填写调查记录表格，记录动物名称、数量、痕迹种类、痕迹数量及距离样线的垂直距离、地理位置、栖息地类型、地貌类型、受威胁因素等信息，发现病死个体等异常情况，准确填写调查记录表中异常信息内容，依据《陆生野生动物疫源疫病监测防控管理办法》中的技术标准要求，规范采样和无害化处理，发现重点保护陆生野生动物，应当按照野生动物保护法及其实施条例的规定予以救护，依规及时准确报告相关监测信息。</w:t>
            </w:r>
          </w:p>
          <w:p>
            <w:pPr>
              <w:pStyle w:val="null3"/>
              <w:jc w:val="both"/>
            </w:pPr>
            <w:r>
              <w:rPr>
                <w:rFonts w:ascii="仿宋_GB2312" w:hAnsi="仿宋_GB2312" w:cs="仿宋_GB2312" w:eastAsia="仿宋_GB2312"/>
                <w:sz w:val="18"/>
              </w:rPr>
              <w:t>（4）数据整理</w:t>
            </w:r>
          </w:p>
          <w:p>
            <w:pPr>
              <w:pStyle w:val="null3"/>
              <w:jc w:val="both"/>
            </w:pPr>
            <w:r>
              <w:rPr>
                <w:rFonts w:ascii="仿宋_GB2312" w:hAnsi="仿宋_GB2312" w:cs="仿宋_GB2312" w:eastAsia="仿宋_GB2312"/>
                <w:sz w:val="18"/>
              </w:rPr>
              <w:t>1）监测表格材料</w:t>
            </w:r>
          </w:p>
          <w:p>
            <w:pPr>
              <w:pStyle w:val="null3"/>
              <w:jc w:val="both"/>
            </w:pPr>
            <w:r>
              <w:rPr>
                <w:rFonts w:ascii="仿宋_GB2312" w:hAnsi="仿宋_GB2312" w:cs="仿宋_GB2312" w:eastAsia="仿宋_GB2312"/>
                <w:sz w:val="18"/>
              </w:rPr>
              <w:t>对每次监测的原始数据进行审核检查（包括表头及调查内容填写的完整性、字迹可读性、物种识别核查、栖息地植物及受威胁信息核查等）及调查表数量检查（目的是检查是否有丢失或遗漏的调查表）。将检查无误的原始记录表，按照野生动物（哺乳动物、鸟类、两栖动物、爬行动物）类群进行分类，并按照编号进行存档。（记录表详见附件）</w:t>
            </w:r>
          </w:p>
          <w:p>
            <w:pPr>
              <w:pStyle w:val="null3"/>
              <w:jc w:val="both"/>
            </w:pPr>
            <w:r>
              <w:rPr>
                <w:rFonts w:ascii="仿宋_GB2312" w:hAnsi="仿宋_GB2312" w:cs="仿宋_GB2312" w:eastAsia="仿宋_GB2312"/>
                <w:sz w:val="18"/>
              </w:rPr>
              <w:t>将每次监测的所有原始记录输入电子表格，且电子表格内容与纸质原始记录内容保持一致，并将物种按照一定的顺序进行排列，同时将物种的目、科及种名的学名进行完善，表格按照监测时间、编号进行命名存档。</w:t>
            </w:r>
          </w:p>
          <w:p>
            <w:pPr>
              <w:pStyle w:val="null3"/>
              <w:jc w:val="both"/>
            </w:pPr>
            <w:r>
              <w:rPr>
                <w:rFonts w:ascii="仿宋_GB2312" w:hAnsi="仿宋_GB2312" w:cs="仿宋_GB2312" w:eastAsia="仿宋_GB2312"/>
                <w:sz w:val="18"/>
              </w:rPr>
              <w:t>根据每次监测的数据进行整理分析，找出监测的不足之处并进行完善，同时制作出每次监测的物种名录表。</w:t>
            </w:r>
          </w:p>
          <w:p>
            <w:pPr>
              <w:pStyle w:val="null3"/>
              <w:jc w:val="both"/>
            </w:pPr>
            <w:r>
              <w:rPr>
                <w:rFonts w:ascii="仿宋_GB2312" w:hAnsi="仿宋_GB2312" w:cs="仿宋_GB2312" w:eastAsia="仿宋_GB2312"/>
                <w:sz w:val="18"/>
              </w:rPr>
              <w:t>2）样线轨迹材料</w:t>
            </w:r>
          </w:p>
          <w:p>
            <w:pPr>
              <w:pStyle w:val="null3"/>
              <w:jc w:val="both"/>
            </w:pPr>
            <w:r>
              <w:rPr>
                <w:rFonts w:ascii="仿宋_GB2312" w:hAnsi="仿宋_GB2312" w:cs="仿宋_GB2312" w:eastAsia="仿宋_GB2312"/>
                <w:sz w:val="18"/>
              </w:rPr>
              <w:t>每次监测的样线（点）都记录有轨迹，将每组调查人员监测时保存的轨迹从GPS中导出，按照调查时间、样地、样线、样点编号进行命名，并按照编号进行存档。</w:t>
            </w:r>
          </w:p>
          <w:p>
            <w:pPr>
              <w:pStyle w:val="null3"/>
              <w:jc w:val="both"/>
            </w:pPr>
            <w:r>
              <w:rPr>
                <w:rFonts w:ascii="仿宋_GB2312" w:hAnsi="仿宋_GB2312" w:cs="仿宋_GB2312" w:eastAsia="仿宋_GB2312"/>
                <w:sz w:val="18"/>
              </w:rPr>
              <w:t>（5）数据分析</w:t>
            </w:r>
          </w:p>
          <w:p>
            <w:pPr>
              <w:pStyle w:val="null3"/>
              <w:jc w:val="both"/>
            </w:pPr>
            <w:r>
              <w:rPr>
                <w:rFonts w:ascii="仿宋_GB2312" w:hAnsi="仿宋_GB2312" w:cs="仿宋_GB2312" w:eastAsia="仿宋_GB2312"/>
                <w:sz w:val="18"/>
              </w:rPr>
              <w:t>利用Arc gis软件，提取监测数据中的野生动物实体、死亡、疾病、生境类型、威胁因素等信息数据，在保护区位置区划图上制作野生动物疫源疫病分布点，确定和比较各监测样线野生动物疫源疫病时空分布状况，然后将这些区域连成片基本形成野生动物疫源疫病区域。</w:t>
            </w:r>
          </w:p>
          <w:p>
            <w:pPr>
              <w:pStyle w:val="null3"/>
              <w:jc w:val="both"/>
            </w:pPr>
            <w:r>
              <w:rPr>
                <w:rFonts w:ascii="仿宋_GB2312" w:hAnsi="仿宋_GB2312" w:cs="仿宋_GB2312" w:eastAsia="仿宋_GB2312"/>
                <w:sz w:val="18"/>
              </w:rPr>
              <w:t>采用实体死亡遇见率、疾病遇见率等指标，采用相关专业的统计公式，可定量分析野生动物疫源疫病发生情况。</w:t>
            </w:r>
          </w:p>
          <w:p>
            <w:pPr>
              <w:pStyle w:val="null3"/>
              <w:jc w:val="both"/>
            </w:pPr>
            <w:r>
              <w:rPr>
                <w:rFonts w:ascii="仿宋_GB2312" w:hAnsi="仿宋_GB2312" w:cs="仿宋_GB2312" w:eastAsia="仿宋_GB2312"/>
                <w:sz w:val="18"/>
              </w:rPr>
              <w:t>（6）监测成果报告编制</w:t>
            </w:r>
          </w:p>
          <w:p>
            <w:pPr>
              <w:pStyle w:val="null3"/>
              <w:jc w:val="both"/>
            </w:pPr>
            <w:r>
              <w:rPr>
                <w:rFonts w:ascii="仿宋_GB2312" w:hAnsi="仿宋_GB2312" w:cs="仿宋_GB2312" w:eastAsia="仿宋_GB2312"/>
                <w:sz w:val="18"/>
              </w:rPr>
              <w:t>通过监测，明确保护区内野生动物疫源疫病情况，对野生动物疫源疫病现状、栖息地现状及受威胁因素现状进行评估，形成野生动物疫源疫病监测报告，报告包括监测结果的附图、附表及监测内容等详细部分，最终形成《渭南市野生动物疫源疫病监测与防控报告》，监测报告需通过专家评审。</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18"/>
              </w:rPr>
              <w:t>科普宣教</w:t>
            </w:r>
          </w:p>
          <w:p>
            <w:pPr>
              <w:pStyle w:val="null3"/>
              <w:jc w:val="both"/>
            </w:pPr>
            <w:r>
              <w:rPr>
                <w:rFonts w:ascii="仿宋_GB2312" w:hAnsi="仿宋_GB2312" w:cs="仿宋_GB2312" w:eastAsia="仿宋_GB2312"/>
                <w:sz w:val="18"/>
              </w:rPr>
              <w:t>采取多种形式开展野生动物保护和疫源疫病防控知识宣传，提升公众的法律和保护意识，自觉维护公共卫生安全和生态安全，保护野生动物资源。印制必要的宣传材料，利用“世界野生动物日”“世界湿地日”“爱鸟周”和“野生动物保护宣传月”开展宣传活动。开展疫源疫病监测专项培训，提升专业技术人员技术理论水平。</w:t>
            </w:r>
          </w:p>
          <w:p>
            <w:pPr>
              <w:pStyle w:val="null3"/>
              <w:jc w:val="both"/>
            </w:pPr>
            <w:r>
              <w:rPr>
                <w:rFonts w:ascii="仿宋_GB2312" w:hAnsi="仿宋_GB2312" w:cs="仿宋_GB2312" w:eastAsia="仿宋_GB2312"/>
                <w:sz w:val="18"/>
              </w:rPr>
              <w:t>渭南市地处陕西省东部、黄河中游，横跨秦岭东段山地与渭河平原，地貌类型多样，生态区位特殊。生物多样性资源丰富，是我国重要的候鸟迁徙通道与越冬栖息地，每年秋冬春季数万只候鸟途经、越冬停留，是渭南市标志性生态资源。野生动物保护法律法规、物种识别、野外避险知识掌握不足已成为野生动物保护方面的知识短板。结合渭南市生态现状，开展野生动物保护科普宣传将为为全面筑牢黄河湿地、秦岭东段生态安全屏障，规范群众野外活动行为，营造全民保护野生动物的良好氛围。</w:t>
            </w:r>
          </w:p>
          <w:p>
            <w:pPr>
              <w:pStyle w:val="null3"/>
              <w:jc w:val="both"/>
            </w:pPr>
            <w:r>
              <w:rPr>
                <w:rFonts w:ascii="仿宋_GB2312" w:hAnsi="仿宋_GB2312" w:cs="仿宋_GB2312" w:eastAsia="仿宋_GB2312"/>
                <w:sz w:val="18"/>
              </w:rPr>
              <w:t>（一）科普宣教内容</w:t>
            </w:r>
          </w:p>
          <w:p>
            <w:pPr>
              <w:pStyle w:val="null3"/>
              <w:jc w:val="both"/>
            </w:pPr>
            <w:r>
              <w:rPr>
                <w:rFonts w:ascii="仿宋_GB2312" w:hAnsi="仿宋_GB2312" w:cs="仿宋_GB2312" w:eastAsia="仿宋_GB2312"/>
                <w:sz w:val="18"/>
              </w:rPr>
              <w:t>普及本土物种知识：全面普及渭南市黄河湿地候鸟、秦岭山地野生动物、野生植物基础知识，让群众认识常见保护鸟类、兽类、两栖爬行类，掌握基础识别能力。</w:t>
            </w:r>
          </w:p>
          <w:p>
            <w:pPr>
              <w:pStyle w:val="null3"/>
              <w:jc w:val="both"/>
            </w:pPr>
            <w:r>
              <w:rPr>
                <w:rFonts w:ascii="仿宋_GB2312" w:hAnsi="仿宋_GB2312" w:cs="仿宋_GB2312" w:eastAsia="仿宋_GB2312"/>
                <w:sz w:val="18"/>
              </w:rPr>
              <w:t>强化全民法治观念：明确非法捕鸟、张网、交易、食用野生动物、破坏栖息地的法律责任，以案释法，提高群众法律敬畏意识，杜绝违法行为。</w:t>
            </w:r>
          </w:p>
          <w:p>
            <w:pPr>
              <w:pStyle w:val="null3"/>
              <w:jc w:val="both"/>
            </w:pPr>
            <w:r>
              <w:rPr>
                <w:rFonts w:ascii="仿宋_GB2312" w:hAnsi="仿宋_GB2312" w:cs="仿宋_GB2312" w:eastAsia="仿宋_GB2312"/>
                <w:sz w:val="18"/>
              </w:rPr>
              <w:t>保障候鸟迁徙安全：紧盯候鸟迁徙关键节点，减少人为惊扰、恶意驱赶、违规投喂行为，保障迁徙候鸟稳定栖息、安全越冬。</w:t>
            </w:r>
          </w:p>
          <w:p>
            <w:pPr>
              <w:pStyle w:val="null3"/>
              <w:jc w:val="both"/>
            </w:pPr>
            <w:r>
              <w:rPr>
                <w:rFonts w:ascii="仿宋_GB2312" w:hAnsi="仿宋_GB2312" w:cs="仿宋_GB2312" w:eastAsia="仿宋_GB2312"/>
                <w:sz w:val="18"/>
              </w:rPr>
              <w:t>培育生态文明理念：依托黄河湿地、秦岭山地资源，打造渭南特色生态科普文化，树立人与自然和谐共生的生态文明理念。</w:t>
            </w:r>
          </w:p>
          <w:p>
            <w:pPr>
              <w:pStyle w:val="null3"/>
              <w:jc w:val="both"/>
            </w:pPr>
            <w:r>
              <w:rPr>
                <w:rFonts w:ascii="仿宋_GB2312" w:hAnsi="仿宋_GB2312" w:cs="仿宋_GB2312" w:eastAsia="仿宋_GB2312"/>
                <w:sz w:val="18"/>
              </w:rPr>
              <w:t>（二）科普宣教范围及对象</w:t>
            </w:r>
          </w:p>
          <w:p>
            <w:pPr>
              <w:pStyle w:val="null3"/>
              <w:jc w:val="both"/>
            </w:pPr>
            <w:r>
              <w:rPr>
                <w:rFonts w:ascii="仿宋_GB2312" w:hAnsi="仿宋_GB2312" w:cs="仿宋_GB2312" w:eastAsia="仿宋_GB2312"/>
                <w:sz w:val="18"/>
              </w:rPr>
              <w:t>覆盖渭南市全域，重点覆盖黄河湿地沿岸（合阳、大荔、韩城、潼关）、秦岭东段山地（华州、华阴、临渭）、城乡结合部。重点是黄河湿地沿岸村组群众：黄河湿地周边村民、沿河居住人员、渔业从业人员。秦岭沿线进山群众，经营商户，中小学在校学生，观鸟爱好者、摄影人员、徒步登山游客、露营人群。林业巡护、公安执法、市场监管、镇街网格员、志愿者队伍。</w:t>
            </w:r>
          </w:p>
          <w:p>
            <w:pPr>
              <w:pStyle w:val="null3"/>
              <w:jc w:val="both"/>
            </w:pPr>
            <w:r>
              <w:rPr>
                <w:rFonts w:ascii="仿宋_GB2312" w:hAnsi="仿宋_GB2312" w:cs="仿宋_GB2312" w:eastAsia="仿宋_GB2312"/>
                <w:sz w:val="18"/>
              </w:rPr>
              <w:t>（三）科普宣教方式</w:t>
            </w:r>
          </w:p>
          <w:p>
            <w:pPr>
              <w:pStyle w:val="null3"/>
              <w:jc w:val="both"/>
            </w:pPr>
            <w:r>
              <w:rPr>
                <w:rFonts w:ascii="仿宋_GB2312" w:hAnsi="仿宋_GB2312" w:cs="仿宋_GB2312" w:eastAsia="仿宋_GB2312"/>
                <w:sz w:val="18"/>
              </w:rPr>
              <w:t>固定标识布设：在黄河湿地沿岸、进山路口、景区、广场、交通干道增设科普展板、警示牌、鸟类科普牌，标注举报电话、救助热线，悬挂通俗易懂横幅标语。</w:t>
            </w:r>
          </w:p>
          <w:p>
            <w:pPr>
              <w:pStyle w:val="null3"/>
              <w:jc w:val="both"/>
            </w:pPr>
            <w:r>
              <w:rPr>
                <w:rFonts w:ascii="仿宋_GB2312" w:hAnsi="仿宋_GB2312" w:cs="仿宋_GB2312" w:eastAsia="仿宋_GB2312"/>
                <w:sz w:val="18"/>
              </w:rPr>
              <w:t>重点场所宣讲：在农贸市场，农家乐集中区发放宣传手册。对沿河、沿山常住群众发放宣传资料，面对面普法。</w:t>
            </w:r>
          </w:p>
          <w:p>
            <w:pPr>
              <w:pStyle w:val="null3"/>
              <w:jc w:val="both"/>
            </w:pPr>
            <w:r>
              <w:rPr>
                <w:rFonts w:ascii="仿宋_GB2312" w:hAnsi="仿宋_GB2312" w:cs="仿宋_GB2312" w:eastAsia="仿宋_GB2312"/>
                <w:sz w:val="18"/>
              </w:rPr>
              <w:t>集中培训：对各县区野生动物保护管理人员，组织开展1次集中培训，重点培训疫源疫病监测技术、法律法规和相关制度及案例。</w:t>
            </w:r>
          </w:p>
          <w:p>
            <w:pPr>
              <w:pStyle w:val="null3"/>
              <w:jc w:val="both"/>
            </w:pPr>
            <w:r>
              <w:rPr>
                <w:rFonts w:ascii="仿宋_GB2312" w:hAnsi="仿宋_GB2312" w:cs="仿宋_GB2312" w:eastAsia="仿宋_GB2312"/>
                <w:sz w:val="18"/>
              </w:rPr>
              <w:t>（四）科普宣教时间</w:t>
            </w:r>
          </w:p>
          <w:p>
            <w:pPr>
              <w:pStyle w:val="null3"/>
              <w:jc w:val="both"/>
            </w:pPr>
            <w:r>
              <w:rPr>
                <w:rFonts w:ascii="仿宋_GB2312" w:hAnsi="仿宋_GB2312" w:cs="仿宋_GB2312" w:eastAsia="仿宋_GB2312"/>
                <w:sz w:val="18"/>
              </w:rPr>
              <w:t>依托湿地日、世界野生动植物日、爱鸟周、环境日、森林防火宣传月，在城区广场、湿地公园开展集中科普宣传展览。深入学校开展科普课堂，播放候鸟科普短片、展示本土物种图鉴，开展保护主题班会。</w:t>
            </w:r>
          </w:p>
          <w:p>
            <w:pPr>
              <w:pStyle w:val="null3"/>
              <w:jc w:val="both"/>
            </w:pPr>
            <w:r>
              <w:rPr>
                <w:rFonts w:ascii="仿宋_GB2312" w:hAnsi="仿宋_GB2312" w:cs="仿宋_GB2312" w:eastAsia="仿宋_GB2312"/>
                <w:sz w:val="18"/>
              </w:rPr>
              <w:t>（五）科普宣教主要材料</w:t>
            </w:r>
          </w:p>
          <w:p>
            <w:pPr>
              <w:pStyle w:val="null3"/>
              <w:jc w:val="both"/>
            </w:pPr>
            <w:r>
              <w:rPr>
                <w:rFonts w:ascii="仿宋_GB2312" w:hAnsi="仿宋_GB2312" w:cs="仿宋_GB2312" w:eastAsia="仿宋_GB2312"/>
                <w:sz w:val="18"/>
              </w:rPr>
              <w:t>科普宣教为了取得较好的效果，材料选用群众日常生活必须小物品，制作内容通俗易懂的宣传海报、环保布袋、饮水纸杯、抽纸等，广泛宣传野生动物保护和疫源疫病防治法律法规和科学知识。专题技术培训计划培训1次，普及法律法规，提供必要的制度手册。</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18"/>
              </w:rPr>
              <w:t>服务要求</w:t>
            </w:r>
            <w:r>
              <w:br/>
            </w:r>
            <w:r>
              <w:rPr>
                <w:rFonts w:ascii="仿宋_GB2312" w:hAnsi="仿宋_GB2312" w:cs="仿宋_GB2312" w:eastAsia="仿宋_GB2312"/>
                <w:sz w:val="18"/>
              </w:rPr>
              <w:t xml:space="preserve"> 1.在服务范围内按工作内容和要求制定详细的方案，方案科学、合理、可靠。</w:t>
            </w:r>
            <w:r>
              <w:br/>
            </w:r>
            <w:r>
              <w:rPr>
                <w:rFonts w:ascii="仿宋_GB2312" w:hAnsi="仿宋_GB2312" w:cs="仿宋_GB2312" w:eastAsia="仿宋_GB2312"/>
                <w:sz w:val="18"/>
              </w:rPr>
              <w:t xml:space="preserve"> 2.人员配备合理。有针对本项目的专项项目小组，项目负责人、工作人员分工明确（应有具体成员名单，包括姓名、工作职责等）。</w:t>
            </w:r>
            <w:r>
              <w:br/>
            </w:r>
            <w:r>
              <w:rPr>
                <w:rFonts w:ascii="仿宋_GB2312" w:hAnsi="仿宋_GB2312" w:cs="仿宋_GB2312" w:eastAsia="仿宋_GB2312"/>
                <w:sz w:val="18"/>
              </w:rPr>
              <w:t xml:space="preserve"> 3.有各类突发事件的应急预案和措施，有明确具体的承诺。</w:t>
            </w:r>
            <w:r>
              <w:br/>
            </w:r>
            <w:r>
              <w:rPr>
                <w:rFonts w:ascii="仿宋_GB2312" w:hAnsi="仿宋_GB2312" w:cs="仿宋_GB2312" w:eastAsia="仿宋_GB2312"/>
                <w:sz w:val="18"/>
              </w:rPr>
              <w:t xml:space="preserve"> 4.供应商所拟派的工作人员，若在服务期间发生任何安全事故由供应商承担。</w:t>
            </w:r>
            <w:r>
              <w:br/>
            </w: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18"/>
              </w:rPr>
              <w:t>服务质量</w:t>
            </w:r>
            <w:r>
              <w:br/>
            </w:r>
            <w:r>
              <w:rPr>
                <w:rFonts w:ascii="仿宋_GB2312" w:hAnsi="仿宋_GB2312" w:cs="仿宋_GB2312" w:eastAsia="仿宋_GB2312"/>
                <w:sz w:val="18"/>
              </w:rPr>
              <w:t xml:space="preserve"> 完成《渭南市2026年国家重点野生动物疫源疫病监测防控项目》全部项目实施内容且达到合格标准，符合国家相关行业规范、规程和有关技术规定。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根据项目需求配置相应人员。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根据项目需求配置相应设施设备。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1.项目全部验收达到合格标准，符合国家相关行业规范、规程和有关技术规定。 2.供应商的每一项内容完成后，须向采购人提出申请，经采购人负责人员验收合格后，方可进行下一道工序工作。供应商全面完成项目建设任务后单位要及时组织自查，并向采购人提交自查报告，采购人对自查报告进行审核，审核内容包括：实施方案执行、任务完成情况、服务质量、资金使用情况及项目成效、存在问题与建议等。 3.本项目由采购人及相关部门定期对项目进行阶段性验收。 4.按磋商文件、磋商响应文件及澄清函、项目检查情况等综合指标进行验收。各项指标均应符合验收标准及要求。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进度款，完成野生动物疫源疫病防控能力提升内容，采购人验收合格后，达到付款条件起10个工作日内，支付合同总金额的40.0%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进度款，项目全部完成经采购人验收合格后，达到付款条件起10个工作日内，支付合同总金额的30.0%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1.成交供应商在成交结果公告发布后3个工作日内提供叁套纸质磋商响应文件（经编标工具生成的文件直接打印并加盖公章），递交的纸质版文件内容确保与线上电子文件保持一致，不允许修改和补充。 2.供应商应根据《政府采购促进中小企业发展管理办法》、《关于印发中小企业划型标准规定的通知》(工信部联企业(2011)300号)要求和采购文件中明确的采购标的所属行业进行企业划型。 3.出具磋商保证金交纳凭证或担保机构出具的保函（未按磋商文件要求提供响应无效）。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1.1供应商应具备独立承担民事责任能力的法人、其他组织或自然人，提供合法有效的统一社会信用代码的营业执照副本或相关证明（自然人提供身份证复印件）； 1.2提供具有财务审计资质单位出具的2025年度的财务报告或响应文件提交截止时间前六个月内其基本账户银行出具的资信证明； 1.3供应商提供响应文件提交截止时间前一年内任意一个月的社会保障资金缴存证明或社保机构开具的社会保险参保缴费情况证明； 1.4供应商提供响应文件提交截止时间前一年内任意一个月的依法缴纳税收的相关证明，依法免税需提供相关证明材料； 1.5提供供应商参加政府采购活动前三年内经营活动中没有重大违法记录的书面声明； 1.6提供具有履行合同所必需的设备和专业技术能力的声明。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法定代表人（负责人）或授权代表身份证明</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明，并与营业执照上信息一致；法定代表人（或负责人）授权代表参加磋商的，须出具法定代表人（或负责人）授权书及授权代表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供应商须具备林业调查规划设计丙级及以上资质证书；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供应商未列入“信用中国”网站(www.creditchina.gov.cn)失信被执行人、重大税收违法失信主体、政府采购严重违法失信行为记录名单和“中国政府采购网”(www.ccgp.gov.cn)政府采购严重违法失信行为信息记录；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供应商不得存在下列情形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磋商响应文件签署、盖章</w:t>
            </w:r>
          </w:p>
        </w:tc>
        <w:tc>
          <w:tcPr>
            <w:tcW w:type="dxa" w:w="3322"/>
          </w:tcPr>
          <w:p>
            <w:pPr>
              <w:pStyle w:val="null3"/>
            </w:pPr>
            <w:r>
              <w:rPr>
                <w:rFonts w:ascii="仿宋_GB2312" w:hAnsi="仿宋_GB2312" w:cs="仿宋_GB2312" w:eastAsia="仿宋_GB2312"/>
              </w:rPr>
              <w:t>磋商响应文件签署、盖章满足磋商文件的要求。</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服务内容及服务要求应答表 标的清单 商务应答表.docx 响应函 服务方案.docx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投标（响应）有效期</w:t>
            </w:r>
          </w:p>
        </w:tc>
        <w:tc>
          <w:tcPr>
            <w:tcW w:type="dxa" w:w="3322"/>
          </w:tcPr>
          <w:p>
            <w:pPr>
              <w:pStyle w:val="null3"/>
            </w:pPr>
            <w:r>
              <w:rPr>
                <w:rFonts w:ascii="仿宋_GB2312" w:hAnsi="仿宋_GB2312" w:cs="仿宋_GB2312" w:eastAsia="仿宋_GB2312"/>
              </w:rPr>
              <w:t>投标（响应）有效期（90日历天）满足磋商文件的要求。</w:t>
            </w:r>
          </w:p>
        </w:tc>
        <w:tc>
          <w:tcPr>
            <w:tcW w:type="dxa" w:w="1661"/>
          </w:tcPr>
          <w:p>
            <w:pPr>
              <w:pStyle w:val="null3"/>
            </w:pPr>
            <w:r>
              <w:rPr>
                <w:rFonts w:ascii="仿宋_GB2312" w:hAnsi="仿宋_GB2312" w:cs="仿宋_GB2312" w:eastAsia="仿宋_GB2312"/>
              </w:rPr>
              <w:t>商务应答表.docx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供应商磋商报价未出现选择性报价，未超出采购最高限价。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w:t>
            </w:r>
          </w:p>
        </w:tc>
        <w:tc>
          <w:tcPr>
            <w:tcW w:type="dxa" w:w="3322"/>
          </w:tcPr>
          <w:p>
            <w:pPr>
              <w:pStyle w:val="null3"/>
            </w:pPr>
            <w:r>
              <w:rPr>
                <w:rFonts w:ascii="仿宋_GB2312" w:hAnsi="仿宋_GB2312" w:cs="仿宋_GB2312" w:eastAsia="仿宋_GB2312"/>
              </w:rPr>
              <w:t>合同履行期满足或优于采购要求。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响应文件中对合同草案条款未附加采购人难以接受的条件</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质量标准达到国家现行行业验收规范“合格”标准及磋商文件要求。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磋商响应内容</w:t>
            </w:r>
          </w:p>
        </w:tc>
        <w:tc>
          <w:tcPr>
            <w:tcW w:type="dxa" w:w="3322"/>
          </w:tcPr>
          <w:p>
            <w:pPr>
              <w:pStyle w:val="null3"/>
            </w:pPr>
            <w:r>
              <w:rPr>
                <w:rFonts w:ascii="仿宋_GB2312" w:hAnsi="仿宋_GB2312" w:cs="仿宋_GB2312" w:eastAsia="仿宋_GB2312"/>
              </w:rPr>
              <w:t>供应商提供的货物(服务)无实质性遗漏。</w:t>
            </w:r>
          </w:p>
        </w:tc>
        <w:tc>
          <w:tcPr>
            <w:tcW w:type="dxa" w:w="1661"/>
          </w:tcPr>
          <w:p>
            <w:pPr>
              <w:pStyle w:val="null3"/>
            </w:pPr>
            <w:r>
              <w:rPr>
                <w:rFonts w:ascii="仿宋_GB2312" w:hAnsi="仿宋_GB2312" w:cs="仿宋_GB2312" w:eastAsia="仿宋_GB2312"/>
              </w:rPr>
              <w:t>服务内容及服务要求应答表 商务应答表.docx 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对本项目的理解与重难点分析</w:t>
            </w:r>
          </w:p>
        </w:tc>
        <w:tc>
          <w:tcPr>
            <w:tcW w:type="dxa" w:w="2492"/>
          </w:tcPr>
          <w:p>
            <w:pPr>
              <w:pStyle w:val="null3"/>
            </w:pPr>
            <w:r>
              <w:rPr>
                <w:rFonts w:ascii="仿宋_GB2312" w:hAnsi="仿宋_GB2312" w:cs="仿宋_GB2312" w:eastAsia="仿宋_GB2312"/>
              </w:rPr>
              <w:t>一、评审内容：对本项目的理解与重难点分析，包括但不限于：①对项目的理解和认识；②项目重难点分析；③合理化建议等。 二、评审标准：以上3项，以序号①、②、③为项数，内容无缺项且无缺陷的得6分，其中每有一项内容存在缺项扣2分，每项内容中每有一处存在缺陷的扣0.5分，扣完为止，未提供不得分。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针对本项目的总体服务方案，包括不限于：①疫源疫病防控方式；②监测范围；③服务内容；④工作流程等。二、评审标准：以上4项，以序号①、②、③、④为项数，内容无缺项且无缺陷的得12分，其中每有一项内容存在缺项扣3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项目管理方案</w:t>
            </w:r>
          </w:p>
        </w:tc>
        <w:tc>
          <w:tcPr>
            <w:tcW w:type="dxa" w:w="2492"/>
          </w:tcPr>
          <w:p>
            <w:pPr>
              <w:pStyle w:val="null3"/>
            </w:pPr>
            <w:r>
              <w:rPr>
                <w:rFonts w:ascii="仿宋_GB2312" w:hAnsi="仿宋_GB2312" w:cs="仿宋_GB2312" w:eastAsia="仿宋_GB2312"/>
              </w:rPr>
              <w:t>一、评审内容：针对本项目制定详细可行的项目管理方案，包括但不限于：①项目的岗位设置；②员工管理制度；③档案管理制度等。 二、评审标准：以上3项，以序号①、②、③为项数，内容无缺项且无缺陷的得9分，其中每有一项内容存在缺项扣3分，每项内容中每有一处存在缺陷的扣0.5分，扣完为止，未提供不得分。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针对本项目的质量保障措施，包含不限于：①质量管理体系及措施；②项目进度保障措施；③安全保证措施等。二、评审标准：以上3项，以序号①、②、③为项数，内容无缺项且无缺陷的得9分，其中每有一项内容存在缺项扣3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供应商提供具有针对突发特殊情况的应急保障措施。确保在发生紧急事件及其他问题时，能够及时、有效地解决问题，保证本项目顺利进行。二、评审标准：内容无缺陷的得4分，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 ①具有5年及以上林业工作经验，得2分；拥有3年（含）—5年（不含）林业工作经验，得1分；不足3年不得分。 注：需提供对应年限连续或累计林业从业证明材料（有效的劳动合同或其他证明材料），加盖单位公章，未提供不予计分。 ②项目负责人具备中级及以上林业工程师资格，得3分。 注：提供相应的资格证及在本单位缴纳一年内任意一个月社保缴纳证明或有效的劳动合同等证明材料，加盖单位公章，未提供或有遗漏的该项不予计分。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项目组人员</w:t>
            </w:r>
          </w:p>
        </w:tc>
        <w:tc>
          <w:tcPr>
            <w:tcW w:type="dxa" w:w="2492"/>
          </w:tcPr>
          <w:p>
            <w:pPr>
              <w:pStyle w:val="null3"/>
            </w:pPr>
            <w:r>
              <w:rPr>
                <w:rFonts w:ascii="仿宋_GB2312" w:hAnsi="仿宋_GB2312" w:cs="仿宋_GB2312" w:eastAsia="仿宋_GB2312"/>
              </w:rPr>
              <w:t>项目组人员组成： ①项目组总人数必须满足5人，每增加一人得1.5分，最多得9分（人员总数不满足5人不得分）； ②项目团队人员中每配备1名中级及以上林业工程师，得1分，每配备一名初级林业工程师得0.5分，该项最多得5分（除项目负责人外）。注：拟派人员均需提供相应的资格证及在本单位缴纳一年内一个月社保缴纳证明或劳动合同等证明材料，加盖单位公章，未提供或有遗漏的不予计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提供以下服务承诺：①服务质量达到采购文件要求的承诺；②服务周期按采购文件要求或可提供更优服务周期的承诺；③接受采购人对服务的监督及管理的承诺；④承诺验收前，项目团队的人员保持稳定的承诺等。 二、评审标准：以上4项，需提供加盖供应商公章的书面承诺文件，每提供1项不低于采购文件要求的有效书面承诺得3分，最高得12分。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1日起至今类似项目业绩，每提供一项得3分，最高得9分。（提供合同复印件或中标（成交）通知书复印件加盖公章。如提供中标（成交）通知书，以中标（成交）通知书发放时间为准；如提供合同，以合同签订日期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满足竞争性磋商文件要求且磋商价格最低的磋商报价为评标基准价，其价格分为满分。其他供应商的价格分统一按照下列公式计算：磋商报价得分=（评标基准价/有效报价）×价格权重（20%）×100。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