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版本号：HCXM-GK-2607-11-120260814001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陕西省计生特殊家庭父母意外、疾病住院护理保险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HCXM-GK-2607-11-1</w:t>
      </w:r>
      <w:r>
        <w:br/>
      </w:r>
      <w:r>
        <w:br/>
      </w:r>
      <w:r>
        <w:br/>
      </w:r>
    </w:p>
    <w:p>
      <w:pPr>
        <w:pStyle w:val="null3"/>
        <w:jc w:val="center"/>
        <w:outlineLvl w:val="2"/>
      </w:pPr>
      <w:r>
        <w:rPr>
          <w:rFonts w:ascii="仿宋_GB2312" w:hAnsi="仿宋_GB2312" w:cs="仿宋_GB2312" w:eastAsia="仿宋_GB2312"/>
          <w:sz w:val="28"/>
          <w:b/>
        </w:rPr>
        <w:t>陕西省计划生育协会</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陕西省计划生育协会</w:t>
      </w:r>
      <w:r>
        <w:rPr>
          <w:rFonts w:ascii="仿宋_GB2312" w:hAnsi="仿宋_GB2312" w:cs="仿宋_GB2312" w:eastAsia="仿宋_GB2312"/>
        </w:rPr>
        <w:t>委托，拟对</w:t>
      </w:r>
      <w:r>
        <w:rPr>
          <w:rFonts w:ascii="仿宋_GB2312" w:hAnsi="仿宋_GB2312" w:cs="仿宋_GB2312" w:eastAsia="仿宋_GB2312"/>
        </w:rPr>
        <w:t>陕西省计生特殊家庭父母意外、疾病住院护理保险</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HCXM-GK-2607-11-1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陕西省计生特殊家庭父母意外、疾病住院护理保险</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陕西省计生特殊家庭父母意外、疾病住院护理保险，具体内容详见招标文件。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供应商须提供国家金融监督管理总局及其派出机构核发、在有效期内的金融许可证；换证过渡期可提供原经营保险业务许可证、原保险许可证；（10）、若分支机构参与投标，须提供总公司出具且处于有效期内的正式授权文件。（11）、本项目不接受联合体投标（提供非联合体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供应商须提供国家金融监督管理总局及其派出机构核发、在有效期内的金融许可证；换证过渡期可提供原经营保险业务许可证、原保险许可证；（10）、若分支机构参与投标，须提供总公司出具且处于有效期内的正式授权文件。（11）、本项目不接受联合体投标（提供非联合体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供应商须提供国家金融监督管理总局及其派出机构核发、在有效期内的金融许可证；换证过渡期可提供原经营保险业务许可证、原保险许可证；（10）、若分支机构参与投标，须提供总公司出具且处于有效期内的正式授权文件。（11）、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陕西省计划生育协会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西安市莲湖区崇新里18号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陕西省计划生育协会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029-87373060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采购包2：2,010,000.00元</w:t>
            </w:r>
          </w:p>
          <w:p>
            <w:pPr>
              <w:pStyle w:val="null3"/>
            </w:pPr>
            <w:r>
              <w:rPr>
                <w:rFonts w:ascii="仿宋_GB2312" w:hAnsi="仿宋_GB2312" w:cs="仿宋_GB2312" w:eastAsia="仿宋_GB2312"/>
              </w:rPr>
              <w:t>采购包3：1,690,000.00元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 ]857号）、《国家发展改革委关于进一步放开建设项目专业服务价格的通知》； 本项目招标代理服务费由中标人在中标结果公示期满后三个工作日内支付给招标代理机构。（代理 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陕西省计划生育协会</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陕西省计划生育协会</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陕西省计划生育协会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最终以签订合同及招标文件为准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地址：陕西省西安市雁塔区团结南路12号西安国际人才大厦A座1508室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陕西省计生特殊家庭父母意外、疾病住院护理保险，具体内容详见招标文件。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陕西省计生特殊家庭父母意外、疾病住院护理保险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2,010,000.00</w:t>
      </w:r>
    </w:p>
    <w:p>
      <w:pPr>
        <w:pStyle w:val="null3"/>
      </w:pPr>
      <w:r>
        <w:rPr>
          <w:rFonts w:ascii="仿宋_GB2312" w:hAnsi="仿宋_GB2312" w:cs="仿宋_GB2312" w:eastAsia="仿宋_GB2312"/>
        </w:rPr>
        <w:t>采购包最高限价（元）: 2,010,000.00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陕西省计生特殊家庭父母意外、疾病住院护理保险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1,690,000.00</w:t>
      </w:r>
    </w:p>
    <w:p>
      <w:pPr>
        <w:pStyle w:val="null3"/>
      </w:pPr>
      <w:r>
        <w:rPr>
          <w:rFonts w:ascii="仿宋_GB2312" w:hAnsi="仿宋_GB2312" w:cs="仿宋_GB2312" w:eastAsia="仿宋_GB2312"/>
        </w:rPr>
        <w:t>采购包最高限价（元）: 1,690,000.00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陕西省计生特殊家庭父母意外、疾病住院护理保险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标的名称：陕西省计生特殊家庭父母意外、疾病住院护理保险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一、采购项目概况</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1）项目名称:陕西省计生特殊家庭父母意外、疾病住院护理保险</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2）采购内容: 为</w:t>
            </w:r>
            <w:r>
              <w:rPr>
                <w:rFonts w:ascii="仿宋_GB2312" w:hAnsi="仿宋_GB2312" w:cs="仿宋_GB2312" w:eastAsia="仿宋_GB2312"/>
                <w:sz w:val="20"/>
              </w:rPr>
              <w:t>西安、渭南</w:t>
            </w:r>
            <w:r>
              <w:rPr>
                <w:rFonts w:ascii="仿宋_GB2312" w:hAnsi="仿宋_GB2312" w:cs="仿宋_GB2312" w:eastAsia="仿宋_GB2312"/>
                <w:sz w:val="20"/>
              </w:rPr>
              <w:t>49周岁以上特殊家庭父母购买意外、疾病住院护理保险。投保总人数</w:t>
            </w:r>
            <w:r>
              <w:rPr>
                <w:rFonts w:ascii="仿宋_GB2312" w:hAnsi="仿宋_GB2312" w:cs="仿宋_GB2312" w:eastAsia="仿宋_GB2312"/>
                <w:sz w:val="20"/>
              </w:rPr>
              <w:t>15313</w:t>
            </w:r>
            <w:r>
              <w:rPr>
                <w:rFonts w:ascii="仿宋_GB2312" w:hAnsi="仿宋_GB2312" w:cs="仿宋_GB2312" w:eastAsia="仿宋_GB2312"/>
                <w:sz w:val="20"/>
              </w:rPr>
              <w:t>人。意外、疾病住院的对象赔付标准为全年累计不超过</w:t>
            </w:r>
            <w:r>
              <w:rPr>
                <w:rFonts w:ascii="仿宋_GB2312" w:hAnsi="仿宋_GB2312" w:cs="仿宋_GB2312" w:eastAsia="仿宋_GB2312"/>
                <w:sz w:val="20"/>
              </w:rPr>
              <w:t>90天（含）、特级护理每人每天130元、其他护理级别每人每天110元，对于身故的一次性赔付6000元、对于伤残的，根据伤残等级按比例赔付，最高赔付10000元。(以上赔付包含既往病史)</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3）需满足的要求:因意外住院护理 、疾病住院护理 、丧葬补助金、残疾补助金</w:t>
            </w:r>
          </w:p>
          <w:p>
            <w:pPr>
              <w:pStyle w:val="null3"/>
              <w:ind w:firstLine="400"/>
              <w:jc w:val="left"/>
            </w:pPr>
            <w:r>
              <w:rPr>
                <w:rFonts w:ascii="仿宋_GB2312" w:hAnsi="仿宋_GB2312" w:cs="仿宋_GB2312" w:eastAsia="仿宋_GB2312"/>
                <w:sz w:val="20"/>
              </w:rPr>
              <w:t>注：被保险人因疾病出险，须包含既往病史疾病。</w:t>
            </w:r>
          </w:p>
          <w:p>
            <w:pPr>
              <w:pStyle w:val="null3"/>
              <w:ind w:firstLine="402"/>
              <w:jc w:val="left"/>
            </w:pPr>
            <w:r>
              <w:rPr>
                <w:rFonts w:ascii="仿宋_GB2312" w:hAnsi="仿宋_GB2312" w:cs="仿宋_GB2312" w:eastAsia="仿宋_GB2312"/>
                <w:sz w:val="20"/>
                <w:b/>
              </w:rPr>
              <w:t>二、服务要求</w:t>
            </w:r>
            <w:r>
              <w:rPr>
                <w:rFonts w:ascii="仿宋_GB2312" w:hAnsi="仿宋_GB2312" w:cs="仿宋_GB2312" w:eastAsia="仿宋_GB2312"/>
              </w:rPr>
              <w:t xml:space="preserve"> </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1）供应商应在下辖机构，指定专人负责并提供联系电话，负责受理被保险人的咨询及理赔服务。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2）理赔手续应简单合理，设有快速理赔通道，提供上门理赔服务。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保险公司应在做出理赔核定并划拨保险金后及时将理赔金额告知被保险人。服务形式为电话、网络、现场等，确保解决问题时限，发生参保人员提出赔付申请等相关问题，接到参保人联系后，应于工作时间内2小时（非工作时间日内4小时）及时联系参保人员主动提供解决赔付等相关问题的解决流程及方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4）供应商月、季、年向采购人提供服务分析报告，包含赔付、日常服务执行情况等。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5）关于投保等待期：上一年度已投保过人员不因中标保险单位的变化产生等待期，本年度新增投保人员可依照有关法律规定保留投保等待期；</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6）投标供应商须承诺保险期限为2026年7月1日00:00 时至2027年6月30日24:00时。</w:t>
            </w:r>
            <w:r>
              <w:br/>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7）按照</w:t>
            </w:r>
            <w:r>
              <w:rPr>
                <w:rFonts w:ascii="仿宋_GB2312" w:hAnsi="仿宋_GB2312" w:cs="仿宋_GB2312" w:eastAsia="仿宋_GB2312"/>
                <w:sz w:val="20"/>
              </w:rPr>
              <w:t>服务地区</w:t>
            </w:r>
            <w:r>
              <w:rPr>
                <w:rFonts w:ascii="仿宋_GB2312" w:hAnsi="仿宋_GB2312" w:cs="仿宋_GB2312" w:eastAsia="仿宋_GB2312"/>
                <w:sz w:val="20"/>
              </w:rPr>
              <w:t>陕西省行政区域划分每个市级至少有一个分支机构。</w:t>
            </w:r>
          </w:p>
          <w:p>
            <w:pPr>
              <w:pStyle w:val="null3"/>
              <w:ind w:firstLine="402"/>
              <w:jc w:val="left"/>
            </w:pPr>
            <w:r>
              <w:rPr>
                <w:rFonts w:ascii="仿宋_GB2312" w:hAnsi="仿宋_GB2312" w:cs="仿宋_GB2312" w:eastAsia="仿宋_GB2312"/>
                <w:sz w:val="20"/>
                <w:b/>
              </w:rPr>
              <w:t>备注：</w:t>
            </w:r>
            <w:r>
              <w:rPr>
                <w:rFonts w:ascii="仿宋_GB2312" w:hAnsi="仿宋_GB2312" w:cs="仿宋_GB2312" w:eastAsia="仿宋_GB2312"/>
                <w:sz w:val="20"/>
                <w:b/>
              </w:rPr>
              <w:t>1.</w:t>
            </w:r>
            <w:r>
              <w:rPr>
                <w:rFonts w:ascii="仿宋_GB2312" w:hAnsi="仿宋_GB2312" w:cs="仿宋_GB2312" w:eastAsia="仿宋_GB2312"/>
                <w:sz w:val="20"/>
              </w:rPr>
              <w:t>关于后期服务：中标单位需要保障采购方的日常走访慰问活动；中标单位所有增值服务承诺均作为合同履约考核内容。</w:t>
            </w:r>
          </w:p>
          <w:p>
            <w:pPr>
              <w:pStyle w:val="null3"/>
            </w:pPr>
            <w:r>
              <w:rPr>
                <w:rFonts w:ascii="仿宋_GB2312" w:hAnsi="仿宋_GB2312" w:cs="仿宋_GB2312" w:eastAsia="仿宋_GB2312"/>
                <w:sz w:val="20"/>
              </w:rPr>
              <w:t xml:space="preserve">    2.供应商所拟派的工作人员，若在服务期间发生任何伤害，采购人概不负责，由供应商自行处理。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标的名称：陕西省计生特殊家庭父母意外、疾病住院护理保险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一、采购项目概况</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1）项目名称:陕西省计生特殊家庭父母意外、疾病住院护理保险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2）采购内容: 为</w:t>
            </w:r>
            <w:r>
              <w:rPr>
                <w:rFonts w:ascii="仿宋_GB2312" w:hAnsi="仿宋_GB2312" w:cs="仿宋_GB2312" w:eastAsia="仿宋_GB2312"/>
                <w:sz w:val="20"/>
              </w:rPr>
              <w:t>汉中</w:t>
            </w:r>
            <w:r>
              <w:rPr>
                <w:rFonts w:ascii="仿宋_GB2312" w:hAnsi="仿宋_GB2312" w:cs="仿宋_GB2312" w:eastAsia="仿宋_GB2312"/>
                <w:sz w:val="20"/>
              </w:rPr>
              <w:t>、</w:t>
            </w:r>
            <w:r>
              <w:rPr>
                <w:rFonts w:ascii="仿宋_GB2312" w:hAnsi="仿宋_GB2312" w:cs="仿宋_GB2312" w:eastAsia="仿宋_GB2312"/>
                <w:sz w:val="20"/>
              </w:rPr>
              <w:t>铜川</w:t>
            </w:r>
            <w:r>
              <w:rPr>
                <w:rFonts w:ascii="仿宋_GB2312" w:hAnsi="仿宋_GB2312" w:cs="仿宋_GB2312" w:eastAsia="仿宋_GB2312"/>
                <w:sz w:val="20"/>
              </w:rPr>
              <w:t>、</w:t>
            </w:r>
            <w:r>
              <w:rPr>
                <w:rFonts w:ascii="仿宋_GB2312" w:hAnsi="仿宋_GB2312" w:cs="仿宋_GB2312" w:eastAsia="仿宋_GB2312"/>
                <w:sz w:val="20"/>
              </w:rPr>
              <w:t>延安</w:t>
            </w:r>
            <w:r>
              <w:rPr>
                <w:rFonts w:ascii="仿宋_GB2312" w:hAnsi="仿宋_GB2312" w:cs="仿宋_GB2312" w:eastAsia="仿宋_GB2312"/>
                <w:sz w:val="20"/>
              </w:rPr>
              <w:t>、</w:t>
            </w:r>
            <w:r>
              <w:rPr>
                <w:rFonts w:ascii="仿宋_GB2312" w:hAnsi="仿宋_GB2312" w:cs="仿宋_GB2312" w:eastAsia="仿宋_GB2312"/>
                <w:sz w:val="20"/>
              </w:rPr>
              <w:t>榆林</w:t>
            </w:r>
            <w:r>
              <w:rPr>
                <w:rFonts w:ascii="仿宋_GB2312" w:hAnsi="仿宋_GB2312" w:cs="仿宋_GB2312" w:eastAsia="仿宋_GB2312"/>
                <w:sz w:val="20"/>
              </w:rPr>
              <w:t>49周岁以上特殊家庭父母购买意外、疾病住院护理保险。投保总人数</w:t>
            </w:r>
            <w:r>
              <w:rPr>
                <w:rFonts w:ascii="仿宋_GB2312" w:hAnsi="仿宋_GB2312" w:cs="仿宋_GB2312" w:eastAsia="仿宋_GB2312"/>
                <w:sz w:val="20"/>
              </w:rPr>
              <w:t>10280</w:t>
            </w:r>
            <w:r>
              <w:rPr>
                <w:rFonts w:ascii="仿宋_GB2312" w:hAnsi="仿宋_GB2312" w:cs="仿宋_GB2312" w:eastAsia="仿宋_GB2312"/>
                <w:sz w:val="20"/>
              </w:rPr>
              <w:t>人。意外、疾病住院的对象赔付标准为全年累计不超过</w:t>
            </w:r>
            <w:r>
              <w:rPr>
                <w:rFonts w:ascii="仿宋_GB2312" w:hAnsi="仿宋_GB2312" w:cs="仿宋_GB2312" w:eastAsia="仿宋_GB2312"/>
                <w:sz w:val="20"/>
              </w:rPr>
              <w:t>90天（含）、特级护理每人每天130元、其他护理级别每人每天110元，对于身故的一次性赔付6000元、对于伤残的，根据伤残等级按比例赔付，最高赔付10000元。(以上赔付包含既往病史)</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3）需满足的要求:因意外住院护理 、疾病住院护理 、丧葬补助金、残疾补助金</w:t>
            </w:r>
          </w:p>
          <w:p>
            <w:pPr>
              <w:pStyle w:val="null3"/>
              <w:ind w:firstLine="400"/>
              <w:jc w:val="left"/>
            </w:pPr>
            <w:r>
              <w:rPr>
                <w:rFonts w:ascii="仿宋_GB2312" w:hAnsi="仿宋_GB2312" w:cs="仿宋_GB2312" w:eastAsia="仿宋_GB2312"/>
                <w:sz w:val="20"/>
              </w:rPr>
              <w:t>注：被保险人因疾病出险，须包含既往病史疾病。</w:t>
            </w:r>
          </w:p>
          <w:p>
            <w:pPr>
              <w:pStyle w:val="null3"/>
              <w:ind w:firstLine="402"/>
              <w:jc w:val="left"/>
            </w:pPr>
            <w:r>
              <w:rPr>
                <w:rFonts w:ascii="仿宋_GB2312" w:hAnsi="仿宋_GB2312" w:cs="仿宋_GB2312" w:eastAsia="仿宋_GB2312"/>
                <w:sz w:val="20"/>
                <w:b/>
              </w:rPr>
              <w:t>二、服务要求</w:t>
            </w:r>
            <w:r>
              <w:rPr>
                <w:rFonts w:ascii="仿宋_GB2312" w:hAnsi="仿宋_GB2312" w:cs="仿宋_GB2312" w:eastAsia="仿宋_GB2312"/>
              </w:rPr>
              <w:t xml:space="preserve"> </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1）供应商应在下辖机构，指定专人负责并提供联系电话，负责受理被保险人的咨询及理赔服务。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2）理赔手续应简单合理，设有快速理赔通道，提供上门理赔服务。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保险公司应在做出理赔核定并划拨保险金后及时将理赔金额告知被保险人。服务形式为电话、网络、现场等，确保解决问题时限，发生参保人员提出赔付申请等相关问题，接到参保人联系后，应于工作时间内2小时（非工作时间日内4小时）及时联系参保人员主动提供解决赔付等相关问题的解决流程及方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4）供应商月、季、年向采购人提供服务分析报告，包含赔付、日常服务执行情况等。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5）关于投保等待期：上一年度已投保过人员不因中标保险单位的变化产生等待期，本年度新增投保人员可依照有关法律规定保留投保等待期；</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6）投标供应商须承诺保险期限为2026年7月1日00:00 时至2027年6月30日24:00时。</w:t>
            </w:r>
            <w:r>
              <w:br/>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7）按照</w:t>
            </w:r>
            <w:r>
              <w:rPr>
                <w:rFonts w:ascii="仿宋_GB2312" w:hAnsi="仿宋_GB2312" w:cs="仿宋_GB2312" w:eastAsia="仿宋_GB2312"/>
                <w:sz w:val="20"/>
              </w:rPr>
              <w:t>服务地区</w:t>
            </w:r>
            <w:r>
              <w:rPr>
                <w:rFonts w:ascii="仿宋_GB2312" w:hAnsi="仿宋_GB2312" w:cs="仿宋_GB2312" w:eastAsia="仿宋_GB2312"/>
                <w:sz w:val="20"/>
              </w:rPr>
              <w:t>陕西省行政区域划分每个市级至少有一个分支机构。</w:t>
            </w:r>
          </w:p>
          <w:p>
            <w:pPr>
              <w:pStyle w:val="null3"/>
              <w:ind w:firstLine="402"/>
              <w:jc w:val="left"/>
            </w:pPr>
            <w:r>
              <w:rPr>
                <w:rFonts w:ascii="仿宋_GB2312" w:hAnsi="仿宋_GB2312" w:cs="仿宋_GB2312" w:eastAsia="仿宋_GB2312"/>
                <w:sz w:val="20"/>
                <w:b/>
              </w:rPr>
              <w:t>备注：</w:t>
            </w:r>
            <w:r>
              <w:rPr>
                <w:rFonts w:ascii="仿宋_GB2312" w:hAnsi="仿宋_GB2312" w:cs="仿宋_GB2312" w:eastAsia="仿宋_GB2312"/>
                <w:sz w:val="20"/>
                <w:b/>
              </w:rPr>
              <w:t>1.</w:t>
            </w:r>
            <w:r>
              <w:rPr>
                <w:rFonts w:ascii="仿宋_GB2312" w:hAnsi="仿宋_GB2312" w:cs="仿宋_GB2312" w:eastAsia="仿宋_GB2312"/>
                <w:sz w:val="20"/>
              </w:rPr>
              <w:t>关于后期服务：中标单位需要保障采购方的日常走访慰问活动；中标单位所有增值服务承诺均作为合同履约考核内容。</w:t>
            </w:r>
          </w:p>
          <w:p>
            <w:pPr>
              <w:pStyle w:val="null3"/>
            </w:pPr>
            <w:r>
              <w:rPr>
                <w:rFonts w:ascii="仿宋_GB2312" w:hAnsi="仿宋_GB2312" w:cs="仿宋_GB2312" w:eastAsia="仿宋_GB2312"/>
                <w:sz w:val="20"/>
              </w:rPr>
              <w:t xml:space="preserve">    2.供应商所拟派的工作人员，若在服务期间发生任何伤害，采购人概不负责，由供应商自行处理。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标的名称：陕西省计生特殊家庭父母意外、疾病住院护理保险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一、采购项目概况</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1）项目名称:陕西省计生特殊家庭父母意外、疾病住院护理保险</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2）采购内容: 为</w:t>
            </w:r>
            <w:r>
              <w:rPr>
                <w:rFonts w:ascii="仿宋_GB2312" w:hAnsi="仿宋_GB2312" w:cs="仿宋_GB2312" w:eastAsia="仿宋_GB2312"/>
                <w:sz w:val="20"/>
              </w:rPr>
              <w:t>安康</w:t>
            </w:r>
            <w:r>
              <w:rPr>
                <w:rFonts w:ascii="仿宋_GB2312" w:hAnsi="仿宋_GB2312" w:cs="仿宋_GB2312" w:eastAsia="仿宋_GB2312"/>
                <w:sz w:val="20"/>
              </w:rPr>
              <w:t>、</w:t>
            </w:r>
            <w:r>
              <w:rPr>
                <w:rFonts w:ascii="仿宋_GB2312" w:hAnsi="仿宋_GB2312" w:cs="仿宋_GB2312" w:eastAsia="仿宋_GB2312"/>
                <w:sz w:val="20"/>
              </w:rPr>
              <w:t>商洛</w:t>
            </w:r>
            <w:r>
              <w:rPr>
                <w:rFonts w:ascii="仿宋_GB2312" w:hAnsi="仿宋_GB2312" w:cs="仿宋_GB2312" w:eastAsia="仿宋_GB2312"/>
                <w:sz w:val="20"/>
              </w:rPr>
              <w:t>、</w:t>
            </w:r>
            <w:r>
              <w:rPr>
                <w:rFonts w:ascii="仿宋_GB2312" w:hAnsi="仿宋_GB2312" w:cs="仿宋_GB2312" w:eastAsia="仿宋_GB2312"/>
                <w:sz w:val="20"/>
              </w:rPr>
              <w:t>咸阳（含杨陵）</w:t>
            </w:r>
            <w:r>
              <w:rPr>
                <w:rFonts w:ascii="仿宋_GB2312" w:hAnsi="仿宋_GB2312" w:cs="仿宋_GB2312" w:eastAsia="仿宋_GB2312"/>
                <w:sz w:val="20"/>
              </w:rPr>
              <w:t>、</w:t>
            </w:r>
            <w:r>
              <w:rPr>
                <w:rFonts w:ascii="仿宋_GB2312" w:hAnsi="仿宋_GB2312" w:cs="仿宋_GB2312" w:eastAsia="仿宋_GB2312"/>
                <w:sz w:val="20"/>
              </w:rPr>
              <w:t>宝鸡</w:t>
            </w:r>
            <w:r>
              <w:rPr>
                <w:rFonts w:ascii="仿宋_GB2312" w:hAnsi="仿宋_GB2312" w:cs="仿宋_GB2312" w:eastAsia="仿宋_GB2312"/>
                <w:sz w:val="20"/>
              </w:rPr>
              <w:t>49周岁以上特殊家庭父母购买意外、疾病住院护理保险。投保总人数</w:t>
            </w:r>
            <w:r>
              <w:rPr>
                <w:rFonts w:ascii="仿宋_GB2312" w:hAnsi="仿宋_GB2312" w:cs="仿宋_GB2312" w:eastAsia="仿宋_GB2312"/>
                <w:sz w:val="20"/>
              </w:rPr>
              <w:t>8603</w:t>
            </w:r>
            <w:r>
              <w:rPr>
                <w:rFonts w:ascii="仿宋_GB2312" w:hAnsi="仿宋_GB2312" w:cs="仿宋_GB2312" w:eastAsia="仿宋_GB2312"/>
                <w:sz w:val="20"/>
              </w:rPr>
              <w:t>人。意外、疾病住院的对象赔付标准为全年累计不超过</w:t>
            </w:r>
            <w:r>
              <w:rPr>
                <w:rFonts w:ascii="仿宋_GB2312" w:hAnsi="仿宋_GB2312" w:cs="仿宋_GB2312" w:eastAsia="仿宋_GB2312"/>
                <w:sz w:val="20"/>
              </w:rPr>
              <w:t>90天（含）、特级护理每人每天130元、其他护理级别每人每天110元，对于身故的一次性赔付6000元、对于伤残的，根据伤残等级按比例赔付，最高赔付10000元。(以上赔付包含既往病史)</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3）需满足的要求:因意外住院护理 、疾病住院护理 、丧葬补助金、残疾补助金</w:t>
            </w:r>
          </w:p>
          <w:p>
            <w:pPr>
              <w:pStyle w:val="null3"/>
              <w:ind w:firstLine="400"/>
              <w:jc w:val="left"/>
            </w:pPr>
            <w:r>
              <w:rPr>
                <w:rFonts w:ascii="仿宋_GB2312" w:hAnsi="仿宋_GB2312" w:cs="仿宋_GB2312" w:eastAsia="仿宋_GB2312"/>
                <w:sz w:val="20"/>
              </w:rPr>
              <w:t>注：被保险人因疾病出险，须包含既往病史疾病。</w:t>
            </w:r>
          </w:p>
          <w:p>
            <w:pPr>
              <w:pStyle w:val="null3"/>
              <w:ind w:firstLine="402"/>
              <w:jc w:val="left"/>
            </w:pPr>
            <w:r>
              <w:rPr>
                <w:rFonts w:ascii="仿宋_GB2312" w:hAnsi="仿宋_GB2312" w:cs="仿宋_GB2312" w:eastAsia="仿宋_GB2312"/>
                <w:sz w:val="20"/>
                <w:b/>
              </w:rPr>
              <w:t>二、服务要求</w:t>
            </w:r>
            <w:r>
              <w:rPr>
                <w:rFonts w:ascii="仿宋_GB2312" w:hAnsi="仿宋_GB2312" w:cs="仿宋_GB2312" w:eastAsia="仿宋_GB2312"/>
              </w:rPr>
              <w:t xml:space="preserve"> </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1）供应商应在下辖机构，指定专人负责并提供联系电话，负责受理被保险人的咨询及理赔服务。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2）理赔手续应简单合理，设有快速理赔通道，提供上门理赔服务。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保险公司应在做出理赔核定并划拨保险金后及时将理赔金额告知被保险人。服务形式为电话、网络、现场等，确保解决问题时限，发生参保人员提出赔付申请等相关问题，接到参保人联系后，应于工作时间内2小时（非工作时间日内4小时）及时联系参保人员主动提供解决赔付等相关问题的解决流程及方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4）供应商月、季、年向采购人提供服务分析报告，包含赔付、日常服务执行情况等。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5）关于投保等待期：上一年度已投保过人员不因中标保险单位的变化产生等待期，本年度新增投保人员可依照有关法律规定保留投保等待期；</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6）投标供应商须承诺保险期限为2026年7月1日00:00 时至2027年6月30日24:00时。</w:t>
            </w:r>
            <w:r>
              <w:br/>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7）按照服务地区陕西省行政区域划分每个市级至少有一个分支机构。</w:t>
            </w:r>
          </w:p>
          <w:p>
            <w:pPr>
              <w:pStyle w:val="null3"/>
              <w:ind w:firstLine="402"/>
              <w:jc w:val="left"/>
            </w:pPr>
            <w:r>
              <w:rPr>
                <w:rFonts w:ascii="仿宋_GB2312" w:hAnsi="仿宋_GB2312" w:cs="仿宋_GB2312" w:eastAsia="仿宋_GB2312"/>
                <w:sz w:val="20"/>
                <w:b/>
              </w:rPr>
              <w:t>备注：</w:t>
            </w:r>
            <w:r>
              <w:rPr>
                <w:rFonts w:ascii="仿宋_GB2312" w:hAnsi="仿宋_GB2312" w:cs="仿宋_GB2312" w:eastAsia="仿宋_GB2312"/>
                <w:sz w:val="20"/>
                <w:b/>
              </w:rPr>
              <w:t>1.</w:t>
            </w:r>
            <w:r>
              <w:rPr>
                <w:rFonts w:ascii="仿宋_GB2312" w:hAnsi="仿宋_GB2312" w:cs="仿宋_GB2312" w:eastAsia="仿宋_GB2312"/>
                <w:sz w:val="20"/>
              </w:rPr>
              <w:t>关于后期服务：中标单位需要保障采购方的日常走访慰问活动；中标单位所有增值服务承诺均作为合同履约考核内容。</w:t>
            </w:r>
          </w:p>
          <w:p>
            <w:pPr>
              <w:pStyle w:val="null3"/>
            </w:pPr>
            <w:r>
              <w:rPr>
                <w:rFonts w:ascii="仿宋_GB2312" w:hAnsi="仿宋_GB2312" w:cs="仿宋_GB2312" w:eastAsia="仿宋_GB2312"/>
                <w:sz w:val="20"/>
              </w:rPr>
              <w:t xml:space="preserve">    2.供应商所拟派的工作人员，若在服务期间发生任何伤害，采购人概不负责，由供应商自行处理。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最终以签订合同及招标文件为准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最终以签订合同及招标文件为准</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分为采购包1、采购包2、采购包3三个采购包。投标人可同时参与一个或多个采购包投标，每个采购包须分别编制、递交对应投标文件。兼投不兼中：同一投标人最多只能被确定为1个采购包的中标候选人，不得同时中多个采购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分为采购包1、采购包2、采购包3三个采购包。投标人可同时参与一个或多个采购包投标，每个采购包须分别编制、递交对应投标文件。兼投不兼中：同一投标人最多只能被确定为1个采购包的中标候选人，不得同时中多个采购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分为采购包1、采购包2、采购包3三个采购包。投标人可同时参与一个或多个采购包投标，每个采购包须分别编制、递交对应投标文件。兼投不兼中：同一投标人最多只能被确定为1个采购包的中标候选人，不得同时中多个采购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保险期限为2026年7月1日00:00 时至2027年6月30日24:00时。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保险期限为2026年7月1日00:00 时至2027年6月30日24:00时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保险期限为2026年7月1日00:00 时至2027年6月30日24:00时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西安、渭南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汉中、铜川、延安、榆林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安康、商洛、咸阳（含杨陵）、宝鸡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最终以签订合同及招标文件为准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进度款，合同签订后，中标单位向采购方开具正式发票，五个工作日内向采购人出具正式保险单，达到付款条件起30个工作日内，支付合同总金额的100.0%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进度款，合同签订后，中标单位向采购方开具正式发票，五个工作日内向采购人出具正式保险单，达到付款条件起30个工作日内，支付合同总金额的100.0%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进度款，合同签订后，中标单位向采购方开具正式发票，五个工作日内向采购人出具正式保险单，达到付款条件起30个工作日内，支付合同总金额的100.0%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最终以签订合同及招标文件为准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最终以签订合同及招标文件为准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分为采购包1、采购包2、采购包3三个采购包。投标人可同时参与一个或多个采购包投标，每个采购包须分别编制、递交对应投标文件。兼投不兼中：同一投标人最多只能被确定为1个采购包的中标候选人，不得同时中多个采购包。 2、中标供应商需在项目结束后提交纸质投标文件正本壹份、副本贰份、电子版贰份（U盘）（与线上电子投标文件一致，胶装后封面盖鲜章）。 纸质投标文件正副本分别胶装，纸质文件递交地点：陕西省西安市雁塔区团结南路12号西安国际人才大厦A座北1508室。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拒绝政府采购领域商业贿赂承诺书.docx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拒绝政府采购领域商业贿赂承诺书.docx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拒绝政府采购领域商业贿赂承诺书.docx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供应商须提供国家金融监督管理总局及其派出机构核发、在有效期内的金融许可证；换证过渡期可提供原经营保险业务许可证、原保险许可证；（10）、若分支机构参与投标，须提供总公司出具且处于有效期内的正式授权文件。（11）、本项目不接受联合体投标（提供非联合体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供应商须提供国家金融监督管理总局及其派出机构核发、在有效期内的金融许可证；换证过渡期可提供原经营保险业务许可证、原保险许可证；（10）、若分支机构参与投标，须提供总公司出具且处于有效期内的正式授权文件。（11）、本项目不接受联合体投标（提供非联合体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供应商须提供国家金融监督管理总局及其派出机构核发、在有效期内的金融许可证；换证过渡期可提供原经营保险业务许可证、原保险许可证；（10）、若分支机构参与投标，须提供总公司出具且处于有效期内的正式授权文件。（11）、本项目不接受联合体投标（提供非联合体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3.响应报价是否未超过采购预算。</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 xml:space="preserve"> 1.响应文件报价是否具有唯一性； 2.响应文件的签署、加盖印章是否合格、有效； 3.响应报价是否未超过采购预算。</w:t>
            </w:r>
          </w:p>
        </w:tc>
        <w:tc>
          <w:tcPr>
            <w:tcW w:type="dxa" w:w="1661"/>
          </w:tcPr>
          <w:p>
            <w:pPr>
              <w:pStyle w:val="null3"/>
            </w:pPr>
            <w:r>
              <w:rPr>
                <w:rFonts w:ascii="仿宋_GB2312" w:hAnsi="仿宋_GB2312" w:cs="仿宋_GB2312" w:eastAsia="仿宋_GB2312"/>
              </w:rPr>
              <w:t>开标一览表 分项报价表.docx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3.响应报价是否未超过采购预算。</w:t>
            </w:r>
          </w:p>
        </w:tc>
        <w:tc>
          <w:tcPr>
            <w:tcW w:type="dxa" w:w="1661"/>
          </w:tcPr>
          <w:p>
            <w:pPr>
              <w:pStyle w:val="null3"/>
            </w:pPr>
            <w:r>
              <w:rPr>
                <w:rFonts w:ascii="仿宋_GB2312" w:hAnsi="仿宋_GB2312" w:cs="仿宋_GB2312" w:eastAsia="仿宋_GB2312"/>
              </w:rPr>
              <w:t>开标一览表 分项报价表.docx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2023年度综合偿付能力充足率</w:t>
            </w:r>
          </w:p>
        </w:tc>
        <w:tc>
          <w:tcPr>
            <w:tcW w:type="dxa" w:w="2492"/>
          </w:tcPr>
          <w:p>
            <w:pPr>
              <w:pStyle w:val="null3"/>
            </w:pPr>
            <w:r>
              <w:rPr>
                <w:rFonts w:ascii="仿宋_GB2312" w:hAnsi="仿宋_GB2312" w:cs="仿宋_GB2312" w:eastAsia="仿宋_GB2312"/>
              </w:rPr>
              <w:t>根据投标人总公司2023年度综合偿付能力充足率进行评审：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注：须提供投标人总公司经第三方审计的2023年度偿付能力报告，并标注出综合偿付能力充足率相关内容并加盖公章。未提供该证明材料不得分。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2024年度综合偿付能力充足率</w:t>
            </w:r>
          </w:p>
        </w:tc>
        <w:tc>
          <w:tcPr>
            <w:tcW w:type="dxa" w:w="2492"/>
          </w:tcPr>
          <w:p>
            <w:pPr>
              <w:pStyle w:val="null3"/>
            </w:pPr>
            <w:r>
              <w:rPr>
                <w:rFonts w:ascii="仿宋_GB2312" w:hAnsi="仿宋_GB2312" w:cs="仿宋_GB2312" w:eastAsia="仿宋_GB2312"/>
              </w:rPr>
              <w:t>根据投标人总公司2024年度综合偿付能力充足率进行评审：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注：须提供投标人总公司经第三方审计的2024年度偿付能力报告，并标注出综合偿付能力充足率相关内容并加盖公章。未提供该证明材料不得分。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2025年度综合偿付能力充足率</w:t>
            </w:r>
          </w:p>
        </w:tc>
        <w:tc>
          <w:tcPr>
            <w:tcW w:type="dxa" w:w="2492"/>
          </w:tcPr>
          <w:p>
            <w:pPr>
              <w:pStyle w:val="null3"/>
            </w:pPr>
            <w:r>
              <w:rPr>
                <w:rFonts w:ascii="仿宋_GB2312" w:hAnsi="仿宋_GB2312" w:cs="仿宋_GB2312" w:eastAsia="仿宋_GB2312"/>
              </w:rPr>
              <w:t>根据投标人总公司2025年度综合偿付能力充足率进行评审：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注：须提供投标人总公司经第三方审计的2025年度偿付能力报告，并标注出综合偿付能力充足率相关内容并加盖公章。未提供该证明材料不得分。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本地线下服务网点布局</w:t>
            </w:r>
          </w:p>
        </w:tc>
        <w:tc>
          <w:tcPr>
            <w:tcW w:type="dxa" w:w="2492"/>
          </w:tcPr>
          <w:p>
            <w:pPr>
              <w:pStyle w:val="null3"/>
            </w:pPr>
            <w:r>
              <w:rPr>
                <w:rFonts w:ascii="仿宋_GB2312" w:hAnsi="仿宋_GB2312" w:cs="仿宋_GB2312" w:eastAsia="仿宋_GB2312"/>
              </w:rPr>
              <w:t>投标人开标前在陕西省内设有自有分支机构的，每有一家得0.25分，最高得5.0分。 注：提供合法有效的营业执照及经营保险业务许可证或保险许可证，不提供或提供不全的不得分。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投标人总公司或分支机构提供所承保的同类业绩证明材料（2023年1月1日起至今的）。业绩证明材料以合同（以合同签订时间为准）或正式保单或中标通知书为准，每提供1份业绩得1分，最高10分。 注：同一甲方不同年份按一个业绩计算。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一、评审内容：投标人提供承保服务方案，包含①承保落地实施方案；②承保组织与日常运营服务；③承保培训方案。二、评审标准：1.完整性：方案必须全面，对评审内容中的各项要求有详细描述； 2.可实施性：切合本项目实际情况，实施步骤清晰、合理； 3.针对性：方案能够紧扣项目实际情况，内容科学合理。 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一、评审内容：投标人提供理赔服务方案（包括线上、线下理赔方式），包括①理赔时效与绿色通道服务；②便民上门服务与理赔运维保障。二、评审标准：1.完整性：方案必须全面，对评审内容中的各项要求有详细描述； 2.可实施性：切合本项目实际情况，实施步骤清晰、合理； 3.针对性：方案能够紧扣项目实际情况，内容科学合理。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理赔时效</w:t>
            </w:r>
          </w:p>
        </w:tc>
        <w:tc>
          <w:tcPr>
            <w:tcW w:type="dxa" w:w="2492"/>
          </w:tcPr>
          <w:p>
            <w:pPr>
              <w:pStyle w:val="null3"/>
            </w:pPr>
            <w:r>
              <w:rPr>
                <w:rFonts w:ascii="仿宋_GB2312" w:hAnsi="仿宋_GB2312" w:cs="仿宋_GB2312" w:eastAsia="仿宋_GB2312"/>
              </w:rPr>
              <w:t>投标人提供理赔时效承诺：赔付时效自索赔资料齐全且审核无误次日起计算；投标人承诺时限优于下述最高标准的，按对应档次得分，不额外加分。①小额案件（赔付金额≤3000 元）：承诺 1 个工作日内赔付得2分；承诺 3 个工作日内赔付得1分；承诺时限超过 3 个工作日或无明确承诺得 0 分。②普通案件（赔付金额＞3000 元）：承诺 5 个工作日内赔付得2分；承诺 7 个工作日内赔付得1分；承诺时限超过 7 个工作日或无明确承诺得 0 分。③疑难复杂案件（承诺预付赔款制）：承诺 15 个工作日内赔付得2分；承诺 30 个工作日内赔付得 1分；承诺时限超过 30 个工作日或无明确承诺得 0 分。 备注：投标人须在投标文件中提供书面时效承诺；因受益人资料不全、第三方鉴定等投标人不可控因素产生的时间，不计入赔付时限。</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一、评审内容：投标人提供本项目的售后服务方案：包括①项目数据报送与协同回访服务，②咨询投诉处置与特殊群体便民帮扶。二、评审标准：1.完整性：方案必须全面，对评审内容中的各项要求有详细描述； 2.可实施性：切合本项目实际情况，实施步骤清晰、合理； 3.针对性：方案能够紧扣项目实际情况，内容科学合理。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一、评审内容：投标人提供保密措施，包括：①信息管理制度与数据安全管控②人员保密约束与泄密应急处置。二、评审标准：1.完整性：方案必须全面，对评审内容中的各项要求有详细描述； 2.可实施性：切合本项目实际情况，实施步骤清晰、合理； 3.针对性：方案能够紧扣项目实际情况，内容科学合理。三、赋分标准：每项满分1.5分，缺项不得分,每存在一个缺陷，扣0.25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宣传推广</w:t>
            </w:r>
          </w:p>
        </w:tc>
        <w:tc>
          <w:tcPr>
            <w:tcW w:type="dxa" w:w="2492"/>
          </w:tcPr>
          <w:p>
            <w:pPr>
              <w:pStyle w:val="null3"/>
            </w:pPr>
            <w:r>
              <w:rPr>
                <w:rFonts w:ascii="仿宋_GB2312" w:hAnsi="仿宋_GB2312" w:cs="仿宋_GB2312" w:eastAsia="仿宋_GB2312"/>
              </w:rPr>
              <w:t>投标人须提供完整项目宣传实施方案，承诺在项目服务周期内，配合各级卫生健康部门、计划生育协会面向计生特殊家庭开展政策宣传活动。投标人在投标文件中量化承诺宣传活动场次，每承诺开展1场宣传活动得 0.1分，本项最高得4分。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服务团队人员应包括但不限于承保、理赔、风险管理和协调沟通等不同专业能力和职能的人员，根据团队人员构成情况、人员数量、职责情况进行评分。 ①人员安排合理，描述清晰，且能针对性满足项目需求得6分； ②人员配备分工较明确，工作经验一般得3分； ③人员分工模糊，岗位配置一般，相关从业经验单薄得1分； ④此项未提供者不计分。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投标人须提供紧急或突发情况的应急保障措施，二、评审依据：应急保障措施内容描述详细，应急响应时间及时，人员配备齐全，安排合理。三、赋分标准：满分4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重难点解决措施</w:t>
            </w:r>
          </w:p>
        </w:tc>
        <w:tc>
          <w:tcPr>
            <w:tcW w:type="dxa" w:w="2492"/>
          </w:tcPr>
          <w:p>
            <w:pPr>
              <w:pStyle w:val="null3"/>
            </w:pPr>
            <w:r>
              <w:rPr>
                <w:rFonts w:ascii="仿宋_GB2312" w:hAnsi="仿宋_GB2312" w:cs="仿宋_GB2312" w:eastAsia="仿宋_GB2312"/>
              </w:rPr>
              <w:t>投标人须提供理赔重难点专项处置方案，结合项目特点制定处置方案并明确分级处置时限：一般理赔纠纷 3 个工作日内处置、复杂理赔案件 10 个工作日内处置、重大疑难案件 30 个工作日内处置（自收到完整异议材料次日起算）。方案详实可行、贴合项目需求、全部时限要求均响应到位，得4分；方案存在内容简略、针对性不足、措施难以落地、未响应时限等缺陷，每项缺陷扣 0.5 分，扣完为止；未提供方案得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信息报送</w:t>
            </w:r>
          </w:p>
        </w:tc>
        <w:tc>
          <w:tcPr>
            <w:tcW w:type="dxa" w:w="2492"/>
          </w:tcPr>
          <w:p>
            <w:pPr>
              <w:pStyle w:val="null3"/>
            </w:pPr>
            <w:r>
              <w:rPr>
                <w:rFonts w:ascii="仿宋_GB2312" w:hAnsi="仿宋_GB2312" w:cs="仿宋_GB2312" w:eastAsia="仿宋_GB2312"/>
              </w:rPr>
              <w:t>一、评审内容：投标人须提供针对本项目的信息报送方案，承诺定期向采购人报送月度、季度、年度承保周期累计承保及理赔相关数据。二、评审依据：方案完整、要素齐全、贴合计生特殊家庭保险项目特点，报送频次、报送内容、报送方式、对接责任人清晰明确，具备可操作性，三、赋分标准：满分2分，方案出现内容缺项、缺少关键要素、表述空洞无实质内容；方案通用性模板化、未结合本项目特点；内容前后矛盾、存在逻辑或常识错误；措施脱离实际难以落实等任一情形，均认定为缺陷，每存在一处缺陷扣 0.5 分，分值扣完为止。未提供本项得 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投标人提供增值服务方案：1.参加采购人重大节日走访慰问活动； 2.为重点人员提供免费医疗咨询服务； 3.为重点人员提供陪诊服务； 4.支持并参加采购人开展政策性宣传活动；5.按季度定期与采购人开展保险工作研判分析会，5条承诺全部满足得基础分5分，提供不全不得分；投标人自主承诺有利于项目实施的其他增值服务，每增加一条得1分，最高5分。 备注：投标人需在投标报价中单独列明增值服务预算金额，本项所有增值服务承诺均作为合同履约考核内容。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2.投标报价评分标准： 价格满足招标文件要求且投标报价最低的报价为投标基准价，其价格分为满分。 其他投标人的价格分统一按照下列公式计算： 投标报价计分=(投标基准价／投标报价)×10 计算分数时四舍五入取小数点后两位。3.投标人应分项列明服务成本构成。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2023年度综合偿付能力充足率</w:t>
            </w:r>
          </w:p>
        </w:tc>
        <w:tc>
          <w:tcPr>
            <w:tcW w:type="dxa" w:w="2492"/>
          </w:tcPr>
          <w:p>
            <w:pPr>
              <w:pStyle w:val="null3"/>
            </w:pPr>
            <w:r>
              <w:rPr>
                <w:rFonts w:ascii="仿宋_GB2312" w:hAnsi="仿宋_GB2312" w:cs="仿宋_GB2312" w:eastAsia="仿宋_GB2312"/>
              </w:rPr>
              <w:t>根据投标人总公司2023年度综合偿付能力充足率进行评审：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注：须提供投标人总公司经第三方审计的2023年度偿付能力报告，并标注出综合偿付能力充足率相关内容并加盖公章。未提供该证明材料不得分。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2024年度综合偿付能力充足率</w:t>
            </w:r>
          </w:p>
        </w:tc>
        <w:tc>
          <w:tcPr>
            <w:tcW w:type="dxa" w:w="2492"/>
          </w:tcPr>
          <w:p>
            <w:pPr>
              <w:pStyle w:val="null3"/>
            </w:pPr>
            <w:r>
              <w:rPr>
                <w:rFonts w:ascii="仿宋_GB2312" w:hAnsi="仿宋_GB2312" w:cs="仿宋_GB2312" w:eastAsia="仿宋_GB2312"/>
              </w:rPr>
              <w:t>根据投标人总公司2024年度综合偿付能力充足率进行评审：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注：须提供投标人总公司经第三方审计的2024年度偿付能力报告，并标注出综合偿付能力充足率相关内容并加盖公章。未提供该证明材料不得分。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2025年度综合偿付能力充足率</w:t>
            </w:r>
          </w:p>
        </w:tc>
        <w:tc>
          <w:tcPr>
            <w:tcW w:type="dxa" w:w="2492"/>
          </w:tcPr>
          <w:p>
            <w:pPr>
              <w:pStyle w:val="null3"/>
            </w:pPr>
            <w:r>
              <w:rPr>
                <w:rFonts w:ascii="仿宋_GB2312" w:hAnsi="仿宋_GB2312" w:cs="仿宋_GB2312" w:eastAsia="仿宋_GB2312"/>
              </w:rPr>
              <w:t>根据投标人总公司2025年度综合偿付能力充足率进行评审：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注：须提供投标人总公司经第三方审计的2025年度偿付能力报告，并标注出综合偿付能力充足率相关内容并加盖公章。未提供该证明材料不得分。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本地线下服务网点布局</w:t>
            </w:r>
          </w:p>
        </w:tc>
        <w:tc>
          <w:tcPr>
            <w:tcW w:type="dxa" w:w="2492"/>
          </w:tcPr>
          <w:p>
            <w:pPr>
              <w:pStyle w:val="null3"/>
            </w:pPr>
            <w:r>
              <w:rPr>
                <w:rFonts w:ascii="仿宋_GB2312" w:hAnsi="仿宋_GB2312" w:cs="仿宋_GB2312" w:eastAsia="仿宋_GB2312"/>
              </w:rPr>
              <w:t>投标人开标前在陕西省内设有自有分支机构的，每有一家得0.25分，最高得5.0分。 注：提供合法有效的营业执照及经营保险业务许可证或保险许可证，不提供或提供不全的不得分。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投标人总公司或分支机构提供所承保的同类业绩证明材料（2023年1月1日起至今的）。业绩证明材料以合同（以合同签订时间为准）或正式保单或中标通知书为准，每提供1份业绩得1分，最高10分。 注：同一甲方不同年份按一个业绩计算。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一、评审内容：投标人提供承保服务方案，包含①承保落地实施方案；②承保组织与日常运营服务；③承保培训方案。二、评审标准：1.完整性：方案必须全面，对评审内容中的各项要求有详细描述； 2.可实施性：切合本项目实际情况，实施步骤清晰、合理； 3.针对性：方案能够紧扣项目实际情况，内容科学合理。 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一、评审内容：投标人提供理赔服务方案（包括线上、线下理赔方式），包括①理赔时效与绿色通道服务；②便民上门服务与理赔运维保障。二、评审标准：1.完整性：方案必须全面，对评审内容中的各项要求有详细描述； 2.可实施性：切合本项目实际情况，实施步骤清晰、合理； 3.针对性：方案能够紧扣项目实际情况，内容科学合理。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理赔时效</w:t>
            </w:r>
          </w:p>
        </w:tc>
        <w:tc>
          <w:tcPr>
            <w:tcW w:type="dxa" w:w="2492"/>
          </w:tcPr>
          <w:p>
            <w:pPr>
              <w:pStyle w:val="null3"/>
            </w:pPr>
            <w:r>
              <w:rPr>
                <w:rFonts w:ascii="仿宋_GB2312" w:hAnsi="仿宋_GB2312" w:cs="仿宋_GB2312" w:eastAsia="仿宋_GB2312"/>
              </w:rPr>
              <w:t>投标人提供理赔时效承诺：赔付时效自索赔资料齐全且审核无误次日起计算；投标人承诺时限优于下述最高标准的，按对应档次得分，不额外加分。①小额案件（赔付金额≤3000 元）：承诺 1 个工作日内赔付得2分；承诺 3 个工作日内赔付得1分；承诺时限超过 3 个工作日或无明确承诺得 0 分。②普通案件（赔付金额＞3000 元）：承诺 5 个工作日内赔付得2分；承诺 7 个工作日内赔付得1分；承诺时限超过 7 个工作日或无明确承诺得 0 分。③疑难复杂案件（承诺预付赔款制）：承诺 15 个工作日内赔付得2分；承诺 30 个工作日内赔付得 1分；承诺时限超过 30 个工作日或无明确承诺得 0 分。 备注：投标人须在投标文件中提供书面时效承诺；因受益人资料不全、第三方鉴定等投标人不可控因素产生的时间，不计入赔付时限。</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一、评审内容：投标人提供本项目的售后服务方案：包括①项目数据报送与协同回访服务，②咨询投诉处置与特殊群体便民帮扶。二、评审标准：1.完整性：方案必须全面，对评审内容中的各项要求有详细描述； 2.可实施性：切合本项目实际情况，实施步骤清晰、合理； 3.针对性：方案能够紧扣项目实际情况，内容科学合理。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一、评审内容：投标人提供保密措施，包括：①信息管理制度与数据安全管控②人员保密约束与泄密应急处置。二、评审标准：1.完整性：方案必须全面，对评审内容中的各项要求有详细描述； 2.可实施性：切合本项目实际情况，实施步骤清晰、合理； 3.针对性：方案能够紧扣项目实际情况，内容科学合理。三、赋分标准：每项满分1.5分，缺项不得分,每存在一个缺陷，扣0.25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宣传推广</w:t>
            </w:r>
          </w:p>
        </w:tc>
        <w:tc>
          <w:tcPr>
            <w:tcW w:type="dxa" w:w="2492"/>
          </w:tcPr>
          <w:p>
            <w:pPr>
              <w:pStyle w:val="null3"/>
            </w:pPr>
            <w:r>
              <w:rPr>
                <w:rFonts w:ascii="仿宋_GB2312" w:hAnsi="仿宋_GB2312" w:cs="仿宋_GB2312" w:eastAsia="仿宋_GB2312"/>
              </w:rPr>
              <w:t>投标人须提供完整项目宣传实施方案，承诺在项目服务周期内，配合各级卫生健康部门、计划生育协会面向计生特殊家庭开展政策宣传活动。投标人在投标文件中量化承诺宣传活动场次，每承诺开展1场宣传活动得 0.1分，本项最高得4分。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服务团队人员应包括但不限于承保、理赔、风险管理和协调沟通等不同专业能力和职能的人员，根据团队人员构成情况、人员数量、职责情况进行评分。 ①人员安排合理，描述清晰，且能针对性满足项目需求得6分； ②人员配备分工较明确，工作经验一般得3分； ③人员分工模糊，岗位配置一般，相关从业经验单薄得1分； ④此项未提供者不计分。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投标人须提供紧急或突发情况的应急保障措施，二、评审依据：应急保障措施内容描述详细，应急响应时间及时，人员配备齐全，安排合理。三、赋分标准：满分4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重难点解决措施</w:t>
            </w:r>
          </w:p>
        </w:tc>
        <w:tc>
          <w:tcPr>
            <w:tcW w:type="dxa" w:w="2492"/>
          </w:tcPr>
          <w:p>
            <w:pPr>
              <w:pStyle w:val="null3"/>
            </w:pPr>
            <w:r>
              <w:rPr>
                <w:rFonts w:ascii="仿宋_GB2312" w:hAnsi="仿宋_GB2312" w:cs="仿宋_GB2312" w:eastAsia="仿宋_GB2312"/>
              </w:rPr>
              <w:t>投标人须提供理赔重难点专项处置方案，结合项目特点制定处置方案并明确分级处置时限：一般理赔纠纷 3 个工作日内处置、复杂理赔案件 10 个工作日内处置、重大疑难案件 30 个工作日内处置（自收到完整异议材料次日起算）。方案详实可行、贴合项目需求、全部时限要求均响应到位，得4分；方案存在内容简略、针对性不足、措施难以落地、未响应时限等缺陷，每项缺陷扣 0.5 分，扣完为止；未提供方案得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信息报送</w:t>
            </w:r>
          </w:p>
        </w:tc>
        <w:tc>
          <w:tcPr>
            <w:tcW w:type="dxa" w:w="2492"/>
          </w:tcPr>
          <w:p>
            <w:pPr>
              <w:pStyle w:val="null3"/>
            </w:pPr>
            <w:r>
              <w:rPr>
                <w:rFonts w:ascii="仿宋_GB2312" w:hAnsi="仿宋_GB2312" w:cs="仿宋_GB2312" w:eastAsia="仿宋_GB2312"/>
              </w:rPr>
              <w:t>一、评审内容：投标人须提供针对本项目的信息报送方案，承诺定期向采购人报送月度、季度、年度承保周期累计承保及理赔相关数据。二、评审依据：方案完整、要素齐全、贴合计生特殊家庭保险项目特点，报送频次、报送内容、报送方式、对接责任人清晰明确，具备可操作性，三、赋分标准：满分2分，方案出现内容缺项、缺少关键要素、表述空洞无实质内容；方案通用性模板化、未结合本项目特点；内容前后矛盾、存在逻辑或常识错误；措施脱离实际难以落实等任一情形，均认定为缺陷，每存在一处缺陷扣 0.5 分，分值扣完为止。未提供本项得 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投标人提供增值服务方案：1.参加采购人重大节日走访慰问活动； 2.为重点人员提供免费医疗咨询服务； 3.为重点人员提供陪诊服务； 4.支持并参加采购人开展政策性宣传活动；5.按季度定期与采购人开展保险工作研判分析会，5条承诺全部满足得基础分5分，提供不全不得分；投标人自主承诺有利于项目实施的其他增值服务，每增加一条得1分，最高5分。 备注：投标人需在投标报价中单独列明增值服务预算金额，本项所有增值服务承诺均作为合同履约考核内容。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2.投标报价评分标准： 价格满足招标文件要求且投标报价最低的报价为投标基准价，其价格分为满分。 其他投标人的价格分统一按照下列公式计算： 投标报价计分=(投标基准价／投标报价)×10 计算分数时四舍五入取小数点后两位。3.投标人应分项列明服务成本构成。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2023年度综合偿付能力充足率</w:t>
            </w:r>
          </w:p>
        </w:tc>
        <w:tc>
          <w:tcPr>
            <w:tcW w:type="dxa" w:w="2492"/>
          </w:tcPr>
          <w:p>
            <w:pPr>
              <w:pStyle w:val="null3"/>
            </w:pPr>
            <w:r>
              <w:rPr>
                <w:rFonts w:ascii="仿宋_GB2312" w:hAnsi="仿宋_GB2312" w:cs="仿宋_GB2312" w:eastAsia="仿宋_GB2312"/>
              </w:rPr>
              <w:t>根据投标人总公司2023年度综合偿付能力充足率进行评审：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注：须提供投标人总公司经第三方审计的2023年度偿付能力报告，并标注出综合偿付能力充足率相关内容并加盖公章。未提供该证明材料不得分。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2024年度综合偿付能力充足率</w:t>
            </w:r>
          </w:p>
        </w:tc>
        <w:tc>
          <w:tcPr>
            <w:tcW w:type="dxa" w:w="2492"/>
          </w:tcPr>
          <w:p>
            <w:pPr>
              <w:pStyle w:val="null3"/>
            </w:pPr>
            <w:r>
              <w:rPr>
                <w:rFonts w:ascii="仿宋_GB2312" w:hAnsi="仿宋_GB2312" w:cs="仿宋_GB2312" w:eastAsia="仿宋_GB2312"/>
              </w:rPr>
              <w:t>根据投标人总公司2024年度综合偿付能力充足率进行评审：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注：须提供投标人总公司经第三方审计的2024年度偿付能力报告，并标注出综合偿付能力充足率相关内容并加盖公章。未提供该证明材料不得分。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2025年度综合偿付能力充足率</w:t>
            </w:r>
          </w:p>
        </w:tc>
        <w:tc>
          <w:tcPr>
            <w:tcW w:type="dxa" w:w="2492"/>
          </w:tcPr>
          <w:p>
            <w:pPr>
              <w:pStyle w:val="null3"/>
            </w:pPr>
            <w:r>
              <w:rPr>
                <w:rFonts w:ascii="仿宋_GB2312" w:hAnsi="仿宋_GB2312" w:cs="仿宋_GB2312" w:eastAsia="仿宋_GB2312"/>
              </w:rPr>
              <w:t>根据投标人总公司2025年度综合偿付能力充足率进行评审： ①综合偿付能力充足率≥250％，得5分； ②综合偿付能力充足率≥200％且＜250％（不含），得3分； ③综合偿付能力充足率≥150％且＜200％（不含），得1分；④综合偿付能力充足率小于150％，得0分。 注：须提供投标人总公司经第三方审计的2025年度偿付能力报告，并标注出综合偿付能力充足率相关内容并加盖公章。未提供该证明材料不得分。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本地线下服务网点布局</w:t>
            </w:r>
          </w:p>
        </w:tc>
        <w:tc>
          <w:tcPr>
            <w:tcW w:type="dxa" w:w="2492"/>
          </w:tcPr>
          <w:p>
            <w:pPr>
              <w:pStyle w:val="null3"/>
            </w:pPr>
            <w:r>
              <w:rPr>
                <w:rFonts w:ascii="仿宋_GB2312" w:hAnsi="仿宋_GB2312" w:cs="仿宋_GB2312" w:eastAsia="仿宋_GB2312"/>
              </w:rPr>
              <w:t>投标人开标前在陕西省内设有自有分支机构的，每有一家得0.25分，最高得5.0分。 注：提供合法有效的营业执照及经营保险业务许可证或保险许可证，不提供或提供不全的不得分。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投标人总公司或分支机构提供所承保的同类业绩证明材料（2023年1月1日起至今的）。业绩证明材料以合同（以合同签订时间为准）或正式保单或中标通知书为准，每提供1份业绩得1分，最高10分。 注：同一甲方不同年份按一个业绩计算。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vMerge/>
          </w:tcPr>
          <w:p/>
        </w:tc>
        <w:tc>
          <w:tcPr>
            <w:tcW w:type="dxa" w:w="1661"/>
          </w:tcPr>
          <w:p>
            <w:pPr>
              <w:pStyle w:val="null3"/>
            </w:pPr>
            <w:r>
              <w:rPr>
                <w:rFonts w:ascii="仿宋_GB2312" w:hAnsi="仿宋_GB2312" w:cs="仿宋_GB2312" w:eastAsia="仿宋_GB2312"/>
              </w:rPr>
              <w:t>承保服务</w:t>
            </w:r>
          </w:p>
        </w:tc>
        <w:tc>
          <w:tcPr>
            <w:tcW w:type="dxa" w:w="2492"/>
          </w:tcPr>
          <w:p>
            <w:pPr>
              <w:pStyle w:val="null3"/>
            </w:pPr>
            <w:r>
              <w:rPr>
                <w:rFonts w:ascii="仿宋_GB2312" w:hAnsi="仿宋_GB2312" w:cs="仿宋_GB2312" w:eastAsia="仿宋_GB2312"/>
              </w:rPr>
              <w:t>一、评审内容：投标人提供承保服务方案，包含①承保落地实施方案；②承保组织与日常运营服务；③承保培训方案。二、评审标准：1.完整性：方案必须全面，对评审内容中的各项要求有详细描述； 2.可实施性：切合本项目实际情况，实施步骤清晰、合理； 3.针对性：方案能够紧扣项目实际情况，内容科学合理。 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一、评审内容：投标人提供理赔服务方案（包括线上、线下理赔方式），包括①理赔时效与绿色通道服务；②便民上门服务与理赔运维保障。二、评审标准：1.完整性：方案必须全面，对评审内容中的各项要求有详细描述； 2.可实施性：切合本项目实际情况，实施步骤清晰、合理； 3.针对性：方案能够紧扣项目实际情况，内容科学合理。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理赔时效</w:t>
            </w:r>
          </w:p>
        </w:tc>
        <w:tc>
          <w:tcPr>
            <w:tcW w:type="dxa" w:w="2492"/>
          </w:tcPr>
          <w:p>
            <w:pPr>
              <w:pStyle w:val="null3"/>
            </w:pPr>
            <w:r>
              <w:rPr>
                <w:rFonts w:ascii="仿宋_GB2312" w:hAnsi="仿宋_GB2312" w:cs="仿宋_GB2312" w:eastAsia="仿宋_GB2312"/>
              </w:rPr>
              <w:t>投标人提供理赔时效承诺：赔付时效自索赔资料齐全且审核无误次日起计算；投标人承诺时限优于下述最高标准的，按对应档次得分，不额外加分。①小额案件（赔付金额≤3000 元）：承诺 1 个工作日内赔付得2分；承诺 3 个工作日内赔付得1分；承诺时限超过 3 个工作日或无明确承诺得 0 分。②普通案件（赔付金额＞3000 元）：承诺 5 个工作日内赔付得2分；承诺 7 个工作日内赔付得1分；承诺时限超过 7 个工作日或无明确承诺得 0 分。③疑难复杂案件（承诺预付赔款制）：承诺 15 个工作日内赔付得2分；承诺 30 个工作日内赔付得 1分；承诺时限超过 30 个工作日或无明确承诺得 0 分。 备注：投标人须在投标文件中提供书面时效承诺；因受益人资料不全、第三方鉴定等投标人不可控因素产生的时间，不计入赔付时限。</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一、评审内容：投标人提供本项目的售后服务方案：包括①项目数据报送与协同回访服务，②咨询投诉处置与特殊群体便民帮扶。二、评审标准：1.完整性：方案必须全面，对评审内容中的各项要求有详细描述； 2.可实施性：切合本项目实际情况，实施步骤清晰、合理； 3.针对性：方案能够紧扣项目实际情况，内容科学合理。三、赋分标准：每项满分3分，缺项不得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一、评审内容：投标人提供保密措施，包括：①信息管理制度与数据安全管控②人员保密约束与泄密应急处置。二、评审标准：1.完整性：方案必须全面，对评审内容中的各项要求有详细描述； 2.可实施性：切合本项目实际情况，实施步骤清晰、合理； 3.针对性：方案能够紧扣项目实际情况，内容科学合理。三、赋分标准：每项满分1.5分，缺项不得分,每存在一个缺陷，扣0.25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宣传推广</w:t>
            </w:r>
          </w:p>
        </w:tc>
        <w:tc>
          <w:tcPr>
            <w:tcW w:type="dxa" w:w="2492"/>
          </w:tcPr>
          <w:p>
            <w:pPr>
              <w:pStyle w:val="null3"/>
            </w:pPr>
            <w:r>
              <w:rPr>
                <w:rFonts w:ascii="仿宋_GB2312" w:hAnsi="仿宋_GB2312" w:cs="仿宋_GB2312" w:eastAsia="仿宋_GB2312"/>
              </w:rPr>
              <w:t>投标人须提供完整项目宣传实施方案，承诺在项目服务周期内，配合各级卫生健康部门、计划生育协会面向计生特殊家庭开展政策宣传活动。投标人在投标文件中量化承诺宣传活动场次，每承诺开展1场宣传活动得 0.1分，本项最高得4分。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服务团队人员应包括但不限于承保、理赔、风险管理和协调沟通等不同专业能力和职能的人员，根据团队人员构成情况、人员数量、职责情况进行评分。 ①人员安排合理，描述清晰，且能针对性满足项目需求得6分； ②人员配备分工较明确，工作经验一般得3分； ③人员分工模糊，岗位配置一般，相关从业经验单薄得1分； ④此项未提供者不计分。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投标人须提供紧急或突发情况的应急保障措施，二、评审依据：应急保障措施内容描述详细，应急响应时间及时，人员配备齐全，安排合理。三、赋分标准：满分4分，每存在一个缺陷，扣0.5分，扣完为止。（缺陷是指内容缺项、不完整或缺少关键点、只有简单描述无实质性内容；非专门针对本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重难点解决措施</w:t>
            </w:r>
          </w:p>
        </w:tc>
        <w:tc>
          <w:tcPr>
            <w:tcW w:type="dxa" w:w="2492"/>
          </w:tcPr>
          <w:p>
            <w:pPr>
              <w:pStyle w:val="null3"/>
            </w:pPr>
            <w:r>
              <w:rPr>
                <w:rFonts w:ascii="仿宋_GB2312" w:hAnsi="仿宋_GB2312" w:cs="仿宋_GB2312" w:eastAsia="仿宋_GB2312"/>
              </w:rPr>
              <w:t>投标人须提供理赔重难点专项处置方案，结合项目特点制定处置方案并明确分级处置时限：一般理赔纠纷 3 个工作日内处置、复杂理赔案件 10 个工作日内处置、重大疑难案件 30 个工作日内处置（自收到完整异议材料次日起算）。方案详实可行、贴合项目需求、全部时限要求均响应到位，得4分；方案存在内容简略、针对性不足、措施难以落地、未响应时限等缺陷，每项缺陷扣 0.5 分，扣完为止；未提供方案得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信息报送</w:t>
            </w:r>
          </w:p>
        </w:tc>
        <w:tc>
          <w:tcPr>
            <w:tcW w:type="dxa" w:w="2492"/>
          </w:tcPr>
          <w:p>
            <w:pPr>
              <w:pStyle w:val="null3"/>
            </w:pPr>
            <w:r>
              <w:rPr>
                <w:rFonts w:ascii="仿宋_GB2312" w:hAnsi="仿宋_GB2312" w:cs="仿宋_GB2312" w:eastAsia="仿宋_GB2312"/>
              </w:rPr>
              <w:t>一、评审内容：投标人须提供针对本项目的信息报送方案，承诺定期向采购人报送月度、季度、年度承保周期累计承保及理赔相关数据。二、评审依据：方案完整、要素齐全、贴合计生特殊家庭保险项目特点，报送频次、报送内容、报送方式、对接责任人清晰明确，具备可操作性，三、赋分标准：满分2分，方案出现内容缺项、缺少关键要素、表述空洞无实质内容；方案通用性模板化、未结合本项目特点；内容前后矛盾、存在逻辑或常识错误；措施脱离实际难以落实等任一情形，均认定为缺陷，每存在一处缺陷扣 0.5 分，分值扣完为止。未提供本项得 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投标人提供增值服务方案：1.参加采购人重大节日走访慰问活动； 2.为重点人员提供免费医疗咨询服务； 3.为重点人员提供陪诊服务； 4.支持并参加采购人开展政策性宣传活动；5.按季度定期与采购人开展保险工作研判分析会，5条承诺全部满足得基础分5分，提供不全不得分；投标人自主承诺有利于项目实施的其他增值服务，每增加一条得1分，最高5分。 备注：投标人需在投标报价中单独列明增值服务预算金额，本项所有增值服务承诺均作为合同履约考核内容。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2.投标报价评分标准： 价格满足招标文件要求且投标报价最低的报价为投标基准价，其价格分为满分。 其他投标人的价格分统一按照下列公式计算： 投标报价计分=(投标基准价／投标报价)×10 计算分数时四舍五入取小数点后两位。3.投标人应分项列明服务成本构成。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详见附件：同类项目业绩.docx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详见附件：同类项目业绩.docx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