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版本号：JXRC-26071620260814001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应急救援设备采购项目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JXRC-260716</w:t>
      </w:r>
      <w:r>
        <w:br/>
      </w:r>
      <w:r>
        <w:br/>
      </w:r>
      <w:r>
        <w:br/>
      </w:r>
      <w:r>
        <w:br/>
      </w:r>
      <w:r>
        <w:br/>
      </w:r>
    </w:p>
    <w:p>
      <w:pPr>
        <w:pStyle w:val="null3"/>
        <w:jc w:val="center"/>
        <w:outlineLvl w:val="5"/>
      </w:pPr>
      <w:r>
        <w:rPr>
          <w:rFonts w:ascii="仿宋_GB2312" w:hAnsi="仿宋_GB2312" w:cs="仿宋_GB2312" w:eastAsia="仿宋_GB2312"/>
          <w:sz w:val="15"/>
          <w:b/>
        </w:rPr>
        <w:t>西安市中心医院</w:t>
      </w:r>
    </w:p>
    <w:p>
      <w:pPr>
        <w:pStyle w:val="null3"/>
        <w:jc w:val="center"/>
        <w:outlineLvl w:val="5"/>
      </w:pPr>
      <w:r>
        <w:rPr>
          <w:rFonts w:ascii="仿宋_GB2312" w:hAnsi="仿宋_GB2312" w:cs="仿宋_GB2312" w:eastAsia="仿宋_GB2312"/>
          <w:sz w:val="15"/>
          <w:b/>
        </w:rPr>
        <w:t>陕西嘉信瑞诚招标有限公司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应急救援设备采购项目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JXRC-260716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应急救援设备采购项目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为满足医院紧急救援队的紧急救援检测需要，兼顾平战结合使用，拟购置应急救援设备。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授权书：法定代表人/负责人授权书：法定代表人/负责人直接参加的，只须递交《法定代表人/负责人身份证明》；法定代表人/负责人授权代表参加的，须递交《法定代表人/负责人授权书》；并提供被授权人截止开标前近三个月在本公司的社会保障资金缴纳证明，并进行电子签章。</w:t>
      </w:r>
    </w:p>
    <w:p>
      <w:pPr>
        <w:pStyle w:val="null3"/>
      </w:pPr>
      <w:r>
        <w:rPr>
          <w:rFonts w:ascii="仿宋_GB2312" w:hAnsi="仿宋_GB2312" w:cs="仿宋_GB2312" w:eastAsia="仿宋_GB2312"/>
        </w:rPr>
        <w:t>3、财务状况证明：提供经审计的2025年度完整有效的财务审计报告复印件（财务报告是指经会计师事务所审计的上述指定年度整个会计年度财务报表,复印件至少须包括报告正文、资产负债表、现金流量表、利润表、所有者权益变动表及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并进行电子签章。</w:t>
      </w:r>
    </w:p>
    <w:p>
      <w:pPr>
        <w:pStyle w:val="null3"/>
      </w:pPr>
      <w:r>
        <w:rPr>
          <w:rFonts w:ascii="仿宋_GB2312" w:hAnsi="仿宋_GB2312" w:cs="仿宋_GB2312" w:eastAsia="仿宋_GB2312"/>
        </w:rPr>
        <w:t>4、纳税证明：提供近一年以来任意一个月的纳税证明或完税证明，纳税证明或完税证明上应有代收机构或税务机关的公章或业务专用章；其他组织和自然人提供近一年以来以来任意一个月缴纳税收的凭据；依法免税的供应商应提供相关文件证明，并进行电子签章。</w:t>
      </w:r>
    </w:p>
    <w:p>
      <w:pPr>
        <w:pStyle w:val="null3"/>
      </w:pPr>
      <w:r>
        <w:rPr>
          <w:rFonts w:ascii="仿宋_GB2312" w:hAnsi="仿宋_GB2312" w:cs="仿宋_GB2312" w:eastAsia="仿宋_GB2312"/>
        </w:rPr>
        <w:t>5、社保缴纳证明：提供近一年以来任意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6、无重大违法记录声明：供应商须提供《无重大违法记录声明》，并进行电子签章。</w:t>
      </w:r>
    </w:p>
    <w:p>
      <w:pPr>
        <w:pStyle w:val="null3"/>
      </w:pPr>
      <w:r>
        <w:rPr>
          <w:rFonts w:ascii="仿宋_GB2312" w:hAnsi="仿宋_GB2312" w:cs="仿宋_GB2312" w:eastAsia="仿宋_GB2312"/>
        </w:rPr>
        <w:t>7、履约能力证明：供应商须提供《具有履行合同所必需的设备和专业技术能力的承诺书》，并进行电子签章。</w:t>
      </w:r>
    </w:p>
    <w:p>
      <w:pPr>
        <w:pStyle w:val="null3"/>
      </w:pPr>
      <w:r>
        <w:rPr>
          <w:rFonts w:ascii="仿宋_GB2312" w:hAnsi="仿宋_GB2312" w:cs="仿宋_GB2312" w:eastAsia="仿宋_GB2312"/>
        </w:rPr>
        <w:t>8、许可证：若供应商为制造厂家，应出具医疗器械生产许可证（投标产品须在其生产范围内）和医疗器械经营许可证（或备案凭证）；若投标人为经销商，应出具医疗器械经营许可证（或备案凭证），以及投标产品制造厂家的医疗器械生产许可证（投标产品须在其生产范围内）。</w:t>
      </w:r>
    </w:p>
    <w:p>
      <w:pPr>
        <w:pStyle w:val="null3"/>
      </w:pPr>
      <w:r>
        <w:rPr>
          <w:rFonts w:ascii="仿宋_GB2312" w:hAnsi="仿宋_GB2312" w:cs="仿宋_GB2312" w:eastAsia="仿宋_GB2312"/>
        </w:rPr>
        <w:t>9、产品资质：供应商所投产品属于医疗器械的须提供拟投产品有效的医疗器械注册证或备案凭证。</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西安市新城区西五路161号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曲慧、陆频、张海、田颖琦、陈利娜、吕柔柯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说明：合同签订前缴纳，缴纳金额为合同金额的5.0%；缴纳方式：银行转账、支票/汇票/本票、保函/保险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代理服务费收费标准：固定金额肆仟元整。</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为满足医院紧急救援队的紧急救援检测需要，兼顾平战结合使用，拟购置应急救援设备，血液锌原卟啉测定仪 1台。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西安市中心医院应急救援设备采购项目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标的名称：西安市中心医院应急救援设备采购项目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全中文触摸屏操作界面。</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自动进样、检测和校准，每样品测量快速。</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测量结果可进行5种单位互相转换显示，能储存记录。</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有故障自诊断提示功能。</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rPr>
              <w:t>有中文结果及打印功能。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rPr>
              <w:t>配有LAN和USB接口，支持用条码扫描仪录入样品编号。</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rPr>
              <w:t>线性误差：线性误差在（0～46.2）μg／gHb范围内不大于±5.0%，线性评价r≥0.95。</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4"/>
              </w:rPr>
              <w:t>准确性：ZPP测量值与可接受的标准参考值之间相对偏倚不大于±10％范围。</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4"/>
              </w:rPr>
              <w:t>重复性：测量同一血样的相对标准偏差（CV）不大于8%。</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4"/>
              </w:rPr>
              <w:t>稳定性：测定仪开机处于稳定工作状态后4h、8h的测试结果与处于稳定工作状态初始时的测试结果的相对偏倚不超过±10％范围。</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4"/>
              </w:rPr>
              <w:t>电源：AC220V±22V、50Hz±1Hz；输入功率：50VA。</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rPr>
              <w:t>注：以上所有技术指标必须满足要求没有负偏离，否则按无效文件处理。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合同签订后，7个日历日以内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到达甲方指定地点，运输、安装、调试、第一次验收合格后（第一次验收要求乙方按合同约定提供货物，安装调试完成，确保设备能够正常运行），达到付款条件起30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进度款，从第一次验收合格之日起满壹年后，如无质量、服务等问题，进行第二次验收，二次验收合格收到乙方发票后，达到付款条件起30个工作日内，支付合同总金额的3.0%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进度款，第一次验收合格之日起满叁年后，如无质量、服务等问题进行第三次验收，三次验收合格收到乙方发票后，达到付款条件起30个工作日内，支付合同总金额的2.0%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（一）货物到达甲方指定地点后，甲方根据合同要求，进行外观验收，确认产地、规格、型号和数量。甲乙双方需在约定的时间和地点共同开箱检验。 （二）货物安装、调试并正常运行后，由乙方进行自检，合格后能够正常使用时书面通知甲方。 （三）甲方确认接收乙方的自检内容后，进行验收（必要时请有关专家，由乙方承担聘请专家的费用），验收合格后，由乙方对甲方操作人员进行培训，完成培训后，甲方填写验收单作为对货物的最终认可。 （四）乙方向甲方提交货物实施过程中的所有资料。以便甲方日后管理和维护。 （五）货物验收时必须提供海关证明，验收15日内完成商检手续办理。 （六）设备验收时需提供附带市级法定机构出具的计量检定/校准证书。 （七）验收依据： 1、本合同及合同附件。 2、国家相应的标准、规范。 3、招标文件、响应文件、中标通知书、澄清表（函）。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整机质保≥7年，成交单位承诺超过采购文件要求的，按其承诺的质保期进行质保。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付款方式： 因系统编制问题，支付约定以合同约定为主。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负责人授权书：法定代表人/负责人直接参加的，只须递交《法定代表人/负责人身份证明》；法定代表人/负责人授权代表参加的，须递交《法定代表人/负责人授权书》；并提供被授权人截止开标前近三个月在本公司的社会保障资金缴纳证明，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审计的2025年度完整有效的财务审计报告复印件（财务报告是指经会计师事务所审计的上述指定年度整个会计年度财务报表,复印件至少须包括报告正文、资产负债表、现金流量表、利润表、所有者权益变动表及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近一年以来任意一个月的纳税证明或完税证明，纳税证明或完税证明上应有代收机构或税务机关的公章或业务专用章；其他组织和自然人提供近一年以来以来任意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近一年以来任意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供应商须提供《无重大违法记录声明》，并进行电子签章。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履约能力证明</w:t>
            </w:r>
          </w:p>
        </w:tc>
        <w:tc>
          <w:tcPr>
            <w:tcW w:type="dxa" w:w="3322"/>
          </w:tcPr>
          <w:p>
            <w:pPr>
              <w:pStyle w:val="null3"/>
            </w:pPr>
            <w:r>
              <w:rPr>
                <w:rFonts w:ascii="仿宋_GB2312" w:hAnsi="仿宋_GB2312" w:cs="仿宋_GB2312" w:eastAsia="仿宋_GB2312"/>
              </w:rPr>
              <w:t>供应商须提供《具有履行合同所必需的设备和专业技术能力的承诺书》，并进行电子签章。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若供应商为制造厂家，应出具医疗器械生产许可证（投标产品须在其生产范围内）和医疗器械经营许可证（或备案凭证）；若投标人为经销商，应出具医疗器械经营许可证（或备案凭证），以及投标产品制造厂家的医疗器械生产许可证（投标产品须在其生产范围内）。</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产品资质</w:t>
            </w:r>
          </w:p>
        </w:tc>
        <w:tc>
          <w:tcPr>
            <w:tcW w:type="dxa" w:w="3322"/>
          </w:tcPr>
          <w:p>
            <w:pPr>
              <w:pStyle w:val="null3"/>
            </w:pPr>
            <w:r>
              <w:rPr>
                <w:rFonts w:ascii="仿宋_GB2312" w:hAnsi="仿宋_GB2312" w:cs="仿宋_GB2312" w:eastAsia="仿宋_GB2312"/>
              </w:rPr>
              <w:t>供应商所投产品属于医疗器械的须提供拟投产品有效的医疗器械注册证或备案凭证。</w:t>
            </w:r>
          </w:p>
        </w:tc>
        <w:tc>
          <w:tcPr>
            <w:tcW w:type="dxa" w:w="1661"/>
          </w:tcPr>
          <w:p>
            <w:pPr>
              <w:pStyle w:val="null3"/>
            </w:pPr>
            <w:r>
              <w:rPr>
                <w:rFonts w:ascii="仿宋_GB2312" w:hAnsi="仿宋_GB2312" w:cs="仿宋_GB2312" w:eastAsia="仿宋_GB2312"/>
              </w:rPr>
              <w:t>供应商资格证明文件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投标方案 《本国产品说明》 中小企业声明函 报价表 中国境内生产的组件成本核算基本规则 供应商业绩 响应文件封面 其他材料 残疾人福利性单位声明函 供应商基本信息 供应商企业关联关系声明函 标的清单 关于符合本国产品标准的声明函 供应商承诺书 响应函 监狱企业的证明文件 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供应商必须满足采购文件的技术要求</w:t>
            </w:r>
          </w:p>
        </w:tc>
        <w:tc>
          <w:tcPr>
            <w:tcW w:type="dxa" w:w="1661"/>
          </w:tcPr>
          <w:p>
            <w:pPr>
              <w:pStyle w:val="null3"/>
            </w:pPr>
            <w:r>
              <w:rPr>
                <w:rFonts w:ascii="仿宋_GB2312" w:hAnsi="仿宋_GB2312" w:cs="仿宋_GB2312" w:eastAsia="仿宋_GB2312"/>
              </w:rPr>
              <w:t>技术响应偏离表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供应商须提供承诺书（格式见响应文件格式附件）</w:t>
            </w:r>
          </w:p>
        </w:tc>
        <w:tc>
          <w:tcPr>
            <w:tcW w:type="dxa" w:w="1661"/>
          </w:tcPr>
          <w:p>
            <w:pPr>
              <w:pStyle w:val="null3"/>
            </w:pPr>
            <w:r>
              <w:rPr>
                <w:rFonts w:ascii="仿宋_GB2312" w:hAnsi="仿宋_GB2312" w:cs="仿宋_GB2312" w:eastAsia="仿宋_GB2312"/>
              </w:rPr>
              <w:t>供应商承诺书</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详见附件：供应商企业关联关系声明函</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