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版本号：HXTDDY2026144520260825001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陕西省2026年产融结合一揽子服务项目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HXTDDY20261445</w:t>
      </w:r>
      <w:r>
        <w:br/>
      </w:r>
      <w:r>
        <w:br/>
      </w:r>
      <w:r>
        <w:br/>
      </w:r>
    </w:p>
    <w:p>
      <w:pPr>
        <w:pStyle w:val="null3"/>
        <w:jc w:val="center"/>
        <w:outlineLvl w:val="5"/>
      </w:pPr>
      <w:r>
        <w:rPr>
          <w:rFonts w:ascii="仿宋_GB2312" w:hAnsi="仿宋_GB2312" w:cs="仿宋_GB2312" w:eastAsia="仿宋_GB2312"/>
          <w:sz w:val="15"/>
          <w:b/>
        </w:rPr>
        <w:t>陕西省工业和信息化厅机关</w:t>
      </w:r>
    </w:p>
    <w:p>
      <w:pPr>
        <w:pStyle w:val="null3"/>
        <w:jc w:val="center"/>
        <w:outlineLvl w:val="5"/>
      </w:pPr>
      <w:r>
        <w:rPr>
          <w:rFonts w:ascii="仿宋_GB2312" w:hAnsi="仿宋_GB2312" w:cs="仿宋_GB2312" w:eastAsia="仿宋_GB2312"/>
          <w:sz w:val="15"/>
          <w:b/>
        </w:rPr>
        <w:t>陕西鸿信泰鼎建设项目管理有限公司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陕西省工业和信息化厅机关</w:t>
      </w:r>
      <w:r>
        <w:rPr>
          <w:rFonts w:ascii="仿宋_GB2312" w:hAnsi="仿宋_GB2312" w:cs="仿宋_GB2312" w:eastAsia="仿宋_GB2312"/>
        </w:rPr>
        <w:t>委托，拟对</w:t>
      </w:r>
      <w:r>
        <w:rPr>
          <w:rFonts w:ascii="仿宋_GB2312" w:hAnsi="仿宋_GB2312" w:cs="仿宋_GB2312" w:eastAsia="仿宋_GB2312"/>
        </w:rPr>
        <w:t>陕西省2026年产融结合一揽子服务项目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HXTDDY20261445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陕西省2026年产融结合一揽子服务项目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（一）聚焦企业挂牌上市需求,按照工业和信息化部等部门发布的《关于高质量建设区域性股权市场“专精特新”专板的指导意见》，建设陕西省“专精特新”专板。 （二）依据《关于开展“千帆百舸”专精特新中小企业上市培育工作的通知》，持续深化“一月一链”投融资路演活动，建立区域性股权市场“专精特新”专板、中小企业投融资需求发布平台、线上线下路演平台，提高企业融资效率。 （三）依托“专精特新”专板，组织企业普惠培训、银企对接会等基础服务，支持优质中小企业加快对接多层次资本市场。 （四）建立专项服务机制，组建专家服务团队，开展“入企走访”专项行动，定期走访调研挂牌上市培育重点企业，对企业发展规划、财务规范、合规运营等领域提供个性化专业化诊断和服务。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pPr>
        <w:pStyle w:val="null3"/>
      </w:pPr>
      <w:r>
        <w:rPr>
          <w:rFonts w:ascii="仿宋_GB2312" w:hAnsi="仿宋_GB2312" w:cs="仿宋_GB2312" w:eastAsia="仿宋_GB2312"/>
        </w:rPr>
        <w:t>2、法定代表人授权书：供应商应授权合法的人员参加，其中法定代表人直接参加的，须出具法人身份证，并与营业执照上信息一致。法定代表人授权代表参加的， 须出具法定代表人授权书及授权代表身份证、授权代表的养老保险缴纳证明或劳动合同</w:t>
      </w:r>
    </w:p>
    <w:p>
      <w:pPr>
        <w:pStyle w:val="null3"/>
      </w:pPr>
      <w:r>
        <w:rPr>
          <w:rFonts w:ascii="仿宋_GB2312" w:hAnsi="仿宋_GB2312" w:cs="仿宋_GB2312" w:eastAsia="仿宋_GB2312"/>
        </w:rPr>
        <w:t>3、控股、管理关系：供应商不得存在下列情形：单位负责人为同一人或者存在直接控股、管理关系的不同供应商，不得同时参加本项目采购活动</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陕西省工业和信息化厅机关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省政府前大楼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029-63916837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西安市高新区沣惠南路18号唐沣国际广场D座13楼1301室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宜倩、赵磊、何阳、房亚宁、方湖（项目负责人）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采购包1：230,600.00元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采购包1：230,600.00元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按照《国家发改委文件发改价格[2011]534号文件》及《国家计委价格[2002]1980号文件》规定标准下浮18.00%，（若单项目服务费按承诺收费标准计算不足4000.00元按4000.00元计取），由成交供应商向代理机构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陕西省工业和信息化厅机关</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陕西省工业和信息化厅机关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联系人：王彤</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地址：书面材料送至西安市高新区沣惠南路18号唐沣国际广场D座13楼1301室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（一）聚焦企业挂牌上市需求,按照工业和信息化部等部门发布的《关于高质量建设区域性股权市场“专精特新”专板的指导意见》，建设陕西省“专精特新”专板。 （二）依据《关于开展“千帆百舸”专精特新中小企业上市培育工作的通知》，持续深化“一月一链”投融资路演活动，建立区域性股权市场“专精特新”专板、中小企业投融资需求发布平台、线上线下路演平台，提高企业融资效率。 （三）依托“专精特新”专板，组织企业普惠培训、银企对接会等基础服务，支持优质中小企业加快对接多层次资本市场。 （四）建立专项服务机制，组建专家服务团队，开展“入企走访”专项行动，定期走访调研挂牌上市培育重点企业，对企业发展规划、财务规范、合规运营等领域提供个性化专业化诊断和服务。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230,600.00</w:t>
      </w:r>
    </w:p>
    <w:p>
      <w:pPr>
        <w:pStyle w:val="null3"/>
      </w:pPr>
      <w:r>
        <w:rPr>
          <w:rFonts w:ascii="仿宋_GB2312" w:hAnsi="仿宋_GB2312" w:cs="仿宋_GB2312" w:eastAsia="仿宋_GB2312"/>
        </w:rPr>
        <w:t>采购包最高限价（元）: 230,600.00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陕西省2026年产融结合一揽子服务项目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230,600.00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标的名称：陕西省2026年产融结合一揽子服务项目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采购需求</w:t>
            </w:r>
          </w:p>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项目内容：</w:t>
            </w:r>
            <w:r>
              <w:rPr>
                <w:rFonts w:ascii="仿宋_GB2312" w:hAnsi="仿宋_GB2312" w:cs="仿宋_GB2312" w:eastAsia="仿宋_GB2312"/>
                <w:sz w:val="21"/>
              </w:rPr>
              <w:t>陕西省</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年产融结合一揽子服务项目</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二、</w:t>
            </w:r>
            <w:r>
              <w:rPr>
                <w:rFonts w:ascii="仿宋_GB2312" w:hAnsi="仿宋_GB2312" w:cs="仿宋_GB2312" w:eastAsia="仿宋_GB2312"/>
                <w:sz w:val="21"/>
                <w:b/>
              </w:rPr>
              <w:t>项目要求：</w:t>
            </w:r>
          </w:p>
          <w:p>
            <w:pPr>
              <w:pStyle w:val="null3"/>
              <w:ind w:firstLine="420"/>
              <w:jc w:val="both"/>
            </w:pPr>
            <w:r>
              <w:rPr>
                <w:rFonts w:ascii="仿宋_GB2312" w:hAnsi="仿宋_GB2312" w:cs="仿宋_GB2312" w:eastAsia="仿宋_GB2312"/>
                <w:sz w:val="21"/>
              </w:rPr>
              <w:t>（一）聚焦企业挂牌上市需求</w:t>
            </w:r>
            <w:r>
              <w:rPr>
                <w:rFonts w:ascii="仿宋_GB2312" w:hAnsi="仿宋_GB2312" w:cs="仿宋_GB2312" w:eastAsia="仿宋_GB2312"/>
                <w:sz w:val="21"/>
              </w:rPr>
              <w:t>,按照工业和信息化部等部门发布的《关于高质量建设区域性股权市场“专精特新”专板的指导意见》，建设陕西省</w:t>
            </w:r>
            <w:r>
              <w:rPr>
                <w:rFonts w:ascii="仿宋_GB2312" w:hAnsi="仿宋_GB2312" w:cs="仿宋_GB2312" w:eastAsia="仿宋_GB2312"/>
                <w:sz w:val="21"/>
              </w:rPr>
              <w:t>“专精特新”专板</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（二）依据《关于开展</w:t>
            </w:r>
            <w:r>
              <w:rPr>
                <w:rFonts w:ascii="仿宋_GB2312" w:hAnsi="仿宋_GB2312" w:cs="仿宋_GB2312" w:eastAsia="仿宋_GB2312"/>
                <w:sz w:val="21"/>
              </w:rPr>
              <w:t>“千帆百舸”专精特新中小企业上市培育工作的通知》，持续深化“一月一链”投融资路演活动，建立区域性股权市场“专精特新”专板、中小企业投融资需求发布平台、线上线下路演平台，提高企业融资效率。</w:t>
            </w:r>
          </w:p>
          <w:p>
            <w:pPr>
              <w:pStyle w:val="null3"/>
              <w:ind w:firstLine="640"/>
              <w:jc w:val="left"/>
            </w:pPr>
            <w:r>
              <w:rPr>
                <w:rFonts w:ascii="仿宋_GB2312" w:hAnsi="仿宋_GB2312" w:cs="仿宋_GB2312" w:eastAsia="仿宋_GB2312"/>
                <w:sz w:val="21"/>
              </w:rPr>
              <w:t>（三）依托</w:t>
            </w:r>
            <w:r>
              <w:rPr>
                <w:rFonts w:ascii="仿宋_GB2312" w:hAnsi="仿宋_GB2312" w:cs="仿宋_GB2312" w:eastAsia="仿宋_GB2312"/>
                <w:sz w:val="21"/>
              </w:rPr>
              <w:t>“专精特新”专板，组织企业普惠培训、银企对接会等基础服务，支持优质中小企业加快对接多层次资本市场。</w:t>
            </w:r>
          </w:p>
          <w:p>
            <w:pPr>
              <w:pStyle w:val="null3"/>
              <w:ind w:firstLine="640"/>
              <w:jc w:val="both"/>
            </w:pPr>
            <w:r>
              <w:rPr>
                <w:rFonts w:ascii="仿宋_GB2312" w:hAnsi="仿宋_GB2312" w:cs="仿宋_GB2312" w:eastAsia="仿宋_GB2312"/>
                <w:sz w:val="21"/>
              </w:rPr>
              <w:t>（四）建立专项服务机制，组建专家服务团队，开展</w:t>
            </w:r>
            <w:r>
              <w:rPr>
                <w:rFonts w:ascii="仿宋_GB2312" w:hAnsi="仿宋_GB2312" w:cs="仿宋_GB2312" w:eastAsia="仿宋_GB2312"/>
                <w:sz w:val="21"/>
              </w:rPr>
              <w:t>“入企走访”专项行动，定期走访调研挂牌上市培育重点企业，对企业发展规划、财务规范、合规运营等领域提供个性化专业化诊断和服务。</w:t>
            </w:r>
          </w:p>
          <w:p>
            <w:pPr>
              <w:pStyle w:val="null3"/>
              <w:ind w:firstLine="422"/>
              <w:jc w:val="both"/>
            </w:pPr>
            <w:r>
              <w:rPr>
                <w:rFonts w:ascii="仿宋_GB2312" w:hAnsi="仿宋_GB2312" w:cs="仿宋_GB2312" w:eastAsia="仿宋_GB2312"/>
                <w:sz w:val="21"/>
                <w:b/>
              </w:rPr>
              <w:t>三、服务期</w:t>
            </w:r>
            <w:r>
              <w:rPr>
                <w:rFonts w:ascii="仿宋_GB2312" w:hAnsi="仿宋_GB2312" w:cs="仿宋_GB2312" w:eastAsia="仿宋_GB2312"/>
                <w:sz w:val="21"/>
                <w:b/>
              </w:rPr>
              <w:t>限：</w:t>
            </w:r>
            <w:r>
              <w:rPr>
                <w:rFonts w:ascii="仿宋_GB2312" w:hAnsi="仿宋_GB2312" w:cs="仿宋_GB2312" w:eastAsia="仿宋_GB2312"/>
                <w:sz w:val="21"/>
              </w:rPr>
              <w:t>合同签订之日</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月</w:t>
            </w:r>
            <w:r>
              <w:rPr>
                <w:rFonts w:ascii="仿宋_GB2312" w:hAnsi="仿宋_GB2312" w:cs="仿宋_GB2312" w:eastAsia="仿宋_GB2312"/>
                <w:sz w:val="21"/>
              </w:rPr>
              <w:t>30</w:t>
            </w:r>
            <w:r>
              <w:rPr>
                <w:rFonts w:ascii="仿宋_GB2312" w:hAnsi="仿宋_GB2312" w:cs="仿宋_GB2312" w:eastAsia="仿宋_GB2312"/>
                <w:sz w:val="21"/>
              </w:rPr>
              <w:t>日。</w:t>
            </w:r>
          </w:p>
          <w:p>
            <w:pPr>
              <w:pStyle w:val="null3"/>
              <w:ind w:firstLine="422"/>
              <w:jc w:val="both"/>
            </w:pPr>
            <w:r>
              <w:rPr>
                <w:rFonts w:ascii="仿宋_GB2312" w:hAnsi="仿宋_GB2312" w:cs="仿宋_GB2312" w:eastAsia="仿宋_GB2312"/>
                <w:sz w:val="21"/>
                <w:b/>
              </w:rPr>
              <w:t>四、项目</w:t>
            </w:r>
            <w:r>
              <w:rPr>
                <w:rFonts w:ascii="仿宋_GB2312" w:hAnsi="仿宋_GB2312" w:cs="仿宋_GB2312" w:eastAsia="仿宋_GB2312"/>
                <w:sz w:val="21"/>
                <w:b/>
              </w:rPr>
              <w:t>预算：</w:t>
            </w:r>
            <w:r>
              <w:rPr>
                <w:rFonts w:ascii="仿宋_GB2312" w:hAnsi="仿宋_GB2312" w:cs="仿宋_GB2312" w:eastAsia="仿宋_GB2312"/>
                <w:sz w:val="21"/>
              </w:rPr>
              <w:t>贰拾</w:t>
            </w:r>
            <w:r>
              <w:rPr>
                <w:rFonts w:ascii="仿宋_GB2312" w:hAnsi="仿宋_GB2312" w:cs="仿宋_GB2312" w:eastAsia="仿宋_GB2312"/>
                <w:sz w:val="21"/>
              </w:rPr>
              <w:t>叁</w:t>
            </w:r>
            <w:r>
              <w:rPr>
                <w:rFonts w:ascii="仿宋_GB2312" w:hAnsi="仿宋_GB2312" w:cs="仿宋_GB2312" w:eastAsia="仿宋_GB2312"/>
                <w:sz w:val="21"/>
              </w:rPr>
              <w:t>万</w:t>
            </w:r>
            <w:r>
              <w:rPr>
                <w:rFonts w:ascii="仿宋_GB2312" w:hAnsi="仿宋_GB2312" w:cs="仿宋_GB2312" w:eastAsia="仿宋_GB2312"/>
                <w:sz w:val="21"/>
              </w:rPr>
              <w:t>零陆佰</w:t>
            </w:r>
            <w:r>
              <w:rPr>
                <w:rFonts w:ascii="仿宋_GB2312" w:hAnsi="仿宋_GB2312" w:cs="仿宋_GB2312" w:eastAsia="仿宋_GB2312"/>
                <w:sz w:val="21"/>
              </w:rPr>
              <w:t>元（</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6</w:t>
            </w:r>
            <w:r>
              <w:rPr>
                <w:rFonts w:ascii="仿宋_GB2312" w:hAnsi="仿宋_GB2312" w:cs="仿宋_GB2312" w:eastAsia="仿宋_GB2312"/>
                <w:sz w:val="21"/>
              </w:rPr>
              <w:t>00.00元）</w:t>
            </w:r>
          </w:p>
          <w:p>
            <w:pPr>
              <w:pStyle w:val="null3"/>
              <w:ind w:firstLine="422"/>
              <w:jc w:val="both"/>
            </w:pPr>
            <w:r>
              <w:rPr>
                <w:rFonts w:ascii="仿宋_GB2312" w:hAnsi="仿宋_GB2312" w:cs="仿宋_GB2312" w:eastAsia="仿宋_GB2312"/>
                <w:sz w:val="21"/>
                <w:b/>
              </w:rPr>
              <w:t>五、</w:t>
            </w:r>
            <w:r>
              <w:rPr>
                <w:rFonts w:ascii="仿宋_GB2312" w:hAnsi="仿宋_GB2312" w:cs="仿宋_GB2312" w:eastAsia="仿宋_GB2312"/>
                <w:sz w:val="21"/>
                <w:b/>
              </w:rPr>
              <w:t>采购方式：</w:t>
            </w:r>
            <w:r>
              <w:rPr>
                <w:rFonts w:ascii="仿宋_GB2312" w:hAnsi="仿宋_GB2312" w:cs="仿宋_GB2312" w:eastAsia="仿宋_GB2312"/>
                <w:sz w:val="21"/>
              </w:rPr>
              <w:t>单一来源采购</w:t>
            </w:r>
          </w:p>
          <w:p>
            <w:pPr>
              <w:pStyle w:val="null3"/>
              <w:ind w:firstLine="422"/>
              <w:jc w:val="both"/>
            </w:pPr>
            <w:r>
              <w:rPr>
                <w:rFonts w:ascii="仿宋_GB2312" w:hAnsi="仿宋_GB2312" w:cs="仿宋_GB2312" w:eastAsia="仿宋_GB2312"/>
                <w:sz w:val="21"/>
                <w:b/>
              </w:rPr>
              <w:t>六、</w:t>
            </w:r>
            <w:r>
              <w:rPr>
                <w:rFonts w:ascii="仿宋_GB2312" w:hAnsi="仿宋_GB2312" w:cs="仿宋_GB2312" w:eastAsia="仿宋_GB2312"/>
                <w:sz w:val="21"/>
                <w:b/>
              </w:rPr>
              <w:t>付款方式：</w:t>
            </w:r>
            <w:r>
              <w:rPr>
                <w:rFonts w:ascii="仿宋_GB2312" w:hAnsi="仿宋_GB2312" w:cs="仿宋_GB2312" w:eastAsia="仿宋_GB2312"/>
                <w:sz w:val="21"/>
              </w:rPr>
              <w:t>协议（合同）签订后拨付协议（合同）金额的</w:t>
            </w:r>
            <w:r>
              <w:rPr>
                <w:rFonts w:ascii="仿宋_GB2312" w:hAnsi="仿宋_GB2312" w:cs="仿宋_GB2312" w:eastAsia="仿宋_GB2312"/>
                <w:sz w:val="21"/>
              </w:rPr>
              <w:t>7</w:t>
            </w:r>
            <w:r>
              <w:rPr>
                <w:rFonts w:ascii="仿宋_GB2312" w:hAnsi="仿宋_GB2312" w:cs="仿宋_GB2312" w:eastAsia="仿宋_GB2312"/>
                <w:sz w:val="21"/>
              </w:rPr>
              <w:t>0%，项目验收完成后拨付</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七</w:t>
            </w:r>
            <w:r>
              <w:rPr>
                <w:rFonts w:ascii="仿宋_GB2312" w:hAnsi="仿宋_GB2312" w:cs="仿宋_GB2312" w:eastAsia="仿宋_GB2312"/>
                <w:sz w:val="21"/>
                <w:b/>
              </w:rPr>
              <w:t>、项目验收要求：</w:t>
            </w:r>
            <w:r>
              <w:rPr>
                <w:rFonts w:ascii="仿宋_GB2312" w:hAnsi="仿宋_GB2312" w:cs="仿宋_GB2312" w:eastAsia="仿宋_GB2312"/>
                <w:sz w:val="21"/>
              </w:rPr>
              <w:t>完成项目要求，提供相关活动材料，开展项目验收</w:t>
            </w:r>
            <w:r>
              <w:rPr>
                <w:rFonts w:ascii="仿宋_GB2312" w:hAnsi="仿宋_GB2312" w:cs="仿宋_GB2312" w:eastAsia="仿宋_GB2312"/>
                <w:sz w:val="21"/>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预付款，协议（合同）签订后，达到付款条件起30个工作日内，支付合同总金额的70.0%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进度款，项目验收完成后，达到付款条件起30个工作日内，支付合同总金额的30.0%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完成项目要求，提供相关活动材料，开展项目验收。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 因履行本合同引起的或与本合同有关的争议，甲乙双方应首先通过友好协商解决，如果协商不能解决，可向仲裁委员会申请仲裁或向人民法院提起诉讼。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文件，成交供应商须在领取成交通知书时线下提交纸质响应文件贰份；若电子响应文件与纸质响应文件不一致的，以电子响应文件为准；响应文件装订成册密封（逐页标注页码），在封口处加盖供应商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供应商需在项目电子化交易系统中按要求填写《响应函》完成承诺并进行电子签章。1.1 有效的主体资格证明：具有独立承担民事责任能力的法人、其他组织或自然人，提供合法有效的统一社会信用代码营业执照（事业单位提供事业单位法人证书，自然人应提供身份证）；1.2 财务状况：供应商提供 2024 年度或 2025 年度经审计的财务审计报告（成立时间至提交响应文件截止时间不足一年的可提供成立后任意时段的资产负债表），或其响应前三个月内银行出具的资信证明，或信用担保机构出具的投标担保函；(注：以上三种形式的资料提供任何一种即可)；1.3 必需的设备和专业技术能力：具有履行合同所必需的设备和专业技术能力的书面声明（提供承诺书）；1.4 税收缴纳证明：提供2025年6月以来至少一个月的纳税证明或完税证明（增值税、企业所得税至少提供一种），依法免税的单位应提供相关证明材料；1.5 社保资金缴纳证明：提供 2025 年6月以来至少一个月的社会保障资金缴存单据或社保机构开具的社会保险参保缴费情况证明；依法不需要缴纳社会保障资金的供应商应提供相关文件证明；1.6 无重大违法记录声明：参加采购活动前3年内在经营活动中没有重大违法记录的书面声明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 2024 年度或 2025 年度经审计的财务审计报告（成立时间至提交响应文件截止时间不足一年的可提供成立后任意时段的资产负债表），或其响应前三个月内银行出具的资信证明，或信用担保机构出具的投标担保函；(注：以上三种形式的资料提供任何一种即可)</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供应商应授权合法的人员参加，其中法定代表人直接参加的，须出具法人身份证，并与营业执照上信息一致。法定代表人授权代表参加的， 须出具法定代表人授权书及授权代表身份证、授权代表的养老保险缴纳证明或劳动合同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供应商不得存在下列情形：单位负责人为同一人或者存在直接控股、管理关系的不同供应商，不得同时参加本项目采购活动</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服务方案 服务内容及服务要求应答表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分项报价明细表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