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A8B90D">
      <w:pPr>
        <w:pStyle w:val="13"/>
        <w:rPr>
          <w:rFonts w:hint="eastAsia" w:ascii="宋体" w:hAnsi="宋体" w:cs="Arial"/>
          <w:color w:val="auto"/>
          <w:kern w:val="0"/>
          <w:sz w:val="30"/>
          <w:szCs w:val="30"/>
          <w:highlight w:val="none"/>
          <w:lang w:eastAsia="zh-CN"/>
        </w:rPr>
      </w:pPr>
      <w:r>
        <w:rPr>
          <w:rFonts w:hint="eastAsia" w:ascii="宋体" w:hAnsi="宋体" w:cs="Arial"/>
          <w:color w:val="auto"/>
          <w:kern w:val="0"/>
          <w:sz w:val="30"/>
          <w:szCs w:val="30"/>
          <w:highlight w:val="none"/>
        </w:rPr>
        <w:t>项目编号：</w:t>
      </w:r>
      <w:r>
        <w:rPr>
          <w:rFonts w:hint="eastAsia" w:ascii="宋体" w:hAnsi="宋体" w:cs="Arial"/>
          <w:color w:val="auto"/>
          <w:kern w:val="0"/>
          <w:sz w:val="30"/>
          <w:szCs w:val="30"/>
          <w:highlight w:val="none"/>
          <w:lang w:eastAsia="zh-CN"/>
        </w:rPr>
        <w:t>ZJZB-2026-032</w:t>
      </w:r>
    </w:p>
    <w:p w14:paraId="0A972BD7">
      <w:pPr>
        <w:jc w:val="center"/>
        <w:rPr>
          <w:rFonts w:hint="eastAsia" w:ascii="宋体" w:hAnsi="宋体"/>
          <w:sz w:val="48"/>
          <w14:shadow w14:blurRad="50800" w14:dist="38100" w14:dir="2700000" w14:sx="100000" w14:sy="100000" w14:kx="0" w14:ky="0" w14:algn="tl">
            <w14:srgbClr w14:val="000000">
              <w14:alpha w14:val="60000"/>
            </w14:srgbClr>
          </w14:shadow>
        </w:rPr>
      </w:pPr>
    </w:p>
    <w:p w14:paraId="78140561">
      <w:pPr>
        <w:ind w:firstLine="420"/>
        <w:rPr>
          <w:rFonts w:ascii="宋体" w:hAnsi="宋体"/>
        </w:rPr>
      </w:pPr>
    </w:p>
    <w:p w14:paraId="677A077C">
      <w:pPr>
        <w:jc w:val="center"/>
        <w:rPr>
          <w:rFonts w:hint="eastAsia" w:ascii="宋体" w:hAnsi="宋体"/>
          <w:b/>
          <w:sz w:val="52"/>
          <w:szCs w:val="52"/>
          <w:lang w:eastAsia="zh-CN"/>
        </w:rPr>
      </w:pPr>
      <w:r>
        <w:rPr>
          <w:rFonts w:hint="eastAsia" w:ascii="宋体" w:hAnsi="宋体"/>
          <w:b/>
          <w:sz w:val="52"/>
          <w:szCs w:val="52"/>
          <w:lang w:eastAsia="zh-CN"/>
        </w:rPr>
        <w:t>西安市青龙寺景区</w:t>
      </w:r>
    </w:p>
    <w:p w14:paraId="07A26442">
      <w:pPr>
        <w:jc w:val="center"/>
        <w:rPr>
          <w:rFonts w:hint="eastAsia" w:ascii="宋体" w:hAnsi="宋体" w:eastAsia="宋体"/>
          <w:b/>
          <w:sz w:val="52"/>
          <w:szCs w:val="52"/>
          <w:lang w:eastAsia="zh-CN"/>
        </w:rPr>
      </w:pPr>
      <w:r>
        <w:rPr>
          <w:rFonts w:hint="eastAsia" w:ascii="宋体" w:hAnsi="宋体"/>
          <w:b/>
          <w:sz w:val="52"/>
          <w:szCs w:val="52"/>
          <w:lang w:eastAsia="zh-CN"/>
        </w:rPr>
        <w:t>樱花季景观绿化维护提升项目</w:t>
      </w:r>
    </w:p>
    <w:p w14:paraId="6E9E9832">
      <w:pPr>
        <w:spacing w:line="360" w:lineRule="atLeast"/>
        <w:jc w:val="center"/>
        <w:rPr>
          <w:rFonts w:hint="eastAsia" w:ascii="宋体" w:hAnsi="宋体"/>
          <w:sz w:val="72"/>
          <w:szCs w:val="72"/>
        </w:rPr>
      </w:pPr>
    </w:p>
    <w:p w14:paraId="69595648">
      <w:pPr>
        <w:spacing w:line="360" w:lineRule="atLeast"/>
        <w:jc w:val="center"/>
        <w:rPr>
          <w:rFonts w:hint="eastAsia" w:ascii="宋体" w:hAnsi="宋体"/>
          <w:sz w:val="72"/>
          <w:szCs w:val="72"/>
        </w:rPr>
      </w:pPr>
    </w:p>
    <w:p w14:paraId="1ECB40D5">
      <w:pPr>
        <w:spacing w:line="360" w:lineRule="atLeast"/>
        <w:jc w:val="center"/>
        <w:rPr>
          <w:rFonts w:hint="eastAsia" w:ascii="宋体" w:hAnsi="宋体"/>
          <w:b/>
          <w:sz w:val="52"/>
          <w:szCs w:val="52"/>
        </w:rPr>
      </w:pPr>
      <w:r>
        <w:rPr>
          <w:rFonts w:hint="eastAsia" w:ascii="宋体" w:hAnsi="宋体"/>
          <w:b/>
          <w:sz w:val="52"/>
          <w:szCs w:val="52"/>
        </w:rPr>
        <w:t>竞争性磋商文件</w:t>
      </w:r>
    </w:p>
    <w:p w14:paraId="0D230FCA">
      <w:pPr>
        <w:ind w:firstLine="420"/>
        <w:rPr>
          <w:rFonts w:hint="eastAsia" w:ascii="宋体" w:hAnsi="宋体"/>
        </w:rPr>
      </w:pPr>
    </w:p>
    <w:p w14:paraId="0E3662D9">
      <w:pPr>
        <w:ind w:firstLine="420"/>
        <w:rPr>
          <w:rFonts w:hint="eastAsia" w:ascii="宋体" w:hAnsi="宋体"/>
        </w:rPr>
      </w:pPr>
    </w:p>
    <w:p w14:paraId="72748128">
      <w:pPr>
        <w:jc w:val="center"/>
        <w:rPr>
          <w:rFonts w:hint="eastAsia" w:ascii="宋体" w:hAnsi="宋体"/>
          <w:b/>
          <w:sz w:val="30"/>
        </w:rPr>
      </w:pPr>
    </w:p>
    <w:p w14:paraId="6F9CE752">
      <w:pPr>
        <w:jc w:val="center"/>
        <w:rPr>
          <w:rFonts w:hint="eastAsia" w:ascii="宋体" w:hAnsi="宋体"/>
          <w:b/>
          <w:sz w:val="30"/>
        </w:rPr>
      </w:pPr>
    </w:p>
    <w:p w14:paraId="1556CD53">
      <w:pPr>
        <w:jc w:val="center"/>
        <w:rPr>
          <w:rFonts w:hint="eastAsia" w:ascii="宋体" w:hAnsi="宋体"/>
          <w:b/>
          <w:sz w:val="30"/>
        </w:rPr>
      </w:pPr>
    </w:p>
    <w:p w14:paraId="625A7F36">
      <w:pPr>
        <w:jc w:val="center"/>
        <w:rPr>
          <w:rFonts w:hint="eastAsia" w:ascii="宋体" w:hAnsi="宋体"/>
          <w:b/>
          <w:sz w:val="30"/>
        </w:rPr>
      </w:pPr>
    </w:p>
    <w:p w14:paraId="6E1C7022">
      <w:pPr>
        <w:jc w:val="center"/>
        <w:rPr>
          <w:rFonts w:hint="eastAsia" w:ascii="宋体" w:hAnsi="宋体"/>
          <w:b/>
          <w:sz w:val="30"/>
        </w:rPr>
      </w:pPr>
    </w:p>
    <w:p w14:paraId="7760747E">
      <w:pPr>
        <w:rPr>
          <w:rFonts w:hint="eastAsia" w:ascii="宋体" w:hAnsi="宋体"/>
          <w:b/>
          <w:sz w:val="30"/>
        </w:rPr>
      </w:pPr>
    </w:p>
    <w:p w14:paraId="7FDCAFA0">
      <w:pPr>
        <w:rPr>
          <w:rFonts w:ascii="宋体" w:hAnsi="宋体"/>
          <w:b/>
          <w:sz w:val="30"/>
        </w:rPr>
      </w:pPr>
    </w:p>
    <w:p w14:paraId="53A644E5">
      <w:pPr>
        <w:pStyle w:val="18"/>
        <w:rPr>
          <w:rFonts w:hint="eastAsia"/>
        </w:rPr>
      </w:pPr>
    </w:p>
    <w:p w14:paraId="48A17FF7">
      <w:pPr>
        <w:keepNext w:val="0"/>
        <w:keepLines w:val="0"/>
        <w:pageBreakBefore w:val="0"/>
        <w:widowControl w:val="0"/>
        <w:kinsoku/>
        <w:wordWrap/>
        <w:overflowPunct/>
        <w:topLinePunct w:val="0"/>
        <w:autoSpaceDE/>
        <w:autoSpaceDN/>
        <w:bidi w:val="0"/>
        <w:adjustRightInd/>
        <w:snapToGrid/>
        <w:spacing w:line="480" w:lineRule="auto"/>
        <w:ind w:firstLine="1928" w:firstLineChars="600"/>
        <w:textAlignment w:val="auto"/>
        <w:rPr>
          <w:rFonts w:hint="eastAsia" w:ascii="宋体" w:hAnsi="宋体" w:eastAsia="宋体"/>
          <w:b/>
          <w:color w:val="000000"/>
          <w:sz w:val="32"/>
          <w:szCs w:val="32"/>
          <w:lang w:eastAsia="zh-CN"/>
        </w:rPr>
      </w:pPr>
      <w:r>
        <w:rPr>
          <w:rFonts w:hint="eastAsia" w:ascii="宋体" w:hAnsi="宋体"/>
          <w:b/>
          <w:color w:val="000000"/>
          <w:sz w:val="32"/>
          <w:szCs w:val="32"/>
        </w:rPr>
        <w:t>采购人：</w:t>
      </w:r>
      <w:r>
        <w:rPr>
          <w:rFonts w:hint="eastAsia" w:ascii="宋体" w:hAnsi="宋体"/>
          <w:b/>
          <w:color w:val="000000"/>
          <w:sz w:val="32"/>
          <w:szCs w:val="32"/>
          <w:lang w:eastAsia="zh-CN"/>
        </w:rPr>
        <w:t>西安市青龙寺遗址保管所</w:t>
      </w:r>
    </w:p>
    <w:p w14:paraId="61137323">
      <w:pPr>
        <w:keepNext w:val="0"/>
        <w:keepLines w:val="0"/>
        <w:pageBreakBefore w:val="0"/>
        <w:widowControl w:val="0"/>
        <w:kinsoku/>
        <w:wordWrap/>
        <w:overflowPunct/>
        <w:topLinePunct w:val="0"/>
        <w:autoSpaceDE/>
        <w:autoSpaceDN/>
        <w:bidi w:val="0"/>
        <w:adjustRightInd/>
        <w:snapToGrid/>
        <w:spacing w:line="480" w:lineRule="auto"/>
        <w:ind w:firstLine="1928" w:firstLineChars="600"/>
        <w:textAlignment w:val="auto"/>
        <w:rPr>
          <w:rFonts w:hint="eastAsia" w:ascii="宋体" w:hAnsi="宋体" w:eastAsia="宋体"/>
          <w:b/>
          <w:color w:val="000000"/>
          <w:sz w:val="32"/>
          <w:szCs w:val="32"/>
          <w:lang w:eastAsia="zh-CN"/>
        </w:rPr>
      </w:pPr>
      <w:r>
        <w:rPr>
          <w:rFonts w:hint="eastAsia" w:ascii="宋体" w:hAnsi="宋体"/>
          <w:b/>
          <w:color w:val="000000"/>
          <w:sz w:val="32"/>
          <w:szCs w:val="32"/>
        </w:rPr>
        <w:t>采购代理机构：</w:t>
      </w:r>
      <w:r>
        <w:rPr>
          <w:rFonts w:hint="eastAsia" w:ascii="宋体" w:hAnsi="宋体"/>
          <w:b/>
          <w:color w:val="000000"/>
          <w:sz w:val="32"/>
          <w:szCs w:val="32"/>
          <w:lang w:eastAsia="zh-CN"/>
        </w:rPr>
        <w:t>致君项目管理有限公司</w:t>
      </w:r>
    </w:p>
    <w:p w14:paraId="6A50C701">
      <w:pPr>
        <w:keepNext w:val="0"/>
        <w:keepLines w:val="0"/>
        <w:pageBreakBefore w:val="0"/>
        <w:widowControl w:val="0"/>
        <w:kinsoku/>
        <w:wordWrap/>
        <w:overflowPunct/>
        <w:topLinePunct w:val="0"/>
        <w:autoSpaceDE/>
        <w:autoSpaceDN/>
        <w:bidi w:val="0"/>
        <w:adjustRightInd/>
        <w:snapToGrid/>
        <w:spacing w:line="480" w:lineRule="auto"/>
        <w:ind w:firstLine="1928" w:firstLineChars="600"/>
        <w:textAlignment w:val="auto"/>
        <w:rPr>
          <w:rFonts w:hint="eastAsia" w:ascii="宋体" w:hAnsi="宋体" w:eastAsia="宋体"/>
          <w:b/>
          <w:color w:val="000000"/>
          <w:sz w:val="32"/>
          <w:szCs w:val="32"/>
          <w:lang w:eastAsia="zh-CN"/>
        </w:rPr>
      </w:pPr>
      <w:r>
        <w:rPr>
          <w:rFonts w:hint="eastAsia" w:ascii="宋体" w:hAnsi="宋体"/>
          <w:b/>
          <w:color w:val="000000"/>
          <w:sz w:val="32"/>
          <w:szCs w:val="32"/>
        </w:rPr>
        <w:t>日  期：</w:t>
      </w:r>
      <w:r>
        <w:rPr>
          <w:rFonts w:hint="eastAsia" w:ascii="宋体" w:hAnsi="宋体"/>
          <w:b/>
          <w:color w:val="000000"/>
          <w:sz w:val="32"/>
          <w:szCs w:val="32"/>
          <w:lang w:eastAsia="zh-CN"/>
        </w:rPr>
        <w:t>二〇二六年六月</w:t>
      </w:r>
    </w:p>
    <w:p w14:paraId="4060D41C">
      <w:pPr>
        <w:jc w:val="center"/>
        <w:rPr>
          <w:rFonts w:hint="eastAsia" w:ascii="宋体" w:hAnsi="宋体"/>
          <w:b/>
          <w:sz w:val="30"/>
        </w:rPr>
      </w:pPr>
      <w:r>
        <w:rPr>
          <w:rFonts w:ascii="宋体" w:hAnsi="宋体"/>
        </w:rPr>
        <w:br w:type="page"/>
      </w:r>
    </w:p>
    <w:p w14:paraId="0E957D83">
      <w:pPr>
        <w:pStyle w:val="2"/>
        <w:keepNext w:val="0"/>
        <w:keepLines w:val="0"/>
        <w:rPr>
          <w:rFonts w:hint="eastAsia" w:ascii="宋体" w:hAnsi="宋体" w:cs="Arial"/>
          <w:bCs w:val="0"/>
          <w:kern w:val="0"/>
          <w:sz w:val="36"/>
          <w:szCs w:val="36"/>
        </w:rPr>
      </w:pPr>
      <w:bookmarkStart w:id="0" w:name="_Toc100172079"/>
      <w:bookmarkStart w:id="1" w:name="_Toc162021004"/>
      <w:bookmarkStart w:id="2" w:name="_Toc328739375"/>
      <w:r>
        <w:rPr>
          <w:rFonts w:hint="eastAsia" w:ascii="宋体" w:hAnsi="宋体" w:cs="Arial"/>
          <w:bCs w:val="0"/>
          <w:kern w:val="0"/>
          <w:sz w:val="36"/>
          <w:szCs w:val="36"/>
        </w:rPr>
        <w:t>目  录</w:t>
      </w:r>
      <w:bookmarkEnd w:id="0"/>
      <w:bookmarkEnd w:id="1"/>
      <w:bookmarkEnd w:id="2"/>
    </w:p>
    <w:p w14:paraId="15AC163A">
      <w:pPr>
        <w:pStyle w:val="23"/>
        <w:rPr>
          <w:rFonts w:ascii="宋体" w:hAnsi="宋体"/>
          <w:b/>
          <w:sz w:val="28"/>
          <w:szCs w:val="28"/>
        </w:rPr>
      </w:pPr>
      <w:r>
        <w:fldChar w:fldCharType="begin"/>
      </w:r>
      <w:r>
        <w:instrText xml:space="preserve"> TOC \o "1-3" \h \z \u </w:instrText>
      </w:r>
      <w:r>
        <w:fldChar w:fldCharType="separate"/>
      </w:r>
      <w:r>
        <w:rPr>
          <w:rStyle w:val="37"/>
          <w:rFonts w:ascii="宋体" w:hAnsi="宋体"/>
          <w:b/>
          <w:sz w:val="28"/>
          <w:szCs w:val="28"/>
        </w:rPr>
        <w:fldChar w:fldCharType="begin"/>
      </w:r>
      <w:r>
        <w:rPr>
          <w:rStyle w:val="37"/>
          <w:rFonts w:ascii="宋体" w:hAnsi="宋体"/>
          <w:b/>
          <w:sz w:val="28"/>
          <w:szCs w:val="28"/>
        </w:rPr>
        <w:instrText xml:space="preserve"> </w:instrText>
      </w:r>
      <w:r>
        <w:rPr>
          <w:rFonts w:ascii="宋体" w:hAnsi="宋体"/>
          <w:b/>
          <w:sz w:val="28"/>
          <w:szCs w:val="28"/>
        </w:rPr>
        <w:instrText xml:space="preserve">HYPERLINK \l "_Toc162021005"</w:instrText>
      </w:r>
      <w:r>
        <w:rPr>
          <w:rStyle w:val="37"/>
          <w:rFonts w:ascii="宋体" w:hAnsi="宋体"/>
          <w:b/>
          <w:sz w:val="28"/>
          <w:szCs w:val="28"/>
        </w:rPr>
        <w:instrText xml:space="preserve"> </w:instrText>
      </w:r>
      <w:r>
        <w:rPr>
          <w:rStyle w:val="37"/>
          <w:rFonts w:ascii="宋体" w:hAnsi="宋体"/>
          <w:b/>
          <w:sz w:val="28"/>
          <w:szCs w:val="28"/>
        </w:rPr>
        <w:fldChar w:fldCharType="separate"/>
      </w:r>
      <w:r>
        <w:rPr>
          <w:rStyle w:val="37"/>
          <w:rFonts w:hint="eastAsia" w:ascii="宋体" w:hAnsi="宋体"/>
          <w:b/>
          <w:sz w:val="28"/>
          <w:szCs w:val="28"/>
        </w:rPr>
        <w:t>第一部分</w:t>
      </w:r>
      <w:r>
        <w:rPr>
          <w:rStyle w:val="37"/>
          <w:rFonts w:ascii="宋体" w:hAnsi="宋体"/>
          <w:b/>
          <w:sz w:val="28"/>
          <w:szCs w:val="28"/>
        </w:rPr>
        <w:t xml:space="preserve">  </w:t>
      </w:r>
      <w:r>
        <w:rPr>
          <w:rStyle w:val="37"/>
          <w:rFonts w:hint="eastAsia" w:ascii="宋体" w:hAnsi="宋体"/>
          <w:b/>
          <w:sz w:val="28"/>
          <w:szCs w:val="28"/>
        </w:rPr>
        <w:t>竞争性磋商公告</w:t>
      </w:r>
      <w:r>
        <w:rPr>
          <w:rFonts w:ascii="宋体" w:hAnsi="宋体"/>
          <w:b/>
          <w:sz w:val="28"/>
          <w:szCs w:val="28"/>
        </w:rPr>
        <w:tab/>
      </w:r>
      <w:r>
        <w:rPr>
          <w:rFonts w:ascii="宋体" w:hAnsi="宋体"/>
          <w:b/>
          <w:sz w:val="28"/>
          <w:szCs w:val="28"/>
        </w:rPr>
        <w:fldChar w:fldCharType="begin"/>
      </w:r>
      <w:r>
        <w:rPr>
          <w:rFonts w:ascii="宋体" w:hAnsi="宋体"/>
          <w:b/>
          <w:sz w:val="28"/>
          <w:szCs w:val="28"/>
        </w:rPr>
        <w:instrText xml:space="preserve"> PAGEREF _Toc162021005 \h </w:instrText>
      </w:r>
      <w:r>
        <w:rPr>
          <w:rFonts w:ascii="宋体" w:hAnsi="宋体"/>
          <w:b/>
          <w:sz w:val="28"/>
          <w:szCs w:val="28"/>
        </w:rPr>
        <w:fldChar w:fldCharType="separate"/>
      </w:r>
      <w:r>
        <w:rPr>
          <w:rFonts w:ascii="宋体" w:hAnsi="宋体"/>
          <w:b/>
          <w:sz w:val="28"/>
          <w:szCs w:val="28"/>
        </w:rPr>
        <w:t>1</w:t>
      </w:r>
      <w:r>
        <w:rPr>
          <w:rFonts w:ascii="宋体" w:hAnsi="宋体"/>
          <w:b/>
          <w:sz w:val="28"/>
          <w:szCs w:val="28"/>
        </w:rPr>
        <w:fldChar w:fldCharType="end"/>
      </w:r>
      <w:r>
        <w:rPr>
          <w:rStyle w:val="37"/>
          <w:rFonts w:ascii="宋体" w:hAnsi="宋体"/>
          <w:b/>
          <w:sz w:val="28"/>
          <w:szCs w:val="28"/>
        </w:rPr>
        <w:fldChar w:fldCharType="end"/>
      </w:r>
    </w:p>
    <w:p w14:paraId="1D2F7D43">
      <w:pPr>
        <w:pStyle w:val="23"/>
        <w:rPr>
          <w:rFonts w:ascii="宋体" w:hAnsi="宋体"/>
          <w:b/>
          <w:sz w:val="28"/>
          <w:szCs w:val="28"/>
        </w:rPr>
      </w:pPr>
      <w:r>
        <w:rPr>
          <w:rStyle w:val="37"/>
          <w:rFonts w:ascii="宋体" w:hAnsi="宋体"/>
          <w:b/>
          <w:sz w:val="28"/>
          <w:szCs w:val="28"/>
        </w:rPr>
        <w:fldChar w:fldCharType="begin"/>
      </w:r>
      <w:r>
        <w:rPr>
          <w:rStyle w:val="37"/>
          <w:rFonts w:ascii="宋体" w:hAnsi="宋体"/>
          <w:b/>
          <w:sz w:val="28"/>
          <w:szCs w:val="28"/>
        </w:rPr>
        <w:instrText xml:space="preserve"> </w:instrText>
      </w:r>
      <w:r>
        <w:rPr>
          <w:rFonts w:ascii="宋体" w:hAnsi="宋体"/>
          <w:b/>
          <w:sz w:val="28"/>
          <w:szCs w:val="28"/>
        </w:rPr>
        <w:instrText xml:space="preserve">HYPERLINK \l "_Toc162021006"</w:instrText>
      </w:r>
      <w:r>
        <w:rPr>
          <w:rStyle w:val="37"/>
          <w:rFonts w:ascii="宋体" w:hAnsi="宋体"/>
          <w:b/>
          <w:sz w:val="28"/>
          <w:szCs w:val="28"/>
        </w:rPr>
        <w:instrText xml:space="preserve"> </w:instrText>
      </w:r>
      <w:r>
        <w:rPr>
          <w:rStyle w:val="37"/>
          <w:rFonts w:ascii="宋体" w:hAnsi="宋体"/>
          <w:b/>
          <w:sz w:val="28"/>
          <w:szCs w:val="28"/>
        </w:rPr>
        <w:fldChar w:fldCharType="separate"/>
      </w:r>
      <w:r>
        <w:rPr>
          <w:rStyle w:val="37"/>
          <w:rFonts w:hint="eastAsia" w:ascii="宋体" w:hAnsi="宋体"/>
          <w:b/>
          <w:sz w:val="28"/>
          <w:szCs w:val="28"/>
        </w:rPr>
        <w:t>第二部分</w:t>
      </w:r>
      <w:r>
        <w:rPr>
          <w:rStyle w:val="37"/>
          <w:rFonts w:ascii="宋体" w:hAnsi="宋体"/>
          <w:b/>
          <w:sz w:val="28"/>
          <w:szCs w:val="28"/>
        </w:rPr>
        <w:t xml:space="preserve">  </w:t>
      </w:r>
      <w:r>
        <w:rPr>
          <w:rStyle w:val="37"/>
          <w:rFonts w:hint="eastAsia" w:ascii="宋体" w:hAnsi="宋体"/>
          <w:b/>
          <w:sz w:val="28"/>
          <w:szCs w:val="28"/>
        </w:rPr>
        <w:t>供应商须知</w:t>
      </w:r>
      <w:r>
        <w:rPr>
          <w:rFonts w:ascii="宋体" w:hAnsi="宋体"/>
          <w:b/>
          <w:sz w:val="28"/>
          <w:szCs w:val="28"/>
        </w:rPr>
        <w:tab/>
      </w:r>
      <w:r>
        <w:rPr>
          <w:rFonts w:ascii="宋体" w:hAnsi="宋体"/>
          <w:b/>
          <w:sz w:val="28"/>
          <w:szCs w:val="28"/>
        </w:rPr>
        <w:fldChar w:fldCharType="begin"/>
      </w:r>
      <w:r>
        <w:rPr>
          <w:rFonts w:ascii="宋体" w:hAnsi="宋体"/>
          <w:b/>
          <w:sz w:val="28"/>
          <w:szCs w:val="28"/>
        </w:rPr>
        <w:instrText xml:space="preserve"> PAGEREF _Toc162021006 \h </w:instrText>
      </w:r>
      <w:r>
        <w:rPr>
          <w:rFonts w:ascii="宋体" w:hAnsi="宋体"/>
          <w:b/>
          <w:sz w:val="28"/>
          <w:szCs w:val="28"/>
        </w:rPr>
        <w:fldChar w:fldCharType="separate"/>
      </w:r>
      <w:r>
        <w:rPr>
          <w:rFonts w:ascii="宋体" w:hAnsi="宋体"/>
          <w:b/>
          <w:sz w:val="28"/>
          <w:szCs w:val="28"/>
        </w:rPr>
        <w:t>5</w:t>
      </w:r>
      <w:r>
        <w:rPr>
          <w:rFonts w:ascii="宋体" w:hAnsi="宋体"/>
          <w:b/>
          <w:sz w:val="28"/>
          <w:szCs w:val="28"/>
        </w:rPr>
        <w:fldChar w:fldCharType="end"/>
      </w:r>
      <w:r>
        <w:rPr>
          <w:rStyle w:val="37"/>
          <w:rFonts w:ascii="宋体" w:hAnsi="宋体"/>
          <w:b/>
          <w:sz w:val="28"/>
          <w:szCs w:val="28"/>
        </w:rPr>
        <w:fldChar w:fldCharType="end"/>
      </w:r>
    </w:p>
    <w:p w14:paraId="7DC425E3">
      <w:pPr>
        <w:pStyle w:val="23"/>
        <w:rPr>
          <w:rFonts w:ascii="宋体" w:hAnsi="宋体"/>
          <w:b/>
          <w:sz w:val="28"/>
          <w:szCs w:val="28"/>
        </w:rPr>
      </w:pPr>
      <w:r>
        <w:rPr>
          <w:rStyle w:val="37"/>
          <w:rFonts w:ascii="宋体" w:hAnsi="宋体"/>
          <w:b/>
          <w:sz w:val="28"/>
          <w:szCs w:val="28"/>
        </w:rPr>
        <w:fldChar w:fldCharType="begin"/>
      </w:r>
      <w:r>
        <w:rPr>
          <w:rStyle w:val="37"/>
          <w:rFonts w:ascii="宋体" w:hAnsi="宋体"/>
          <w:b/>
          <w:sz w:val="28"/>
          <w:szCs w:val="28"/>
        </w:rPr>
        <w:instrText xml:space="preserve"> </w:instrText>
      </w:r>
      <w:r>
        <w:rPr>
          <w:rFonts w:ascii="宋体" w:hAnsi="宋体"/>
          <w:b/>
          <w:sz w:val="28"/>
          <w:szCs w:val="28"/>
        </w:rPr>
        <w:instrText xml:space="preserve">HYPERLINK \l "_Toc162021007"</w:instrText>
      </w:r>
      <w:r>
        <w:rPr>
          <w:rStyle w:val="37"/>
          <w:rFonts w:ascii="宋体" w:hAnsi="宋体"/>
          <w:b/>
          <w:sz w:val="28"/>
          <w:szCs w:val="28"/>
        </w:rPr>
        <w:instrText xml:space="preserve"> </w:instrText>
      </w:r>
      <w:r>
        <w:rPr>
          <w:rStyle w:val="37"/>
          <w:rFonts w:ascii="宋体" w:hAnsi="宋体"/>
          <w:b/>
          <w:sz w:val="28"/>
          <w:szCs w:val="28"/>
        </w:rPr>
        <w:fldChar w:fldCharType="separate"/>
      </w:r>
      <w:r>
        <w:rPr>
          <w:rStyle w:val="37"/>
          <w:rFonts w:hint="eastAsia" w:ascii="宋体" w:hAnsi="宋体"/>
          <w:b/>
          <w:sz w:val="28"/>
          <w:szCs w:val="28"/>
        </w:rPr>
        <w:t>第三部分</w:t>
      </w:r>
      <w:r>
        <w:rPr>
          <w:rStyle w:val="37"/>
          <w:rFonts w:ascii="宋体" w:hAnsi="宋体"/>
          <w:b/>
          <w:sz w:val="28"/>
          <w:szCs w:val="28"/>
        </w:rPr>
        <w:t xml:space="preserve">  </w:t>
      </w:r>
      <w:r>
        <w:rPr>
          <w:rStyle w:val="37"/>
          <w:rFonts w:hint="eastAsia" w:ascii="宋体" w:hAnsi="宋体"/>
          <w:b/>
          <w:sz w:val="28"/>
          <w:szCs w:val="28"/>
        </w:rPr>
        <w:t>采购内容及技术要求</w:t>
      </w:r>
      <w:r>
        <w:rPr>
          <w:rFonts w:ascii="宋体" w:hAnsi="宋体"/>
          <w:b/>
          <w:sz w:val="28"/>
          <w:szCs w:val="28"/>
        </w:rPr>
        <w:tab/>
      </w:r>
      <w:r>
        <w:rPr>
          <w:rFonts w:ascii="宋体" w:hAnsi="宋体"/>
          <w:b/>
          <w:sz w:val="28"/>
          <w:szCs w:val="28"/>
        </w:rPr>
        <w:fldChar w:fldCharType="begin"/>
      </w:r>
      <w:r>
        <w:rPr>
          <w:rFonts w:ascii="宋体" w:hAnsi="宋体"/>
          <w:b/>
          <w:sz w:val="28"/>
          <w:szCs w:val="28"/>
        </w:rPr>
        <w:instrText xml:space="preserve"> PAGEREF _Toc162021007 \h </w:instrText>
      </w:r>
      <w:r>
        <w:rPr>
          <w:rFonts w:ascii="宋体" w:hAnsi="宋体"/>
          <w:b/>
          <w:sz w:val="28"/>
          <w:szCs w:val="28"/>
        </w:rPr>
        <w:fldChar w:fldCharType="separate"/>
      </w:r>
      <w:r>
        <w:rPr>
          <w:rFonts w:ascii="宋体" w:hAnsi="宋体"/>
          <w:b/>
          <w:sz w:val="28"/>
          <w:szCs w:val="28"/>
        </w:rPr>
        <w:t>27</w:t>
      </w:r>
      <w:r>
        <w:rPr>
          <w:rFonts w:ascii="宋体" w:hAnsi="宋体"/>
          <w:b/>
          <w:sz w:val="28"/>
          <w:szCs w:val="28"/>
        </w:rPr>
        <w:fldChar w:fldCharType="end"/>
      </w:r>
      <w:r>
        <w:rPr>
          <w:rStyle w:val="37"/>
          <w:rFonts w:ascii="宋体" w:hAnsi="宋体"/>
          <w:b/>
          <w:sz w:val="28"/>
          <w:szCs w:val="28"/>
        </w:rPr>
        <w:fldChar w:fldCharType="end"/>
      </w:r>
    </w:p>
    <w:p w14:paraId="680DB823">
      <w:pPr>
        <w:pStyle w:val="23"/>
        <w:rPr>
          <w:rFonts w:ascii="宋体" w:hAnsi="宋体"/>
          <w:b/>
          <w:sz w:val="28"/>
          <w:szCs w:val="28"/>
        </w:rPr>
      </w:pPr>
      <w:r>
        <w:rPr>
          <w:rStyle w:val="37"/>
          <w:rFonts w:ascii="宋体" w:hAnsi="宋体"/>
          <w:b/>
          <w:sz w:val="28"/>
          <w:szCs w:val="28"/>
        </w:rPr>
        <w:fldChar w:fldCharType="begin"/>
      </w:r>
      <w:r>
        <w:rPr>
          <w:rStyle w:val="37"/>
          <w:rFonts w:ascii="宋体" w:hAnsi="宋体"/>
          <w:b/>
          <w:sz w:val="28"/>
          <w:szCs w:val="28"/>
        </w:rPr>
        <w:instrText xml:space="preserve"> </w:instrText>
      </w:r>
      <w:r>
        <w:rPr>
          <w:rFonts w:ascii="宋体" w:hAnsi="宋体"/>
          <w:b/>
          <w:sz w:val="28"/>
          <w:szCs w:val="28"/>
        </w:rPr>
        <w:instrText xml:space="preserve">HYPERLINK \l "_Toc162021008"</w:instrText>
      </w:r>
      <w:r>
        <w:rPr>
          <w:rStyle w:val="37"/>
          <w:rFonts w:ascii="宋体" w:hAnsi="宋体"/>
          <w:b/>
          <w:sz w:val="28"/>
          <w:szCs w:val="28"/>
        </w:rPr>
        <w:instrText xml:space="preserve"> </w:instrText>
      </w:r>
      <w:r>
        <w:rPr>
          <w:rStyle w:val="37"/>
          <w:rFonts w:ascii="宋体" w:hAnsi="宋体"/>
          <w:b/>
          <w:sz w:val="28"/>
          <w:szCs w:val="28"/>
        </w:rPr>
        <w:fldChar w:fldCharType="separate"/>
      </w:r>
      <w:r>
        <w:rPr>
          <w:rStyle w:val="37"/>
          <w:rFonts w:hint="eastAsia" w:ascii="宋体" w:hAnsi="宋体"/>
          <w:b/>
          <w:sz w:val="28"/>
          <w:szCs w:val="28"/>
        </w:rPr>
        <w:t>第四部分</w:t>
      </w:r>
      <w:r>
        <w:rPr>
          <w:rStyle w:val="37"/>
          <w:rFonts w:ascii="宋体" w:hAnsi="宋体"/>
          <w:b/>
          <w:sz w:val="28"/>
          <w:szCs w:val="28"/>
        </w:rPr>
        <w:t xml:space="preserve">  </w:t>
      </w:r>
      <w:r>
        <w:rPr>
          <w:rStyle w:val="37"/>
          <w:rFonts w:hint="eastAsia" w:ascii="宋体" w:hAnsi="宋体"/>
          <w:b/>
          <w:sz w:val="28"/>
          <w:szCs w:val="28"/>
        </w:rPr>
        <w:t>合同范本（仅供参考）</w:t>
      </w:r>
      <w:r>
        <w:rPr>
          <w:rFonts w:ascii="宋体" w:hAnsi="宋体"/>
          <w:b/>
          <w:sz w:val="28"/>
          <w:szCs w:val="28"/>
        </w:rPr>
        <w:tab/>
      </w:r>
      <w:r>
        <w:rPr>
          <w:rFonts w:ascii="宋体" w:hAnsi="宋体"/>
          <w:b/>
          <w:sz w:val="28"/>
          <w:szCs w:val="28"/>
        </w:rPr>
        <w:fldChar w:fldCharType="begin"/>
      </w:r>
      <w:r>
        <w:rPr>
          <w:rFonts w:ascii="宋体" w:hAnsi="宋体"/>
          <w:b/>
          <w:sz w:val="28"/>
          <w:szCs w:val="28"/>
        </w:rPr>
        <w:instrText xml:space="preserve"> PAGEREF _Toc162021008 \h </w:instrText>
      </w:r>
      <w:r>
        <w:rPr>
          <w:rFonts w:ascii="宋体" w:hAnsi="宋体"/>
          <w:b/>
          <w:sz w:val="28"/>
          <w:szCs w:val="28"/>
        </w:rPr>
        <w:fldChar w:fldCharType="separate"/>
      </w:r>
      <w:r>
        <w:rPr>
          <w:rFonts w:ascii="宋体" w:hAnsi="宋体"/>
          <w:b/>
          <w:sz w:val="28"/>
          <w:szCs w:val="28"/>
        </w:rPr>
        <w:t>29</w:t>
      </w:r>
      <w:r>
        <w:rPr>
          <w:rFonts w:ascii="宋体" w:hAnsi="宋体"/>
          <w:b/>
          <w:sz w:val="28"/>
          <w:szCs w:val="28"/>
        </w:rPr>
        <w:fldChar w:fldCharType="end"/>
      </w:r>
      <w:r>
        <w:rPr>
          <w:rStyle w:val="37"/>
          <w:rFonts w:ascii="宋体" w:hAnsi="宋体"/>
          <w:b/>
          <w:sz w:val="28"/>
          <w:szCs w:val="28"/>
        </w:rPr>
        <w:fldChar w:fldCharType="end"/>
      </w:r>
    </w:p>
    <w:p w14:paraId="7300965B">
      <w:pPr>
        <w:pStyle w:val="23"/>
        <w:rPr>
          <w:rFonts w:ascii="宋体" w:hAnsi="宋体"/>
          <w:b/>
          <w:sz w:val="28"/>
          <w:szCs w:val="28"/>
        </w:rPr>
      </w:pPr>
      <w:r>
        <w:rPr>
          <w:rStyle w:val="37"/>
          <w:rFonts w:ascii="宋体" w:hAnsi="宋体"/>
          <w:b/>
          <w:sz w:val="28"/>
          <w:szCs w:val="28"/>
        </w:rPr>
        <w:fldChar w:fldCharType="begin"/>
      </w:r>
      <w:r>
        <w:rPr>
          <w:rStyle w:val="37"/>
          <w:rFonts w:ascii="宋体" w:hAnsi="宋体"/>
          <w:b/>
          <w:sz w:val="28"/>
          <w:szCs w:val="28"/>
        </w:rPr>
        <w:instrText xml:space="preserve"> </w:instrText>
      </w:r>
      <w:r>
        <w:rPr>
          <w:rFonts w:ascii="宋体" w:hAnsi="宋体"/>
          <w:b/>
          <w:sz w:val="28"/>
          <w:szCs w:val="28"/>
        </w:rPr>
        <w:instrText xml:space="preserve">HYPERLINK \l "_Toc162021009"</w:instrText>
      </w:r>
      <w:r>
        <w:rPr>
          <w:rStyle w:val="37"/>
          <w:rFonts w:ascii="宋体" w:hAnsi="宋体"/>
          <w:b/>
          <w:sz w:val="28"/>
          <w:szCs w:val="28"/>
        </w:rPr>
        <w:instrText xml:space="preserve"> </w:instrText>
      </w:r>
      <w:r>
        <w:rPr>
          <w:rStyle w:val="37"/>
          <w:rFonts w:ascii="宋体" w:hAnsi="宋体"/>
          <w:b/>
          <w:sz w:val="28"/>
          <w:szCs w:val="28"/>
        </w:rPr>
        <w:fldChar w:fldCharType="separate"/>
      </w:r>
      <w:r>
        <w:rPr>
          <w:rStyle w:val="37"/>
          <w:rFonts w:hint="eastAsia" w:ascii="宋体" w:hAnsi="宋体"/>
          <w:b/>
          <w:sz w:val="28"/>
          <w:szCs w:val="28"/>
        </w:rPr>
        <w:t>第五部分</w:t>
      </w:r>
      <w:r>
        <w:rPr>
          <w:rStyle w:val="37"/>
          <w:rFonts w:ascii="宋体" w:hAnsi="宋体"/>
          <w:b/>
          <w:sz w:val="28"/>
          <w:szCs w:val="28"/>
        </w:rPr>
        <w:t xml:space="preserve">  </w:t>
      </w:r>
      <w:r>
        <w:rPr>
          <w:rStyle w:val="37"/>
          <w:rFonts w:hint="eastAsia" w:ascii="宋体" w:hAnsi="宋体"/>
          <w:b/>
          <w:sz w:val="28"/>
          <w:szCs w:val="28"/>
        </w:rPr>
        <w:t>响应文件格式</w:t>
      </w:r>
      <w:r>
        <w:rPr>
          <w:rFonts w:ascii="宋体" w:hAnsi="宋体"/>
          <w:b/>
          <w:sz w:val="28"/>
          <w:szCs w:val="28"/>
        </w:rPr>
        <w:tab/>
      </w:r>
      <w:r>
        <w:rPr>
          <w:rFonts w:ascii="宋体" w:hAnsi="宋体"/>
          <w:b/>
          <w:sz w:val="28"/>
          <w:szCs w:val="28"/>
        </w:rPr>
        <w:fldChar w:fldCharType="begin"/>
      </w:r>
      <w:r>
        <w:rPr>
          <w:rFonts w:ascii="宋体" w:hAnsi="宋体"/>
          <w:b/>
          <w:sz w:val="28"/>
          <w:szCs w:val="28"/>
        </w:rPr>
        <w:instrText xml:space="preserve"> PAGEREF _Toc162021009 \h </w:instrText>
      </w:r>
      <w:r>
        <w:rPr>
          <w:rFonts w:ascii="宋体" w:hAnsi="宋体"/>
          <w:b/>
          <w:sz w:val="28"/>
          <w:szCs w:val="28"/>
        </w:rPr>
        <w:fldChar w:fldCharType="separate"/>
      </w:r>
      <w:r>
        <w:rPr>
          <w:rFonts w:ascii="宋体" w:hAnsi="宋体"/>
          <w:b/>
          <w:sz w:val="28"/>
          <w:szCs w:val="28"/>
        </w:rPr>
        <w:t>33</w:t>
      </w:r>
      <w:r>
        <w:rPr>
          <w:rFonts w:ascii="宋体" w:hAnsi="宋体"/>
          <w:b/>
          <w:sz w:val="28"/>
          <w:szCs w:val="28"/>
        </w:rPr>
        <w:fldChar w:fldCharType="end"/>
      </w:r>
      <w:r>
        <w:rPr>
          <w:rStyle w:val="37"/>
          <w:rFonts w:ascii="宋体" w:hAnsi="宋体"/>
          <w:b/>
          <w:sz w:val="28"/>
          <w:szCs w:val="28"/>
        </w:rPr>
        <w:fldChar w:fldCharType="end"/>
      </w:r>
    </w:p>
    <w:p w14:paraId="74DF8475">
      <w:r>
        <w:rPr>
          <w:b/>
          <w:bCs/>
          <w:lang w:val="zh-CN"/>
        </w:rPr>
        <w:fldChar w:fldCharType="end"/>
      </w:r>
    </w:p>
    <w:p w14:paraId="7593D225">
      <w:pPr>
        <w:ind w:firstLine="420"/>
        <w:rPr>
          <w:rFonts w:hint="eastAsia" w:ascii="宋体" w:hAnsi="宋体"/>
          <w:sz w:val="32"/>
          <w:szCs w:val="32"/>
        </w:rPr>
      </w:pPr>
    </w:p>
    <w:p w14:paraId="4F10604C">
      <w:pPr>
        <w:tabs>
          <w:tab w:val="left" w:pos="8760"/>
          <w:tab w:val="left" w:pos="8880"/>
        </w:tabs>
        <w:ind w:left="359" w:leftChars="171" w:firstLine="60"/>
        <w:rPr>
          <w:rFonts w:hint="eastAsia" w:ascii="宋体" w:hAnsi="宋体"/>
          <w:sz w:val="32"/>
          <w:szCs w:val="32"/>
        </w:rPr>
      </w:pPr>
    </w:p>
    <w:p w14:paraId="51FC175A">
      <w:pPr>
        <w:spacing w:line="480" w:lineRule="auto"/>
        <w:ind w:firstLine="602" w:firstLineChars="200"/>
        <w:rPr>
          <w:rFonts w:ascii="宋体" w:hAnsi="宋体"/>
          <w:b/>
          <w:sz w:val="32"/>
          <w:szCs w:val="32"/>
        </w:rPr>
      </w:pPr>
      <w:r>
        <w:rPr>
          <w:rFonts w:hint="eastAsia" w:ascii="宋体" w:hAnsi="宋体"/>
          <w:b/>
          <w:sz w:val="30"/>
          <w:szCs w:val="30"/>
        </w:rPr>
        <w:t xml:space="preserve"> </w:t>
      </w:r>
    </w:p>
    <w:p w14:paraId="28A39EB9">
      <w:pPr>
        <w:tabs>
          <w:tab w:val="left" w:pos="5280"/>
        </w:tabs>
        <w:rPr>
          <w:rFonts w:ascii="宋体" w:hAnsi="宋体"/>
          <w:sz w:val="32"/>
          <w:szCs w:val="32"/>
        </w:rPr>
      </w:pPr>
      <w:r>
        <w:rPr>
          <w:rFonts w:ascii="宋体" w:hAnsi="宋体"/>
          <w:sz w:val="32"/>
          <w:szCs w:val="32"/>
        </w:rPr>
        <w:tab/>
      </w:r>
    </w:p>
    <w:p w14:paraId="6C84C325">
      <w:pPr>
        <w:rPr>
          <w:rFonts w:ascii="宋体" w:hAnsi="宋体"/>
          <w:sz w:val="32"/>
          <w:szCs w:val="32"/>
        </w:rPr>
      </w:pPr>
    </w:p>
    <w:p w14:paraId="14AC74A0">
      <w:pPr>
        <w:rPr>
          <w:rFonts w:ascii="宋体" w:hAnsi="宋体"/>
          <w:sz w:val="32"/>
          <w:szCs w:val="32"/>
        </w:rPr>
      </w:pPr>
    </w:p>
    <w:p w14:paraId="0F8A6246">
      <w:pPr>
        <w:rPr>
          <w:rFonts w:ascii="宋体" w:hAnsi="宋体"/>
          <w:sz w:val="32"/>
          <w:szCs w:val="32"/>
        </w:rPr>
      </w:pPr>
    </w:p>
    <w:p w14:paraId="2661481B">
      <w:pPr>
        <w:tabs>
          <w:tab w:val="left" w:pos="2025"/>
        </w:tabs>
        <w:rPr>
          <w:rFonts w:ascii="宋体" w:hAnsi="宋体"/>
          <w:sz w:val="32"/>
          <w:szCs w:val="32"/>
        </w:rPr>
      </w:pPr>
      <w:r>
        <w:rPr>
          <w:rFonts w:ascii="宋体" w:hAnsi="宋体"/>
          <w:sz w:val="32"/>
          <w:szCs w:val="32"/>
        </w:rPr>
        <w:tab/>
      </w:r>
    </w:p>
    <w:p w14:paraId="72FF5B6D">
      <w:pPr>
        <w:tabs>
          <w:tab w:val="left" w:pos="2025"/>
        </w:tabs>
        <w:rPr>
          <w:rFonts w:hint="eastAsia" w:ascii="宋体" w:hAnsi="宋体"/>
          <w:sz w:val="32"/>
          <w:szCs w:val="32"/>
        </w:rPr>
        <w:sectPr>
          <w:footerReference r:id="rId7" w:type="first"/>
          <w:headerReference r:id="rId5" w:type="default"/>
          <w:footerReference r:id="rId6" w:type="default"/>
          <w:pgSz w:w="11906" w:h="16838"/>
          <w:pgMar w:top="1418" w:right="1418" w:bottom="1418" w:left="1418" w:header="851" w:footer="850" w:gutter="0"/>
          <w:pgNumType w:start="0"/>
          <w:cols w:space="720" w:num="1"/>
          <w:titlePg/>
          <w:docGrid w:linePitch="326" w:charSpace="0"/>
        </w:sectPr>
      </w:pPr>
      <w:r>
        <w:rPr>
          <w:rFonts w:ascii="宋体" w:hAnsi="宋体"/>
          <w:sz w:val="32"/>
          <w:szCs w:val="32"/>
        </w:rPr>
        <w:tab/>
      </w:r>
    </w:p>
    <w:p w14:paraId="423AB421">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0"/>
        <w:rPr>
          <w:rFonts w:ascii="宋体" w:hAnsi="宋体"/>
          <w:b/>
          <w:sz w:val="32"/>
          <w:szCs w:val="32"/>
          <w:highlight w:val="none"/>
        </w:rPr>
      </w:pPr>
      <w:bookmarkStart w:id="3" w:name="_Toc328739376"/>
      <w:bookmarkStart w:id="4" w:name="_Toc162021005"/>
      <w:r>
        <w:rPr>
          <w:rFonts w:hint="eastAsia" w:ascii="宋体" w:hAnsi="宋体"/>
          <w:b/>
          <w:sz w:val="32"/>
          <w:szCs w:val="32"/>
          <w:highlight w:val="none"/>
        </w:rPr>
        <w:t xml:space="preserve">第一部分  </w:t>
      </w:r>
      <w:bookmarkEnd w:id="3"/>
      <w:r>
        <w:rPr>
          <w:rFonts w:hint="eastAsia" w:ascii="宋体" w:hAnsi="宋体"/>
          <w:b/>
          <w:sz w:val="32"/>
          <w:szCs w:val="32"/>
          <w:highlight w:val="none"/>
        </w:rPr>
        <w:t>竞争性磋商公告</w:t>
      </w:r>
      <w:bookmarkEnd w:id="4"/>
    </w:p>
    <w:p w14:paraId="6249C434">
      <w:pPr>
        <w:keepNext w:val="0"/>
        <w:keepLines w:val="0"/>
        <w:pageBreakBefore w:val="0"/>
        <w:kinsoku/>
        <w:overflowPunct/>
        <w:topLinePunct w:val="0"/>
        <w:autoSpaceDE/>
        <w:autoSpaceDN/>
        <w:bidi w:val="0"/>
        <w:snapToGrid w:val="0"/>
        <w:spacing w:line="360" w:lineRule="auto"/>
        <w:jc w:val="center"/>
        <w:textAlignment w:val="auto"/>
        <w:rPr>
          <w:rFonts w:hint="eastAsia" w:ascii="宋体" w:hAnsi="宋体" w:cs="Helvetica"/>
          <w:kern w:val="0"/>
          <w:sz w:val="24"/>
        </w:rPr>
      </w:pPr>
      <w:r>
        <w:rPr>
          <w:rFonts w:hint="eastAsia" w:ascii="宋体" w:hAnsi="宋体" w:cs="Helvetica"/>
          <w:kern w:val="0"/>
          <w:sz w:val="24"/>
          <w:lang w:eastAsia="zh-CN"/>
        </w:rPr>
        <w:t>西安市青龙寺景区樱花季景观绿化维护提升项目</w:t>
      </w:r>
      <w:r>
        <w:rPr>
          <w:rFonts w:hint="eastAsia" w:ascii="宋体" w:hAnsi="宋体" w:cs="Helvetica"/>
          <w:kern w:val="0"/>
          <w:sz w:val="24"/>
        </w:rPr>
        <w:t>磋商公告</w:t>
      </w:r>
    </w:p>
    <w:p w14:paraId="43AD3180">
      <w:pPr>
        <w:keepNext w:val="0"/>
        <w:keepLines w:val="0"/>
        <w:pageBreakBefore w:val="0"/>
        <w:kinsoku/>
        <w:overflowPunct/>
        <w:topLinePunct w:val="0"/>
        <w:autoSpaceDE/>
        <w:autoSpaceDN/>
        <w:bidi w:val="0"/>
        <w:snapToGrid w:val="0"/>
        <w:spacing w:line="360" w:lineRule="auto"/>
        <w:jc w:val="center"/>
        <w:textAlignment w:val="auto"/>
        <w:rPr>
          <w:rFonts w:hint="eastAsia" w:ascii="宋体" w:hAnsi="宋体" w:cs="Helvetica"/>
          <w:kern w:val="0"/>
          <w:sz w:val="24"/>
          <w:highlight w:val="none"/>
        </w:rPr>
      </w:pPr>
      <w:r>
        <w:rPr>
          <w:rFonts w:hint="eastAsia" w:ascii="宋体" w:hAnsi="宋体" w:cs="Helvetica"/>
          <w:kern w:val="0"/>
          <w:sz w:val="24"/>
        </w:rPr>
        <w:t>（招标编号</w:t>
      </w:r>
      <w:r>
        <w:rPr>
          <w:rFonts w:hint="eastAsia" w:ascii="宋体" w:hAnsi="宋体" w:cs="Helvetica"/>
          <w:kern w:val="0"/>
          <w:sz w:val="24"/>
          <w:highlight w:val="none"/>
        </w:rPr>
        <w:t>：</w:t>
      </w:r>
      <w:r>
        <w:rPr>
          <w:rFonts w:hint="eastAsia" w:ascii="宋体" w:hAnsi="宋体" w:cs="Helvetica"/>
          <w:kern w:val="0"/>
          <w:sz w:val="24"/>
          <w:highlight w:val="none"/>
          <w:lang w:eastAsia="zh-CN"/>
        </w:rPr>
        <w:t>ZJZB-2026-032</w:t>
      </w:r>
      <w:r>
        <w:rPr>
          <w:rFonts w:hint="eastAsia" w:ascii="宋体" w:hAnsi="宋体" w:cs="Helvetica"/>
          <w:kern w:val="0"/>
          <w:sz w:val="24"/>
          <w:highlight w:val="none"/>
        </w:rPr>
        <w:t>）</w:t>
      </w:r>
    </w:p>
    <w:p w14:paraId="7A8065E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ascii="宋体" w:hAnsi="宋体"/>
          <w:b/>
          <w:sz w:val="24"/>
          <w:highlight w:val="none"/>
        </w:rPr>
      </w:pPr>
      <w:r>
        <w:rPr>
          <w:rFonts w:ascii="宋体" w:hAnsi="宋体"/>
          <w:b/>
          <w:sz w:val="24"/>
          <w:highlight w:val="none"/>
        </w:rPr>
        <w:t>项目概况</w:t>
      </w:r>
    </w:p>
    <w:p w14:paraId="0AFEA5E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sz w:val="24"/>
          <w:highlight w:val="none"/>
          <w:lang w:eastAsia="zh-CN"/>
        </w:rPr>
      </w:pPr>
      <w:r>
        <w:rPr>
          <w:rFonts w:hint="eastAsia" w:ascii="宋体" w:hAnsi="宋体"/>
          <w:sz w:val="24"/>
          <w:highlight w:val="none"/>
          <w:lang w:eastAsia="zh-CN"/>
        </w:rPr>
        <w:t>致君项目管理有限公司（以下简称“代理机构”）受</w:t>
      </w:r>
      <w:r>
        <w:rPr>
          <w:rFonts w:hint="eastAsia" w:ascii="宋体" w:hAnsi="宋体"/>
          <w:sz w:val="24"/>
          <w:lang w:eastAsia="zh-CN"/>
        </w:rPr>
        <w:t>西安市青龙寺遗址保管所</w:t>
      </w:r>
      <w:r>
        <w:rPr>
          <w:rFonts w:hint="eastAsia" w:ascii="宋体" w:hAnsi="宋体"/>
          <w:sz w:val="24"/>
          <w:highlight w:val="none"/>
          <w:lang w:eastAsia="zh-CN"/>
        </w:rPr>
        <w:t>委托，拟对西安市青龙寺景区樱花季景观绿化维护提升项目采用竞争性磋商采购方式进行采购，兹邀请供应商参加本项目的竞争性磋商。</w:t>
      </w:r>
    </w:p>
    <w:p w14:paraId="04D03DD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ascii="宋体" w:hAnsi="宋体"/>
          <w:b/>
          <w:sz w:val="24"/>
          <w:highlight w:val="none"/>
        </w:rPr>
      </w:pPr>
      <w:r>
        <w:rPr>
          <w:rFonts w:ascii="宋体" w:hAnsi="宋体"/>
          <w:b/>
          <w:sz w:val="24"/>
          <w:highlight w:val="none"/>
        </w:rPr>
        <w:t>一、项目基本情况</w:t>
      </w:r>
    </w:p>
    <w:p w14:paraId="3A69E72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sz w:val="24"/>
          <w:highlight w:val="none"/>
          <w:lang w:eastAsia="zh-CN"/>
        </w:rPr>
      </w:pPr>
      <w:r>
        <w:rPr>
          <w:rFonts w:ascii="宋体" w:hAnsi="宋体"/>
          <w:sz w:val="24"/>
          <w:highlight w:val="none"/>
        </w:rPr>
        <w:t>项目编号：</w:t>
      </w:r>
      <w:r>
        <w:rPr>
          <w:rFonts w:hint="eastAsia" w:ascii="宋体" w:hAnsi="宋体"/>
          <w:sz w:val="24"/>
          <w:highlight w:val="none"/>
          <w:lang w:eastAsia="zh-CN"/>
        </w:rPr>
        <w:t>ZJZB-2026-032</w:t>
      </w:r>
    </w:p>
    <w:p w14:paraId="0F2C771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sz w:val="24"/>
          <w:highlight w:val="none"/>
          <w:lang w:eastAsia="zh-CN"/>
        </w:rPr>
      </w:pPr>
      <w:r>
        <w:rPr>
          <w:rFonts w:ascii="宋体" w:hAnsi="宋体"/>
          <w:sz w:val="24"/>
          <w:highlight w:val="none"/>
        </w:rPr>
        <w:t>项目名称：</w:t>
      </w:r>
      <w:r>
        <w:rPr>
          <w:rFonts w:hint="eastAsia" w:ascii="宋体" w:hAnsi="宋体"/>
          <w:sz w:val="24"/>
          <w:highlight w:val="none"/>
          <w:lang w:eastAsia="zh-CN"/>
        </w:rPr>
        <w:t>西安市青龙寺景区樱花季景观绿化维护提升项目</w:t>
      </w:r>
    </w:p>
    <w:p w14:paraId="7CC0454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sz w:val="24"/>
          <w:highlight w:val="none"/>
        </w:rPr>
      </w:pPr>
      <w:r>
        <w:rPr>
          <w:rFonts w:ascii="宋体" w:hAnsi="宋体"/>
          <w:sz w:val="24"/>
          <w:highlight w:val="none"/>
        </w:rPr>
        <w:t>采购方式：竞争性磋商</w:t>
      </w:r>
    </w:p>
    <w:p w14:paraId="2AD33DC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sz w:val="24"/>
          <w:highlight w:val="none"/>
          <w:lang w:eastAsia="zh-CN"/>
        </w:rPr>
      </w:pPr>
      <w:r>
        <w:rPr>
          <w:rFonts w:ascii="宋体" w:hAnsi="宋体"/>
          <w:sz w:val="24"/>
          <w:highlight w:val="none"/>
        </w:rPr>
        <w:t>预算金额：</w:t>
      </w:r>
      <w:r>
        <w:rPr>
          <w:rFonts w:hint="eastAsia" w:ascii="宋体" w:hAnsi="宋体"/>
          <w:sz w:val="24"/>
          <w:szCs w:val="24"/>
          <w:highlight w:val="none"/>
          <w:lang w:val="en-US" w:eastAsia="zh-CN"/>
        </w:rPr>
        <w:t>200000.00元</w:t>
      </w:r>
    </w:p>
    <w:p w14:paraId="1CACEFD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sz w:val="24"/>
          <w:highlight w:val="none"/>
        </w:rPr>
      </w:pPr>
      <w:r>
        <w:rPr>
          <w:rFonts w:ascii="宋体" w:hAnsi="宋体"/>
          <w:sz w:val="24"/>
          <w:highlight w:val="none"/>
        </w:rPr>
        <w:t>采购需求：</w:t>
      </w:r>
    </w:p>
    <w:p w14:paraId="1D19F559">
      <w:pPr>
        <w:keepNext w:val="0"/>
        <w:keepLines w:val="0"/>
        <w:pageBreakBefore w:val="0"/>
        <w:widowControl w:val="0"/>
        <w:kinsoku/>
        <w:wordWrap/>
        <w:overflowPunct/>
        <w:topLinePunct w:val="0"/>
        <w:autoSpaceDE/>
        <w:autoSpaceDN/>
        <w:bidi w:val="0"/>
        <w:adjustRightInd w:val="0"/>
        <w:snapToGrid w:val="0"/>
        <w:spacing w:line="360" w:lineRule="auto"/>
        <w:ind w:firstLine="960" w:firstLineChars="400"/>
        <w:textAlignment w:val="auto"/>
        <w:rPr>
          <w:rFonts w:ascii="宋体" w:hAnsi="宋体"/>
          <w:sz w:val="24"/>
          <w:highlight w:val="none"/>
        </w:rPr>
      </w:pPr>
      <w:r>
        <w:rPr>
          <w:rFonts w:hint="eastAsia" w:ascii="宋体" w:hAnsi="宋体"/>
          <w:sz w:val="24"/>
          <w:highlight w:val="none"/>
          <w:lang w:eastAsia="zh-CN"/>
        </w:rPr>
        <w:t>西安市青龙寺景区樱花季景观绿化维护提升项目</w:t>
      </w:r>
      <w:r>
        <w:rPr>
          <w:rFonts w:ascii="宋体" w:hAnsi="宋体"/>
          <w:sz w:val="24"/>
          <w:highlight w:val="none"/>
        </w:rPr>
        <w:t>，具体详见采购文件。</w:t>
      </w:r>
    </w:p>
    <w:p w14:paraId="75F970B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sz w:val="24"/>
          <w:highlight w:val="none"/>
        </w:rPr>
      </w:pPr>
      <w:r>
        <w:rPr>
          <w:rFonts w:ascii="宋体" w:hAnsi="宋体"/>
          <w:sz w:val="24"/>
          <w:highlight w:val="none"/>
        </w:rPr>
        <w:t>标包1（</w:t>
      </w:r>
      <w:r>
        <w:rPr>
          <w:rFonts w:hint="eastAsia" w:ascii="宋体" w:hAnsi="宋体"/>
          <w:sz w:val="24"/>
          <w:highlight w:val="none"/>
          <w:lang w:eastAsia="zh-CN"/>
        </w:rPr>
        <w:t>西安市青龙寺景区樱花季景观绿化维护提升项目</w:t>
      </w:r>
      <w:r>
        <w:rPr>
          <w:rFonts w:ascii="宋体" w:hAnsi="宋体"/>
          <w:sz w:val="24"/>
          <w:highlight w:val="none"/>
        </w:rPr>
        <w:t>_标包1）：</w:t>
      </w:r>
    </w:p>
    <w:tbl>
      <w:tblPr>
        <w:tblStyle w:val="30"/>
        <w:tblW w:w="8608" w:type="dxa"/>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843"/>
        <w:gridCol w:w="1134"/>
        <w:gridCol w:w="1645"/>
        <w:gridCol w:w="1324"/>
        <w:gridCol w:w="1167"/>
        <w:gridCol w:w="1233"/>
        <w:gridCol w:w="1262"/>
      </w:tblGrid>
      <w:tr w14:paraId="5B144DB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690" w:hRule="atLeast"/>
          <w:jc w:val="center"/>
        </w:trPr>
        <w:tc>
          <w:tcPr>
            <w:tcW w:w="843" w:type="dxa"/>
            <w:tcBorders>
              <w:top w:val="outset" w:color="auto" w:sz="6" w:space="0"/>
              <w:left w:val="outset" w:color="auto" w:sz="6" w:space="0"/>
              <w:bottom w:val="outset" w:color="auto" w:sz="6" w:space="0"/>
              <w:right w:val="outset" w:color="auto" w:sz="6" w:space="0"/>
            </w:tcBorders>
            <w:noWrap/>
            <w:tcMar>
              <w:top w:w="150" w:type="dxa"/>
              <w:left w:w="150" w:type="dxa"/>
              <w:bottom w:w="150" w:type="dxa"/>
              <w:right w:w="150" w:type="dxa"/>
            </w:tcMar>
            <w:vAlign w:val="center"/>
          </w:tcPr>
          <w:p w14:paraId="694DE32E">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ascii="宋体" w:hAnsi="宋体"/>
                <w:b/>
                <w:bCs/>
                <w:sz w:val="24"/>
                <w:szCs w:val="24"/>
                <w:highlight w:val="none"/>
              </w:rPr>
            </w:pPr>
            <w:r>
              <w:rPr>
                <w:rFonts w:ascii="宋体" w:hAnsi="宋体"/>
                <w:b/>
                <w:bCs/>
                <w:sz w:val="24"/>
                <w:szCs w:val="24"/>
                <w:highlight w:val="none"/>
              </w:rPr>
              <w:t>品目号</w:t>
            </w:r>
          </w:p>
        </w:tc>
        <w:tc>
          <w:tcPr>
            <w:tcW w:w="1134" w:type="dxa"/>
            <w:tcBorders>
              <w:top w:val="outset" w:color="auto" w:sz="6" w:space="0"/>
              <w:left w:val="outset" w:color="auto" w:sz="6" w:space="0"/>
              <w:bottom w:val="outset" w:color="auto" w:sz="6" w:space="0"/>
              <w:right w:val="outset" w:color="auto" w:sz="6" w:space="0"/>
            </w:tcBorders>
            <w:noWrap/>
            <w:tcMar>
              <w:top w:w="150" w:type="dxa"/>
              <w:left w:w="150" w:type="dxa"/>
              <w:bottom w:w="150" w:type="dxa"/>
              <w:right w:w="150" w:type="dxa"/>
            </w:tcMar>
            <w:vAlign w:val="center"/>
          </w:tcPr>
          <w:p w14:paraId="5E1B0719">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ascii="宋体" w:hAnsi="宋体"/>
                <w:b/>
                <w:bCs/>
                <w:sz w:val="24"/>
                <w:szCs w:val="24"/>
                <w:highlight w:val="none"/>
              </w:rPr>
            </w:pPr>
            <w:r>
              <w:rPr>
                <w:rFonts w:ascii="宋体" w:hAnsi="宋体"/>
                <w:b/>
                <w:bCs/>
                <w:sz w:val="24"/>
                <w:szCs w:val="24"/>
                <w:highlight w:val="none"/>
              </w:rPr>
              <w:t>品目名称</w:t>
            </w:r>
          </w:p>
        </w:tc>
        <w:tc>
          <w:tcPr>
            <w:tcW w:w="1645" w:type="dxa"/>
            <w:tcBorders>
              <w:top w:val="outset" w:color="auto" w:sz="6" w:space="0"/>
              <w:left w:val="outset" w:color="auto" w:sz="6" w:space="0"/>
              <w:bottom w:val="outset" w:color="auto" w:sz="6" w:space="0"/>
              <w:right w:val="outset" w:color="auto" w:sz="6" w:space="0"/>
            </w:tcBorders>
            <w:noWrap/>
            <w:tcMar>
              <w:top w:w="150" w:type="dxa"/>
              <w:left w:w="150" w:type="dxa"/>
              <w:bottom w:w="150" w:type="dxa"/>
              <w:right w:w="150" w:type="dxa"/>
            </w:tcMar>
            <w:vAlign w:val="center"/>
          </w:tcPr>
          <w:p w14:paraId="2EEE24CD">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ascii="宋体" w:hAnsi="宋体"/>
                <w:b/>
                <w:bCs/>
                <w:sz w:val="24"/>
                <w:szCs w:val="24"/>
                <w:highlight w:val="none"/>
              </w:rPr>
            </w:pPr>
            <w:r>
              <w:rPr>
                <w:rFonts w:ascii="宋体" w:hAnsi="宋体"/>
                <w:b/>
                <w:bCs/>
                <w:sz w:val="24"/>
                <w:szCs w:val="24"/>
                <w:highlight w:val="none"/>
              </w:rPr>
              <w:t>采购标的</w:t>
            </w:r>
          </w:p>
        </w:tc>
        <w:tc>
          <w:tcPr>
            <w:tcW w:w="1324" w:type="dxa"/>
            <w:tcBorders>
              <w:top w:val="outset" w:color="auto" w:sz="6" w:space="0"/>
              <w:left w:val="outset" w:color="auto" w:sz="6" w:space="0"/>
              <w:bottom w:val="outset" w:color="auto" w:sz="6" w:space="0"/>
              <w:right w:val="outset" w:color="auto" w:sz="6" w:space="0"/>
            </w:tcBorders>
            <w:noWrap/>
            <w:tcMar>
              <w:top w:w="150" w:type="dxa"/>
              <w:left w:w="150" w:type="dxa"/>
              <w:bottom w:w="150" w:type="dxa"/>
              <w:right w:w="150" w:type="dxa"/>
            </w:tcMar>
            <w:vAlign w:val="center"/>
          </w:tcPr>
          <w:p w14:paraId="40AA9D66">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ascii="宋体" w:hAnsi="宋体"/>
                <w:b/>
                <w:bCs/>
                <w:sz w:val="24"/>
                <w:szCs w:val="24"/>
                <w:highlight w:val="none"/>
              </w:rPr>
            </w:pPr>
            <w:r>
              <w:rPr>
                <w:rFonts w:ascii="宋体" w:hAnsi="宋体"/>
                <w:b/>
                <w:bCs/>
                <w:sz w:val="24"/>
                <w:szCs w:val="24"/>
                <w:highlight w:val="none"/>
              </w:rPr>
              <w:t>数量</w:t>
            </w:r>
          </w:p>
          <w:p w14:paraId="55385015">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ascii="宋体" w:hAnsi="宋体"/>
                <w:b/>
                <w:bCs/>
                <w:sz w:val="24"/>
                <w:szCs w:val="24"/>
                <w:highlight w:val="none"/>
              </w:rPr>
            </w:pPr>
            <w:r>
              <w:rPr>
                <w:rFonts w:ascii="宋体" w:hAnsi="宋体"/>
                <w:b/>
                <w:bCs/>
                <w:sz w:val="24"/>
                <w:szCs w:val="24"/>
                <w:highlight w:val="none"/>
              </w:rPr>
              <w:t>（单位）</w:t>
            </w:r>
          </w:p>
        </w:tc>
        <w:tc>
          <w:tcPr>
            <w:tcW w:w="1167" w:type="dxa"/>
            <w:tcBorders>
              <w:top w:val="outset" w:color="auto" w:sz="6" w:space="0"/>
              <w:left w:val="outset" w:color="auto" w:sz="6" w:space="0"/>
              <w:bottom w:val="outset" w:color="auto" w:sz="6" w:space="0"/>
              <w:right w:val="outset" w:color="auto" w:sz="6" w:space="0"/>
            </w:tcBorders>
            <w:noWrap/>
            <w:tcMar>
              <w:top w:w="150" w:type="dxa"/>
              <w:left w:w="150" w:type="dxa"/>
              <w:bottom w:w="150" w:type="dxa"/>
              <w:right w:w="150" w:type="dxa"/>
            </w:tcMar>
            <w:vAlign w:val="center"/>
          </w:tcPr>
          <w:p w14:paraId="74201B26">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ascii="宋体" w:hAnsi="宋体"/>
                <w:b/>
                <w:bCs/>
                <w:sz w:val="24"/>
                <w:szCs w:val="24"/>
                <w:highlight w:val="none"/>
              </w:rPr>
            </w:pPr>
            <w:r>
              <w:rPr>
                <w:rFonts w:ascii="宋体" w:hAnsi="宋体"/>
                <w:b/>
                <w:bCs/>
                <w:sz w:val="24"/>
                <w:szCs w:val="24"/>
                <w:highlight w:val="none"/>
              </w:rPr>
              <w:t>技术规格、参数及要求</w:t>
            </w:r>
          </w:p>
        </w:tc>
        <w:tc>
          <w:tcPr>
            <w:tcW w:w="1233" w:type="dxa"/>
            <w:tcBorders>
              <w:top w:val="outset" w:color="auto" w:sz="6" w:space="0"/>
              <w:left w:val="outset" w:color="auto" w:sz="6" w:space="0"/>
              <w:bottom w:val="outset" w:color="auto" w:sz="6" w:space="0"/>
              <w:right w:val="outset" w:color="auto" w:sz="6" w:space="0"/>
            </w:tcBorders>
            <w:noWrap/>
            <w:tcMar>
              <w:top w:w="150" w:type="dxa"/>
              <w:left w:w="150" w:type="dxa"/>
              <w:bottom w:w="150" w:type="dxa"/>
              <w:right w:w="150" w:type="dxa"/>
            </w:tcMar>
            <w:vAlign w:val="center"/>
          </w:tcPr>
          <w:p w14:paraId="618B5D10">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ascii="宋体" w:hAnsi="宋体"/>
                <w:b/>
                <w:bCs/>
                <w:sz w:val="24"/>
                <w:szCs w:val="24"/>
                <w:highlight w:val="none"/>
              </w:rPr>
            </w:pPr>
            <w:r>
              <w:rPr>
                <w:rFonts w:ascii="宋体" w:hAnsi="宋体"/>
                <w:b/>
                <w:bCs/>
                <w:sz w:val="24"/>
                <w:szCs w:val="24"/>
                <w:highlight w:val="none"/>
              </w:rPr>
              <w:t>品目预算</w:t>
            </w:r>
          </w:p>
          <w:p w14:paraId="6A3C531E">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ascii="宋体" w:hAnsi="宋体"/>
                <w:b/>
                <w:bCs/>
                <w:sz w:val="24"/>
                <w:szCs w:val="24"/>
                <w:highlight w:val="none"/>
              </w:rPr>
            </w:pPr>
            <w:r>
              <w:rPr>
                <w:rFonts w:ascii="宋体" w:hAnsi="宋体"/>
                <w:b/>
                <w:bCs/>
                <w:sz w:val="24"/>
                <w:szCs w:val="24"/>
                <w:highlight w:val="none"/>
              </w:rPr>
              <w:t>(元)</w:t>
            </w:r>
          </w:p>
        </w:tc>
        <w:tc>
          <w:tcPr>
            <w:tcW w:w="1262" w:type="dxa"/>
            <w:tcBorders>
              <w:top w:val="outset" w:color="auto" w:sz="6" w:space="0"/>
              <w:left w:val="outset" w:color="auto" w:sz="6" w:space="0"/>
              <w:bottom w:val="outset" w:color="auto" w:sz="6" w:space="0"/>
              <w:right w:val="outset" w:color="auto" w:sz="6" w:space="0"/>
            </w:tcBorders>
            <w:noWrap/>
            <w:tcMar>
              <w:top w:w="150" w:type="dxa"/>
              <w:left w:w="150" w:type="dxa"/>
              <w:bottom w:w="150" w:type="dxa"/>
              <w:right w:w="150" w:type="dxa"/>
            </w:tcMar>
            <w:vAlign w:val="center"/>
          </w:tcPr>
          <w:p w14:paraId="1CBB7424">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ascii="宋体" w:hAnsi="宋体"/>
                <w:b/>
                <w:bCs/>
                <w:sz w:val="24"/>
                <w:szCs w:val="24"/>
                <w:highlight w:val="none"/>
              </w:rPr>
            </w:pPr>
            <w:r>
              <w:rPr>
                <w:rFonts w:ascii="宋体" w:hAnsi="宋体"/>
                <w:b/>
                <w:bCs/>
                <w:sz w:val="24"/>
                <w:szCs w:val="24"/>
                <w:highlight w:val="none"/>
              </w:rPr>
              <w:t>最高限价</w:t>
            </w:r>
          </w:p>
          <w:p w14:paraId="2360A8C6">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ascii="宋体" w:hAnsi="宋体"/>
                <w:b/>
                <w:bCs/>
                <w:sz w:val="24"/>
                <w:szCs w:val="24"/>
                <w:highlight w:val="none"/>
              </w:rPr>
            </w:pPr>
            <w:r>
              <w:rPr>
                <w:rFonts w:ascii="宋体" w:hAnsi="宋体"/>
                <w:b/>
                <w:bCs/>
                <w:sz w:val="24"/>
                <w:szCs w:val="24"/>
                <w:highlight w:val="none"/>
              </w:rPr>
              <w:t>(元)</w:t>
            </w:r>
          </w:p>
        </w:tc>
      </w:tr>
      <w:tr w14:paraId="6876877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690" w:hRule="atLeast"/>
          <w:jc w:val="center"/>
        </w:trPr>
        <w:tc>
          <w:tcPr>
            <w:tcW w:w="843" w:type="dxa"/>
            <w:tcBorders>
              <w:top w:val="outset" w:color="auto" w:sz="6" w:space="0"/>
              <w:left w:val="outset" w:color="auto" w:sz="6" w:space="0"/>
              <w:bottom w:val="outset" w:color="auto" w:sz="6" w:space="0"/>
              <w:right w:val="outset" w:color="auto" w:sz="6" w:space="0"/>
            </w:tcBorders>
            <w:noWrap w:val="0"/>
            <w:tcMar>
              <w:top w:w="150" w:type="dxa"/>
              <w:left w:w="150" w:type="dxa"/>
              <w:bottom w:w="150" w:type="dxa"/>
              <w:right w:w="150" w:type="dxa"/>
            </w:tcMar>
            <w:vAlign w:val="center"/>
          </w:tcPr>
          <w:p w14:paraId="00657365">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ascii="宋体" w:hAnsi="宋体"/>
                <w:sz w:val="24"/>
                <w:szCs w:val="24"/>
                <w:highlight w:val="none"/>
              </w:rPr>
            </w:pPr>
            <w:r>
              <w:rPr>
                <w:rFonts w:ascii="宋体" w:hAnsi="宋体"/>
                <w:sz w:val="24"/>
                <w:szCs w:val="24"/>
                <w:highlight w:val="none"/>
              </w:rPr>
              <w:t>标包1</w:t>
            </w:r>
          </w:p>
        </w:tc>
        <w:tc>
          <w:tcPr>
            <w:tcW w:w="1134" w:type="dxa"/>
            <w:tcBorders>
              <w:top w:val="outset" w:color="auto" w:sz="6" w:space="0"/>
              <w:left w:val="outset" w:color="auto" w:sz="6" w:space="0"/>
              <w:bottom w:val="outset" w:color="auto" w:sz="6" w:space="0"/>
              <w:right w:val="outset" w:color="auto" w:sz="6" w:space="0"/>
            </w:tcBorders>
            <w:noWrap/>
            <w:tcMar>
              <w:top w:w="150" w:type="dxa"/>
              <w:left w:w="150" w:type="dxa"/>
              <w:bottom w:w="150" w:type="dxa"/>
              <w:right w:w="150" w:type="dxa"/>
            </w:tcMar>
            <w:vAlign w:val="center"/>
          </w:tcPr>
          <w:p w14:paraId="3206C1B4">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绿植</w:t>
            </w:r>
          </w:p>
        </w:tc>
        <w:tc>
          <w:tcPr>
            <w:tcW w:w="1645" w:type="dxa"/>
            <w:tcBorders>
              <w:top w:val="outset" w:color="auto" w:sz="6" w:space="0"/>
              <w:left w:val="outset" w:color="auto" w:sz="6" w:space="0"/>
              <w:bottom w:val="outset" w:color="auto" w:sz="6" w:space="0"/>
              <w:right w:val="outset" w:color="auto" w:sz="6" w:space="0"/>
            </w:tcBorders>
            <w:noWrap/>
            <w:tcMar>
              <w:top w:w="150" w:type="dxa"/>
              <w:left w:w="150" w:type="dxa"/>
              <w:bottom w:w="150" w:type="dxa"/>
              <w:right w:w="150" w:type="dxa"/>
            </w:tcMar>
            <w:vAlign w:val="center"/>
          </w:tcPr>
          <w:p w14:paraId="115E7F29">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宋体" w:hAnsi="宋体" w:eastAsia="宋体"/>
                <w:sz w:val="24"/>
                <w:szCs w:val="24"/>
                <w:highlight w:val="none"/>
                <w:lang w:eastAsia="zh-CN"/>
              </w:rPr>
            </w:pPr>
            <w:r>
              <w:rPr>
                <w:rFonts w:hint="eastAsia" w:ascii="宋体" w:hAnsi="宋体"/>
                <w:sz w:val="24"/>
                <w:szCs w:val="24"/>
                <w:highlight w:val="none"/>
                <w:lang w:eastAsia="zh-CN"/>
              </w:rPr>
              <w:t>西安市青龙寺景区樱花季景观绿化维护提升项目</w:t>
            </w:r>
          </w:p>
        </w:tc>
        <w:tc>
          <w:tcPr>
            <w:tcW w:w="1324" w:type="dxa"/>
            <w:tcBorders>
              <w:top w:val="outset" w:color="auto" w:sz="6" w:space="0"/>
              <w:left w:val="outset" w:color="auto" w:sz="6" w:space="0"/>
              <w:bottom w:val="outset" w:color="auto" w:sz="6" w:space="0"/>
              <w:right w:val="outset" w:color="auto" w:sz="6" w:space="0"/>
            </w:tcBorders>
            <w:noWrap/>
            <w:tcMar>
              <w:top w:w="150" w:type="dxa"/>
              <w:left w:w="150" w:type="dxa"/>
              <w:bottom w:w="150" w:type="dxa"/>
              <w:right w:w="150" w:type="dxa"/>
            </w:tcMar>
            <w:vAlign w:val="center"/>
          </w:tcPr>
          <w:p w14:paraId="230F9718">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1项</w:t>
            </w:r>
          </w:p>
        </w:tc>
        <w:tc>
          <w:tcPr>
            <w:tcW w:w="1167" w:type="dxa"/>
            <w:tcBorders>
              <w:top w:val="outset" w:color="auto" w:sz="6" w:space="0"/>
              <w:left w:val="outset" w:color="auto" w:sz="6" w:space="0"/>
              <w:bottom w:val="outset" w:color="auto" w:sz="6" w:space="0"/>
              <w:right w:val="outset" w:color="auto" w:sz="6" w:space="0"/>
            </w:tcBorders>
            <w:noWrap/>
            <w:tcMar>
              <w:top w:w="150" w:type="dxa"/>
              <w:left w:w="150" w:type="dxa"/>
              <w:bottom w:w="150" w:type="dxa"/>
              <w:right w:w="150" w:type="dxa"/>
            </w:tcMar>
            <w:vAlign w:val="center"/>
          </w:tcPr>
          <w:p w14:paraId="56AC7334">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ascii="宋体" w:hAnsi="宋体"/>
                <w:sz w:val="24"/>
                <w:szCs w:val="24"/>
                <w:highlight w:val="none"/>
              </w:rPr>
            </w:pPr>
            <w:r>
              <w:rPr>
                <w:rFonts w:ascii="宋体" w:hAnsi="宋体"/>
                <w:sz w:val="24"/>
                <w:szCs w:val="24"/>
                <w:highlight w:val="none"/>
              </w:rPr>
              <w:t>详见</w:t>
            </w:r>
            <w:r>
              <w:rPr>
                <w:rFonts w:hint="eastAsia" w:ascii="宋体" w:hAnsi="宋体"/>
                <w:sz w:val="24"/>
                <w:szCs w:val="24"/>
                <w:highlight w:val="none"/>
                <w:lang w:val="en-US" w:eastAsia="zh-CN"/>
              </w:rPr>
              <w:t>磋商</w:t>
            </w:r>
            <w:r>
              <w:rPr>
                <w:rFonts w:ascii="宋体" w:hAnsi="宋体"/>
                <w:sz w:val="24"/>
                <w:szCs w:val="24"/>
                <w:highlight w:val="none"/>
              </w:rPr>
              <w:t>文件</w:t>
            </w:r>
          </w:p>
        </w:tc>
        <w:tc>
          <w:tcPr>
            <w:tcW w:w="1233" w:type="dxa"/>
            <w:tcBorders>
              <w:top w:val="outset" w:color="auto" w:sz="6" w:space="0"/>
              <w:left w:val="outset" w:color="auto" w:sz="6" w:space="0"/>
              <w:bottom w:val="outset" w:color="auto" w:sz="6" w:space="0"/>
              <w:right w:val="outset" w:color="auto" w:sz="6" w:space="0"/>
            </w:tcBorders>
            <w:noWrap/>
            <w:tcMar>
              <w:top w:w="150" w:type="dxa"/>
              <w:left w:w="150" w:type="dxa"/>
              <w:bottom w:w="150" w:type="dxa"/>
              <w:right w:w="150" w:type="dxa"/>
            </w:tcMar>
            <w:vAlign w:val="center"/>
          </w:tcPr>
          <w:p w14:paraId="72EF0559">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200000.00元</w:t>
            </w:r>
          </w:p>
        </w:tc>
        <w:tc>
          <w:tcPr>
            <w:tcW w:w="1262" w:type="dxa"/>
            <w:tcBorders>
              <w:top w:val="outset" w:color="auto" w:sz="6" w:space="0"/>
              <w:left w:val="outset" w:color="auto" w:sz="6" w:space="0"/>
              <w:bottom w:val="outset" w:color="auto" w:sz="6" w:space="0"/>
              <w:right w:val="outset" w:color="auto" w:sz="6" w:space="0"/>
            </w:tcBorders>
            <w:noWrap/>
            <w:tcMar>
              <w:top w:w="150" w:type="dxa"/>
              <w:left w:w="150" w:type="dxa"/>
              <w:bottom w:w="150" w:type="dxa"/>
              <w:right w:w="150" w:type="dxa"/>
            </w:tcMar>
            <w:vAlign w:val="center"/>
          </w:tcPr>
          <w:p w14:paraId="5E68D088">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200,000.00元</w:t>
            </w:r>
          </w:p>
        </w:tc>
      </w:tr>
    </w:tbl>
    <w:p w14:paraId="4A89B708">
      <w:pPr>
        <w:keepNext w:val="0"/>
        <w:keepLines w:val="0"/>
        <w:pageBreakBefore w:val="0"/>
        <w:widowControl w:val="0"/>
        <w:kinsoku/>
        <w:wordWrap/>
        <w:overflowPunct/>
        <w:topLinePunct w:val="0"/>
        <w:autoSpaceDE/>
        <w:autoSpaceDN/>
        <w:bidi w:val="0"/>
        <w:adjustRightInd w:val="0"/>
        <w:snapToGrid w:val="0"/>
        <w:spacing w:line="360" w:lineRule="auto"/>
        <w:ind w:firstLine="960" w:firstLineChars="400"/>
        <w:textAlignment w:val="auto"/>
        <w:rPr>
          <w:rFonts w:ascii="宋体" w:hAnsi="宋体"/>
          <w:sz w:val="24"/>
        </w:rPr>
      </w:pPr>
      <w:r>
        <w:rPr>
          <w:rFonts w:ascii="宋体" w:hAnsi="宋体"/>
          <w:sz w:val="24"/>
        </w:rPr>
        <w:t>标包1不接受联合体投标</w:t>
      </w:r>
    </w:p>
    <w:p w14:paraId="5F1D7B5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ascii="宋体" w:hAnsi="宋体"/>
          <w:b/>
          <w:sz w:val="24"/>
        </w:rPr>
      </w:pPr>
      <w:r>
        <w:rPr>
          <w:rFonts w:ascii="宋体" w:hAnsi="宋体"/>
          <w:b/>
          <w:sz w:val="24"/>
        </w:rPr>
        <w:t>二、申请人的资格要求</w:t>
      </w:r>
    </w:p>
    <w:p w14:paraId="561499A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sz w:val="24"/>
        </w:rPr>
      </w:pPr>
      <w:r>
        <w:rPr>
          <w:rFonts w:hint="eastAsia" w:ascii="宋体" w:hAnsi="宋体"/>
          <w:sz w:val="24"/>
        </w:rPr>
        <w:t>1.满足《中华人民共和国政府采购法》第二十二条规定</w:t>
      </w:r>
    </w:p>
    <w:p w14:paraId="04B500D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sz w:val="24"/>
        </w:rPr>
      </w:pPr>
      <w:r>
        <w:rPr>
          <w:rFonts w:hint="eastAsia" w:ascii="宋体" w:hAnsi="宋体"/>
          <w:sz w:val="24"/>
        </w:rPr>
        <w:t>2.落实政府采购政策需满足的资格要求：</w:t>
      </w:r>
    </w:p>
    <w:p w14:paraId="475E3B1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rPr>
        <w:t>《政府采购促进中小企业发展管理办法》（财库〔2020〕46号）</w:t>
      </w:r>
      <w:r>
        <w:rPr>
          <w:rFonts w:hint="eastAsia" w:ascii="宋体" w:hAnsi="宋体" w:eastAsia="宋体" w:cs="宋体"/>
          <w:sz w:val="24"/>
          <w:szCs w:val="24"/>
        </w:rPr>
        <w:t>；</w:t>
      </w:r>
    </w:p>
    <w:p w14:paraId="3910CE9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（2）《财政部 司法部关于政府采购支持监狱企业发展有关问题的通知》 （财库〔2014〕68号）；</w:t>
      </w:r>
    </w:p>
    <w:p w14:paraId="21E5DC0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（3）《国务院办公厅关于建立政府强制采购节能产品制度的通知》（国发办〔2007〕51号）；</w:t>
      </w:r>
    </w:p>
    <w:p w14:paraId="2AE09C0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（4）《关于印发节能产品政府采购品目清单的通知》（财库〔2019〕19号）；</w:t>
      </w:r>
    </w:p>
    <w:p w14:paraId="0B543CB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（5）《关于印发环境标志产品政府采购品目清单的通知》（财库〔2019〕18号）；</w:t>
      </w:r>
    </w:p>
    <w:p w14:paraId="5916D28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（6）《三部门联合发布关于促进残疾人就业政府采购政策的通知》（财库〔2017〕141号）；</w:t>
      </w:r>
    </w:p>
    <w:p w14:paraId="7B282C2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（7）《财政部 发展改革委 生态环境部 市场监管总局关于调整优化节能产品、环境标志产品政府采购执行机制的通知》（财库〔2019〕9号）；</w:t>
      </w:r>
    </w:p>
    <w:p w14:paraId="0695021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（8）陕西省财政厅关于印发《陕西省中小企业政府采购信用融资办法》（陕财办采〔2018〕23号）；</w:t>
      </w:r>
    </w:p>
    <w:p w14:paraId="0695918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（9）《财政部 农业农村部 国家乡村振兴局关于运用政府采购政策支持乡村产业振兴的通知》（财库〔2021〕19 号）；</w:t>
      </w:r>
    </w:p>
    <w:p w14:paraId="1AA8659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（10）《财政部 农业农村部 国家乡村振兴局 中华全国供销合作总社关于印发&lt;关于深入开展政府采购脱贫地区农副产品工作推进乡村产业振兴的实施意见&gt;的通知》（财库〔2021〕20 号）；</w:t>
      </w:r>
    </w:p>
    <w:p w14:paraId="59743C9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（11）《陕西省财政厅关于加快推进我省中小企业政府采购信用融资工作的通知》（陕财办采〔2020〕15号）；</w:t>
      </w:r>
    </w:p>
    <w:p w14:paraId="28412E5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（12）《关于进一步加强政府绿色采购有关问题的通知》（陕财办采〔2021〕29号）；</w:t>
      </w:r>
    </w:p>
    <w:p w14:paraId="2F31679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（13）《陕西省财政厅、中国人民银行西安分行关于深入推进政府采购信用融资业务的通知》（陕财办采〔2023〕5号）；</w:t>
      </w:r>
    </w:p>
    <w:p w14:paraId="078ECB7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（14）陕西省财政厅关于进一步落实政府采购支持中小企业相关政策的通知-陕财办采〔2023〕3号；</w:t>
      </w:r>
    </w:p>
    <w:p w14:paraId="5A1BED9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（15）陕西省财政厅关于进一步优化政府采购营商环境有关事项的通知-陕财办采〔2023〕4号；</w:t>
      </w:r>
    </w:p>
    <w:p w14:paraId="68F05C4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16</w:t>
      </w:r>
      <w:r>
        <w:rPr>
          <w:rFonts w:hint="eastAsia" w:ascii="宋体" w:hAnsi="宋体" w:eastAsia="宋体" w:cs="宋体"/>
          <w:sz w:val="24"/>
          <w:szCs w:val="24"/>
          <w:lang w:eastAsia="zh-CN"/>
        </w:rPr>
        <w:t>）《国务院办公厅关于在政府采</w:t>
      </w:r>
      <w:bookmarkStart w:id="79" w:name="_GoBack"/>
      <w:bookmarkEnd w:id="79"/>
      <w:r>
        <w:rPr>
          <w:rFonts w:hint="eastAsia" w:ascii="宋体" w:hAnsi="宋体" w:eastAsia="宋体" w:cs="宋体"/>
          <w:sz w:val="24"/>
          <w:szCs w:val="24"/>
          <w:lang w:eastAsia="zh-CN"/>
        </w:rPr>
        <w:t>购中实施本国产品标准及相关政策的通知》-国办发〔2025〕34号；</w:t>
      </w:r>
    </w:p>
    <w:p w14:paraId="7CCEC1F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17</w:t>
      </w:r>
      <w:r>
        <w:rPr>
          <w:rFonts w:hint="eastAsia" w:ascii="宋体" w:hAnsi="宋体" w:eastAsia="宋体" w:cs="宋体"/>
          <w:sz w:val="24"/>
          <w:szCs w:val="24"/>
          <w:lang w:eastAsia="zh-CN"/>
        </w:rPr>
        <w:t>）《关于推动解决政府采购异常低价问题的通知》（财库〔2026〕2号）；</w:t>
      </w:r>
    </w:p>
    <w:p w14:paraId="4D6EA80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8</w:t>
      </w:r>
      <w:r>
        <w:rPr>
          <w:rFonts w:hint="eastAsia" w:ascii="宋体" w:hAnsi="宋体" w:eastAsia="宋体" w:cs="宋体"/>
          <w:sz w:val="24"/>
          <w:szCs w:val="24"/>
        </w:rPr>
        <w:t>）其他需要落实的政府采购政策。</w:t>
      </w:r>
    </w:p>
    <w:p w14:paraId="5DBFDB7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lang w:val="en-US" w:eastAsia="zh-CN"/>
        </w:rPr>
        <w:t>9</w:t>
      </w:r>
      <w:r>
        <w:rPr>
          <w:rFonts w:hint="eastAsia" w:ascii="宋体" w:hAnsi="宋体" w:eastAsia="宋体" w:cs="宋体"/>
          <w:sz w:val="24"/>
          <w:highlight w:val="none"/>
        </w:rPr>
        <w:t>）本项目专门面向中小企业采购。</w:t>
      </w:r>
    </w:p>
    <w:p w14:paraId="7BC1400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sz w:val="24"/>
        </w:rPr>
      </w:pPr>
      <w:r>
        <w:rPr>
          <w:rFonts w:hint="eastAsia" w:ascii="宋体" w:hAnsi="宋体"/>
          <w:sz w:val="24"/>
          <w:lang w:val="en-US" w:eastAsia="zh-CN"/>
        </w:rPr>
        <w:t>3</w:t>
      </w:r>
      <w:r>
        <w:rPr>
          <w:rFonts w:hint="eastAsia" w:ascii="宋体" w:hAnsi="宋体"/>
          <w:sz w:val="24"/>
        </w:rPr>
        <w:t>.本项目的特定资格要求：</w:t>
      </w:r>
    </w:p>
    <w:p w14:paraId="12F8DBDA">
      <w:pPr>
        <w:keepNext w:val="0"/>
        <w:keepLines w:val="0"/>
        <w:pageBreakBefore w:val="0"/>
        <w:widowControl/>
        <w:kinsoku/>
        <w:overflowPunct/>
        <w:topLinePunct w:val="0"/>
        <w:autoSpaceDE/>
        <w:autoSpaceDN/>
        <w:bidi w:val="0"/>
        <w:snapToGrid w:val="0"/>
        <w:spacing w:line="360" w:lineRule="auto"/>
        <w:ind w:firstLine="480" w:firstLineChars="200"/>
        <w:textAlignment w:val="auto"/>
        <w:rPr>
          <w:rFonts w:hint="eastAsia"/>
          <w:sz w:val="24"/>
          <w:szCs w:val="24"/>
        </w:rPr>
      </w:pPr>
      <w:r>
        <w:rPr>
          <w:rFonts w:hint="eastAsia"/>
          <w:sz w:val="24"/>
          <w:szCs w:val="24"/>
          <w:lang w:eastAsia="zh-CN"/>
        </w:rPr>
        <w:t>（</w:t>
      </w:r>
      <w:r>
        <w:rPr>
          <w:rFonts w:hint="eastAsia"/>
          <w:sz w:val="24"/>
          <w:szCs w:val="24"/>
          <w:lang w:val="en-US" w:eastAsia="zh-CN"/>
        </w:rPr>
        <w:t>1）</w:t>
      </w:r>
      <w:r>
        <w:rPr>
          <w:rFonts w:hint="eastAsia"/>
          <w:sz w:val="24"/>
          <w:szCs w:val="24"/>
        </w:rPr>
        <w:t>营业执照：供应商须具有独立承担民事责任能力的法人、其他组织或自然人，并出具合法有效的营业执照或事业单位法人证书等国家规定的相关证明，自然人参与的提供其身份证明；</w:t>
      </w:r>
    </w:p>
    <w:p w14:paraId="22D4B4B2">
      <w:pPr>
        <w:keepNext w:val="0"/>
        <w:keepLines w:val="0"/>
        <w:pageBreakBefore w:val="0"/>
        <w:widowControl/>
        <w:kinsoku/>
        <w:overflowPunct/>
        <w:topLinePunct w:val="0"/>
        <w:autoSpaceDE/>
        <w:autoSpaceDN/>
        <w:bidi w:val="0"/>
        <w:snapToGrid w:val="0"/>
        <w:spacing w:line="360" w:lineRule="auto"/>
        <w:ind w:firstLine="480" w:firstLineChars="200"/>
        <w:textAlignment w:val="auto"/>
        <w:rPr>
          <w:rFonts w:hint="eastAsia"/>
          <w:sz w:val="24"/>
          <w:szCs w:val="24"/>
        </w:rPr>
      </w:pPr>
      <w:r>
        <w:rPr>
          <w:rFonts w:hint="eastAsia"/>
          <w:sz w:val="24"/>
          <w:szCs w:val="24"/>
          <w:lang w:eastAsia="zh-CN"/>
        </w:rPr>
        <w:t>（</w:t>
      </w:r>
      <w:r>
        <w:rPr>
          <w:rFonts w:hint="eastAsia"/>
          <w:sz w:val="24"/>
          <w:szCs w:val="24"/>
          <w:lang w:val="en-US" w:eastAsia="zh-CN"/>
        </w:rPr>
        <w:t>2）</w:t>
      </w:r>
      <w:r>
        <w:rPr>
          <w:rFonts w:hint="eastAsia"/>
          <w:sz w:val="24"/>
          <w:szCs w:val="24"/>
        </w:rPr>
        <w:t>法定代表人身份证明或法定代表人授权委托书：供应商法定代表人直接参与磋商的，须出具法定代表人身份证明（附法定代表人身份证复印件）；法定代表人授权代表参与磋商的，须出具法定代表人授权委托书（附法定代表人及授权代表身份证复印件)；</w:t>
      </w:r>
    </w:p>
    <w:p w14:paraId="6925ECF9">
      <w:pPr>
        <w:keepNext w:val="0"/>
        <w:keepLines w:val="0"/>
        <w:pageBreakBefore w:val="0"/>
        <w:widowControl/>
        <w:kinsoku/>
        <w:overflowPunct/>
        <w:topLinePunct w:val="0"/>
        <w:autoSpaceDE/>
        <w:autoSpaceDN/>
        <w:bidi w:val="0"/>
        <w:snapToGrid w:val="0"/>
        <w:spacing w:line="360" w:lineRule="auto"/>
        <w:ind w:firstLine="480" w:firstLineChars="200"/>
        <w:textAlignment w:val="auto"/>
        <w:rPr>
          <w:rFonts w:hint="eastAsia"/>
          <w:sz w:val="24"/>
          <w:szCs w:val="24"/>
        </w:rPr>
      </w:pPr>
      <w:r>
        <w:rPr>
          <w:rFonts w:hint="eastAsia"/>
          <w:sz w:val="24"/>
          <w:szCs w:val="24"/>
          <w:lang w:eastAsia="zh-CN"/>
        </w:rPr>
        <w:t>（</w:t>
      </w:r>
      <w:r>
        <w:rPr>
          <w:rFonts w:hint="eastAsia"/>
          <w:sz w:val="24"/>
          <w:szCs w:val="24"/>
          <w:lang w:val="en-US" w:eastAsia="zh-CN"/>
        </w:rPr>
        <w:t>3）</w:t>
      </w:r>
      <w:r>
        <w:rPr>
          <w:rFonts w:hint="eastAsia"/>
          <w:sz w:val="24"/>
          <w:szCs w:val="24"/>
        </w:rPr>
        <w:t>财务状况报告：</w:t>
      </w:r>
      <w:r>
        <w:rPr>
          <w:rFonts w:hint="eastAsia"/>
          <w:sz w:val="24"/>
          <w:szCs w:val="24"/>
          <w:lang w:eastAsia="zh-CN"/>
        </w:rPr>
        <w:t>供应商须提供2025年度的财务审计报告（至少包括资产负债表、利润表、现金流量表，成立时间至提交磋商响应文件截止时间不足一年的可提供成立后任意时段的资产负债表、利润表、现金流量表），或其基本存款账户开户银行出具的资信证明及基本存款账户开户许可证（或存款信息）</w:t>
      </w:r>
      <w:r>
        <w:rPr>
          <w:rFonts w:hint="eastAsia"/>
          <w:sz w:val="24"/>
          <w:szCs w:val="24"/>
        </w:rPr>
        <w:t>；</w:t>
      </w:r>
    </w:p>
    <w:p w14:paraId="7D4FA951">
      <w:pPr>
        <w:keepNext w:val="0"/>
        <w:keepLines w:val="0"/>
        <w:pageBreakBefore w:val="0"/>
        <w:widowControl/>
        <w:kinsoku/>
        <w:overflowPunct/>
        <w:topLinePunct w:val="0"/>
        <w:autoSpaceDE/>
        <w:autoSpaceDN/>
        <w:bidi w:val="0"/>
        <w:snapToGrid w:val="0"/>
        <w:spacing w:line="360" w:lineRule="auto"/>
        <w:ind w:firstLine="480" w:firstLineChars="200"/>
        <w:textAlignment w:val="auto"/>
        <w:rPr>
          <w:rFonts w:hint="eastAsia"/>
          <w:sz w:val="24"/>
          <w:szCs w:val="24"/>
        </w:rPr>
      </w:pPr>
      <w:r>
        <w:rPr>
          <w:rFonts w:hint="eastAsia"/>
          <w:sz w:val="24"/>
          <w:szCs w:val="24"/>
          <w:lang w:eastAsia="zh-CN"/>
        </w:rPr>
        <w:t>（</w:t>
      </w:r>
      <w:r>
        <w:rPr>
          <w:rFonts w:hint="eastAsia"/>
          <w:sz w:val="24"/>
          <w:szCs w:val="24"/>
          <w:lang w:val="en-US" w:eastAsia="zh-CN"/>
        </w:rPr>
        <w:t>4）</w:t>
      </w:r>
      <w:r>
        <w:rPr>
          <w:rFonts w:hint="eastAsia"/>
          <w:sz w:val="24"/>
          <w:szCs w:val="24"/>
        </w:rPr>
        <w:t>税收缴纳证明：供应商须提供磋商截止日前六个月已缴纳的至少一个月的纳税证明或完税证明，依法免税的单位应提供相关证明材料；</w:t>
      </w:r>
    </w:p>
    <w:p w14:paraId="252269CE">
      <w:pPr>
        <w:keepNext w:val="0"/>
        <w:keepLines w:val="0"/>
        <w:pageBreakBefore w:val="0"/>
        <w:widowControl/>
        <w:kinsoku/>
        <w:overflowPunct/>
        <w:topLinePunct w:val="0"/>
        <w:autoSpaceDE/>
        <w:autoSpaceDN/>
        <w:bidi w:val="0"/>
        <w:snapToGrid w:val="0"/>
        <w:spacing w:line="360" w:lineRule="auto"/>
        <w:ind w:firstLine="480" w:firstLineChars="200"/>
        <w:textAlignment w:val="auto"/>
        <w:rPr>
          <w:rFonts w:hint="eastAsia"/>
          <w:sz w:val="24"/>
          <w:szCs w:val="24"/>
        </w:rPr>
      </w:pPr>
      <w:r>
        <w:rPr>
          <w:rFonts w:hint="eastAsia"/>
          <w:sz w:val="24"/>
          <w:szCs w:val="24"/>
          <w:lang w:eastAsia="zh-CN"/>
        </w:rPr>
        <w:t>（</w:t>
      </w:r>
      <w:r>
        <w:rPr>
          <w:rFonts w:hint="eastAsia"/>
          <w:sz w:val="24"/>
          <w:szCs w:val="24"/>
          <w:lang w:val="en-US" w:eastAsia="zh-CN"/>
        </w:rPr>
        <w:t>5）</w:t>
      </w:r>
      <w:r>
        <w:rPr>
          <w:rFonts w:hint="eastAsia"/>
          <w:sz w:val="24"/>
          <w:szCs w:val="24"/>
        </w:rPr>
        <w:t>社会保障资金缴纳证明：供应商须提供磋商截止日前六个月已缴纳的至少一个月的社会保障资金缴存单据或社保机构开具的社会保险参保缴费情况证明，依法不需要缴纳社会保障资金的单位应提供相关证明材料；</w:t>
      </w:r>
    </w:p>
    <w:p w14:paraId="48BF44CC">
      <w:pPr>
        <w:keepNext w:val="0"/>
        <w:keepLines w:val="0"/>
        <w:pageBreakBefore w:val="0"/>
        <w:widowControl/>
        <w:kinsoku/>
        <w:overflowPunct/>
        <w:topLinePunct w:val="0"/>
        <w:autoSpaceDE/>
        <w:autoSpaceDN/>
        <w:bidi w:val="0"/>
        <w:snapToGrid w:val="0"/>
        <w:spacing w:line="360" w:lineRule="auto"/>
        <w:ind w:firstLine="480" w:firstLineChars="200"/>
        <w:textAlignment w:val="auto"/>
        <w:rPr>
          <w:rFonts w:hint="eastAsia"/>
          <w:sz w:val="24"/>
          <w:szCs w:val="24"/>
        </w:rPr>
      </w:pPr>
      <w:r>
        <w:rPr>
          <w:rFonts w:hint="eastAsia"/>
          <w:sz w:val="24"/>
          <w:szCs w:val="24"/>
          <w:lang w:eastAsia="zh-CN"/>
        </w:rPr>
        <w:t>（</w:t>
      </w:r>
      <w:r>
        <w:rPr>
          <w:rFonts w:hint="eastAsia"/>
          <w:sz w:val="24"/>
          <w:szCs w:val="24"/>
          <w:lang w:val="en-US" w:eastAsia="zh-CN"/>
        </w:rPr>
        <w:t>6）</w:t>
      </w:r>
      <w:r>
        <w:rPr>
          <w:rFonts w:hint="eastAsia"/>
          <w:sz w:val="24"/>
          <w:szCs w:val="24"/>
        </w:rPr>
        <w:t>供应商信誉要求：供应商不得为“信用中国”网站（www.creditchina.gov.cn）中列入重大税收违法失信主体的供应商，不得为“中国执行信息公开网”（http://zxgk.court.gov.cn）网站被列为失信被执行人，不得为“中国政府采购网”（www.ccgp.gov.cn）政府采购严重违法失信行为记录名单中被财政部门禁止参加政府采购活动的供应商（提供相关网站查询截图</w:t>
      </w:r>
      <w:r>
        <w:rPr>
          <w:rFonts w:hint="eastAsia"/>
          <w:sz w:val="24"/>
          <w:szCs w:val="24"/>
          <w:lang w:val="en-US" w:eastAsia="zh-CN"/>
        </w:rPr>
        <w:t>或</w:t>
      </w:r>
      <w:r>
        <w:rPr>
          <w:rFonts w:hint="eastAsia"/>
          <w:sz w:val="24"/>
          <w:szCs w:val="24"/>
        </w:rPr>
        <w:t>承诺书）；</w:t>
      </w:r>
    </w:p>
    <w:p w14:paraId="5C23DE10">
      <w:pPr>
        <w:keepNext w:val="0"/>
        <w:keepLines w:val="0"/>
        <w:pageBreakBefore w:val="0"/>
        <w:widowControl/>
        <w:kinsoku/>
        <w:overflowPunct/>
        <w:topLinePunct w:val="0"/>
        <w:autoSpaceDE/>
        <w:autoSpaceDN/>
        <w:bidi w:val="0"/>
        <w:snapToGrid w:val="0"/>
        <w:spacing w:line="360" w:lineRule="auto"/>
        <w:ind w:firstLine="480" w:firstLineChars="200"/>
        <w:textAlignment w:val="auto"/>
        <w:rPr>
          <w:rFonts w:hint="eastAsia" w:eastAsia="宋体"/>
          <w:sz w:val="24"/>
          <w:szCs w:val="24"/>
          <w:lang w:eastAsia="zh-CN"/>
        </w:rPr>
      </w:pPr>
      <w:r>
        <w:rPr>
          <w:rFonts w:hint="eastAsia"/>
          <w:sz w:val="24"/>
          <w:szCs w:val="24"/>
          <w:lang w:val="en-US" w:eastAsia="zh-CN"/>
        </w:rPr>
        <w:t>（7）关联关系：</w:t>
      </w:r>
      <w:r>
        <w:rPr>
          <w:rFonts w:hint="eastAsia"/>
          <w:sz w:val="24"/>
          <w:szCs w:val="24"/>
        </w:rPr>
        <w:t>单位负责人为同一人或者存在直接控股、管理关系的不同供应商，不得参加同一合同项下的政府采购活动（提供承诺书）</w:t>
      </w:r>
      <w:r>
        <w:rPr>
          <w:rFonts w:hint="eastAsia"/>
          <w:sz w:val="24"/>
          <w:szCs w:val="24"/>
          <w:lang w:eastAsia="zh-CN"/>
        </w:rPr>
        <w:t>；</w:t>
      </w:r>
    </w:p>
    <w:p w14:paraId="74A60A20">
      <w:pPr>
        <w:keepNext w:val="0"/>
        <w:keepLines w:val="0"/>
        <w:pageBreakBefore w:val="0"/>
        <w:widowControl/>
        <w:kinsoku/>
        <w:overflowPunct/>
        <w:topLinePunct w:val="0"/>
        <w:autoSpaceDE/>
        <w:autoSpaceDN/>
        <w:bidi w:val="0"/>
        <w:snapToGrid w:val="0"/>
        <w:spacing w:line="360" w:lineRule="auto"/>
        <w:ind w:firstLine="480" w:firstLineChars="200"/>
        <w:textAlignment w:val="auto"/>
        <w:rPr>
          <w:rFonts w:hint="eastAsia"/>
          <w:sz w:val="24"/>
          <w:szCs w:val="24"/>
        </w:rPr>
      </w:pPr>
      <w:r>
        <w:rPr>
          <w:rFonts w:hint="eastAsia"/>
          <w:sz w:val="24"/>
          <w:szCs w:val="24"/>
          <w:lang w:eastAsia="zh-CN"/>
        </w:rPr>
        <w:t>（</w:t>
      </w:r>
      <w:r>
        <w:rPr>
          <w:rFonts w:hint="eastAsia"/>
          <w:sz w:val="24"/>
          <w:szCs w:val="24"/>
          <w:lang w:val="en-US" w:eastAsia="zh-CN"/>
        </w:rPr>
        <w:t>8）</w:t>
      </w:r>
      <w:r>
        <w:rPr>
          <w:rFonts w:hint="eastAsia"/>
          <w:sz w:val="24"/>
          <w:szCs w:val="24"/>
        </w:rPr>
        <w:t>书面声明：供应商参加政府采购活动前三年内，在经营活动中没有重大违法记录的书面声明（提供承诺书）；</w:t>
      </w:r>
    </w:p>
    <w:p w14:paraId="6C70935A">
      <w:pPr>
        <w:keepNext w:val="0"/>
        <w:keepLines w:val="0"/>
        <w:pageBreakBefore w:val="0"/>
        <w:widowControl/>
        <w:kinsoku/>
        <w:overflowPunct/>
        <w:topLinePunct w:val="0"/>
        <w:autoSpaceDE/>
        <w:autoSpaceDN/>
        <w:bidi w:val="0"/>
        <w:snapToGrid w:val="0"/>
        <w:spacing w:line="360" w:lineRule="auto"/>
        <w:ind w:firstLine="480" w:firstLineChars="200"/>
        <w:textAlignment w:val="auto"/>
        <w:rPr>
          <w:rFonts w:hint="eastAsia"/>
          <w:sz w:val="24"/>
          <w:szCs w:val="24"/>
        </w:rPr>
      </w:pPr>
      <w:r>
        <w:rPr>
          <w:rFonts w:hint="eastAsia"/>
          <w:sz w:val="24"/>
          <w:szCs w:val="24"/>
          <w:lang w:eastAsia="zh-CN"/>
        </w:rPr>
        <w:t>（</w:t>
      </w:r>
      <w:r>
        <w:rPr>
          <w:rFonts w:hint="eastAsia"/>
          <w:sz w:val="24"/>
          <w:szCs w:val="24"/>
          <w:lang w:val="en-US" w:eastAsia="zh-CN"/>
        </w:rPr>
        <w:t>9）</w:t>
      </w:r>
      <w:r>
        <w:rPr>
          <w:rFonts w:hint="eastAsia"/>
          <w:sz w:val="24"/>
          <w:szCs w:val="24"/>
        </w:rPr>
        <w:t>承诺书：供应商须提供具有履行合同所必需的设备和专业技术能力的承诺（提供承诺书）</w:t>
      </w:r>
    </w:p>
    <w:p w14:paraId="69F655C7">
      <w:pPr>
        <w:keepNext w:val="0"/>
        <w:keepLines w:val="0"/>
        <w:pageBreakBefore w:val="0"/>
        <w:widowControl/>
        <w:kinsoku/>
        <w:overflowPunct/>
        <w:topLinePunct w:val="0"/>
        <w:autoSpaceDE/>
        <w:autoSpaceDN/>
        <w:bidi w:val="0"/>
        <w:snapToGrid w:val="0"/>
        <w:spacing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sz w:val="24"/>
          <w:szCs w:val="24"/>
          <w:lang w:eastAsia="zh-CN"/>
        </w:rPr>
        <w:t>（</w:t>
      </w:r>
      <w:r>
        <w:rPr>
          <w:rFonts w:hint="eastAsia"/>
          <w:sz w:val="24"/>
          <w:szCs w:val="24"/>
          <w:lang w:val="en-US" w:eastAsia="zh-CN"/>
        </w:rPr>
        <w:t>10）</w:t>
      </w:r>
      <w:r>
        <w:rPr>
          <w:rFonts w:hint="eastAsia"/>
          <w:sz w:val="24"/>
          <w:szCs w:val="24"/>
        </w:rPr>
        <w:t>非联合体承诺书：本项目不接受联合体磋商（提供承诺书）</w:t>
      </w:r>
      <w:r>
        <w:rPr>
          <w:rFonts w:hint="eastAsia" w:asciiTheme="minorEastAsia" w:hAnsiTheme="minorEastAsia" w:eastAsiaTheme="minorEastAsia" w:cstheme="minorEastAsia"/>
          <w:b w:val="0"/>
          <w:bCs w:val="0"/>
          <w:color w:val="auto"/>
          <w:sz w:val="24"/>
          <w:szCs w:val="24"/>
          <w:highlight w:val="none"/>
          <w:lang w:val="en-US" w:eastAsia="zh-CN"/>
        </w:rPr>
        <w:t>。</w:t>
      </w:r>
    </w:p>
    <w:p w14:paraId="43DB0A9F">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ascii="宋体" w:hAnsi="宋体"/>
          <w:b/>
          <w:sz w:val="24"/>
        </w:rPr>
      </w:pPr>
      <w:r>
        <w:rPr>
          <w:rFonts w:ascii="宋体" w:hAnsi="宋体"/>
          <w:b/>
          <w:sz w:val="24"/>
        </w:rPr>
        <w:t>三、获取采购文件</w:t>
      </w:r>
    </w:p>
    <w:p w14:paraId="32EFC62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sz w:val="24"/>
          <w:highlight w:val="none"/>
        </w:rPr>
      </w:pPr>
      <w:r>
        <w:rPr>
          <w:rFonts w:ascii="宋体" w:hAnsi="宋体"/>
          <w:sz w:val="24"/>
          <w:highlight w:val="none"/>
        </w:rPr>
        <w:t>时间：</w:t>
      </w:r>
      <w:r>
        <w:rPr>
          <w:rFonts w:hint="eastAsia" w:ascii="宋体" w:hAnsi="宋体" w:cs="Helvetica"/>
          <w:kern w:val="0"/>
          <w:sz w:val="24"/>
          <w:szCs w:val="21"/>
          <w:highlight w:val="none"/>
          <w:lang w:eastAsia="zh-CN"/>
        </w:rPr>
        <w:t>2026年06月09日至2026年06月15日</w:t>
      </w:r>
      <w:r>
        <w:rPr>
          <w:rFonts w:ascii="宋体" w:hAnsi="宋体"/>
          <w:sz w:val="24"/>
          <w:highlight w:val="none"/>
        </w:rPr>
        <w:t>，每天上午09:00至12:00，下午14:00至17:00（北京时间,法定节假日除外）</w:t>
      </w:r>
    </w:p>
    <w:p w14:paraId="4469010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sz w:val="24"/>
          <w:highlight w:val="none"/>
        </w:rPr>
      </w:pPr>
      <w:r>
        <w:rPr>
          <w:rFonts w:hint="eastAsia" w:ascii="宋体" w:hAnsi="宋体"/>
          <w:sz w:val="24"/>
          <w:highlight w:val="none"/>
        </w:rPr>
        <w:t>途径：在采购文件获取时间内，供应商通过电子邮箱发送电子版资料（单位介绍信和经办人身份证件扫描件加盖公章）到采购代理机构邮箱2595886767@qq.com（邮件标题命名格式为“供应商名称+联系人+联系电话+项目名称”），资料符合要求采购代理机构将向供应商提供招标资料领取表，供应商填写完整招标资料领取表后发送至采购代理机构邮箱，工作人员核对信息后将采购文件发送至供应商。</w:t>
      </w:r>
    </w:p>
    <w:p w14:paraId="1A3BF6E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sz w:val="24"/>
          <w:highlight w:val="none"/>
          <w:lang w:eastAsia="zh-CN"/>
        </w:rPr>
      </w:pPr>
      <w:r>
        <w:rPr>
          <w:rFonts w:ascii="宋体" w:hAnsi="宋体"/>
          <w:sz w:val="24"/>
          <w:highlight w:val="none"/>
        </w:rPr>
        <w:t>方式：</w:t>
      </w:r>
      <w:r>
        <w:rPr>
          <w:rFonts w:hint="eastAsia" w:ascii="宋体" w:hAnsi="宋体" w:eastAsia="宋体" w:cs="Times New Roman"/>
          <w:kern w:val="2"/>
          <w:sz w:val="24"/>
          <w:szCs w:val="24"/>
          <w:highlight w:val="none"/>
          <w:lang w:val="en-US" w:eastAsia="zh-CN" w:bidi="ar-SA"/>
        </w:rPr>
        <w:t>线上获取</w:t>
      </w:r>
    </w:p>
    <w:p w14:paraId="7B47789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ascii="宋体" w:hAnsi="宋体"/>
          <w:sz w:val="24"/>
          <w:highlight w:val="none"/>
        </w:rPr>
        <w:t>售价：</w:t>
      </w:r>
      <w:r>
        <w:rPr>
          <w:rFonts w:hint="eastAsia"/>
          <w:sz w:val="24"/>
          <w:szCs w:val="24"/>
          <w:highlight w:val="none"/>
        </w:rPr>
        <w:t>0元</w:t>
      </w:r>
    </w:p>
    <w:p w14:paraId="5F6CCE4D">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ascii="宋体" w:hAnsi="宋体"/>
          <w:b/>
          <w:sz w:val="24"/>
          <w:highlight w:val="none"/>
        </w:rPr>
      </w:pPr>
      <w:r>
        <w:rPr>
          <w:rFonts w:ascii="宋体" w:hAnsi="宋体"/>
          <w:b/>
          <w:sz w:val="24"/>
          <w:highlight w:val="none"/>
        </w:rPr>
        <w:t>四、提交投标文件截止时间、开标时间和地点</w:t>
      </w:r>
    </w:p>
    <w:p w14:paraId="707184D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sz w:val="24"/>
          <w:highlight w:val="none"/>
        </w:rPr>
      </w:pPr>
      <w:r>
        <w:rPr>
          <w:rFonts w:ascii="宋体" w:hAnsi="宋体"/>
          <w:sz w:val="24"/>
          <w:highlight w:val="none"/>
        </w:rPr>
        <w:t>时间：</w:t>
      </w:r>
      <w:r>
        <w:rPr>
          <w:rFonts w:hint="eastAsia" w:ascii="宋体" w:hAnsi="宋体" w:cs="Helvetica"/>
          <w:kern w:val="0"/>
          <w:sz w:val="24"/>
          <w:szCs w:val="21"/>
          <w:highlight w:val="none"/>
          <w:lang w:eastAsia="zh-CN"/>
        </w:rPr>
        <w:t>2026年06月22日 14:30:00</w:t>
      </w:r>
      <w:r>
        <w:rPr>
          <w:rFonts w:ascii="宋体" w:hAnsi="宋体"/>
          <w:sz w:val="24"/>
          <w:highlight w:val="none"/>
        </w:rPr>
        <w:t>（北京时间）</w:t>
      </w:r>
    </w:p>
    <w:p w14:paraId="3D7CB15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sz w:val="24"/>
        </w:rPr>
      </w:pPr>
      <w:r>
        <w:rPr>
          <w:rFonts w:ascii="宋体" w:hAnsi="宋体"/>
          <w:sz w:val="24"/>
          <w:highlight w:val="none"/>
        </w:rPr>
        <w:t>地点：</w:t>
      </w:r>
      <w:r>
        <w:rPr>
          <w:rFonts w:hint="eastAsia" w:ascii="宋体" w:hAnsi="宋体"/>
          <w:sz w:val="24"/>
          <w:highlight w:val="none"/>
          <w:lang w:eastAsia="zh-CN"/>
        </w:rPr>
        <w:t>致君项目管理有限公</w:t>
      </w:r>
      <w:r>
        <w:rPr>
          <w:rFonts w:hint="eastAsia" w:ascii="宋体" w:hAnsi="宋体"/>
          <w:sz w:val="24"/>
          <w:lang w:eastAsia="zh-CN"/>
        </w:rPr>
        <w:t>司</w:t>
      </w:r>
      <w:r>
        <w:rPr>
          <w:rFonts w:ascii="宋体" w:hAnsi="宋体"/>
          <w:sz w:val="24"/>
        </w:rPr>
        <w:t>（</w:t>
      </w:r>
      <w:r>
        <w:rPr>
          <w:rFonts w:hint="eastAsia" w:ascii="宋体" w:hAnsi="宋体"/>
          <w:sz w:val="24"/>
          <w:lang w:eastAsia="zh-CN"/>
        </w:rPr>
        <w:t>西安经济技术开发区文景广场C座18层</w:t>
      </w:r>
      <w:r>
        <w:rPr>
          <w:rFonts w:ascii="宋体" w:hAnsi="宋体"/>
          <w:sz w:val="24"/>
        </w:rPr>
        <w:t>）会议室</w:t>
      </w:r>
    </w:p>
    <w:p w14:paraId="6EC4C3F6">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ascii="宋体" w:hAnsi="宋体"/>
          <w:b/>
          <w:sz w:val="24"/>
        </w:rPr>
      </w:pPr>
      <w:r>
        <w:rPr>
          <w:rFonts w:ascii="宋体" w:hAnsi="宋体"/>
          <w:b/>
          <w:sz w:val="24"/>
        </w:rPr>
        <w:t>五、公告期限</w:t>
      </w:r>
    </w:p>
    <w:p w14:paraId="4C64590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sz w:val="24"/>
        </w:rPr>
      </w:pPr>
      <w:r>
        <w:rPr>
          <w:rFonts w:ascii="宋体" w:hAnsi="宋体"/>
          <w:sz w:val="24"/>
        </w:rPr>
        <w:t>自本公告发布</w:t>
      </w:r>
      <w:r>
        <w:rPr>
          <w:rFonts w:ascii="宋体" w:hAnsi="宋体"/>
          <w:sz w:val="24"/>
          <w:highlight w:val="none"/>
        </w:rPr>
        <w:t>之日起</w:t>
      </w:r>
      <w:r>
        <w:rPr>
          <w:rFonts w:hint="eastAsia" w:ascii="宋体" w:hAnsi="宋体"/>
          <w:sz w:val="24"/>
          <w:highlight w:val="none"/>
          <w:lang w:val="en-US" w:eastAsia="zh-CN"/>
        </w:rPr>
        <w:t>3</w:t>
      </w:r>
      <w:r>
        <w:rPr>
          <w:rFonts w:ascii="宋体" w:hAnsi="宋体"/>
          <w:sz w:val="24"/>
          <w:highlight w:val="none"/>
        </w:rPr>
        <w:t>个工作日</w:t>
      </w:r>
    </w:p>
    <w:p w14:paraId="3421360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ascii="宋体" w:hAnsi="宋体"/>
          <w:b/>
          <w:sz w:val="24"/>
        </w:rPr>
      </w:pPr>
      <w:r>
        <w:rPr>
          <w:rFonts w:ascii="宋体" w:hAnsi="宋体"/>
          <w:b/>
          <w:sz w:val="24"/>
        </w:rPr>
        <w:t>六、其他补充事宜</w:t>
      </w:r>
    </w:p>
    <w:p w14:paraId="53EEF39C">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ascii="宋体" w:hAnsi="宋体"/>
          <w:sz w:val="24"/>
          <w:highlight w:val="none"/>
        </w:rPr>
      </w:pPr>
      <w:r>
        <w:rPr>
          <w:rFonts w:hint="eastAsia" w:ascii="宋体" w:hAnsi="宋体"/>
          <w:sz w:val="24"/>
          <w:lang w:val="en-US" w:eastAsia="zh-CN"/>
        </w:rPr>
        <w:t>1.本项目相关</w:t>
      </w:r>
      <w:r>
        <w:rPr>
          <w:rFonts w:hint="eastAsia" w:ascii="宋体" w:hAnsi="宋体"/>
          <w:sz w:val="24"/>
          <w:highlight w:val="none"/>
          <w:lang w:val="en-US" w:eastAsia="zh-CN"/>
        </w:rPr>
        <w:t>信息在陕西省政府采购网（www.ccgp-shaanxi.gov.cn）发布。</w:t>
      </w:r>
    </w:p>
    <w:p w14:paraId="7287A00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ascii="宋体" w:hAnsi="宋体"/>
          <w:b/>
          <w:sz w:val="24"/>
        </w:rPr>
      </w:pPr>
      <w:r>
        <w:rPr>
          <w:rFonts w:ascii="宋体" w:hAnsi="宋体"/>
          <w:b/>
          <w:sz w:val="24"/>
        </w:rPr>
        <w:t>七、对本次招标提出询问，请按以下方式联系</w:t>
      </w:r>
    </w:p>
    <w:p w14:paraId="3D62AE8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sz w:val="24"/>
        </w:rPr>
      </w:pPr>
      <w:r>
        <w:rPr>
          <w:rFonts w:ascii="宋体" w:hAnsi="宋体"/>
          <w:sz w:val="24"/>
        </w:rPr>
        <w:t>1、采购人信息</w:t>
      </w:r>
    </w:p>
    <w:p w14:paraId="01B9743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sz w:val="24"/>
          <w:lang w:eastAsia="zh-CN"/>
        </w:rPr>
      </w:pPr>
      <w:r>
        <w:rPr>
          <w:rFonts w:ascii="宋体" w:hAnsi="宋体"/>
          <w:sz w:val="24"/>
        </w:rPr>
        <w:t>名称：</w:t>
      </w:r>
      <w:r>
        <w:rPr>
          <w:rFonts w:hint="eastAsia" w:ascii="宋体" w:hAnsi="宋体"/>
          <w:sz w:val="24"/>
          <w:lang w:eastAsia="zh-CN"/>
        </w:rPr>
        <w:t>西安市青龙寺遗址保管所</w:t>
      </w:r>
    </w:p>
    <w:p w14:paraId="401C869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sz w:val="24"/>
          <w:lang w:eastAsia="zh-CN"/>
        </w:rPr>
      </w:pPr>
      <w:r>
        <w:rPr>
          <w:rFonts w:ascii="宋体" w:hAnsi="宋体"/>
          <w:sz w:val="24"/>
        </w:rPr>
        <w:t>地址：</w:t>
      </w:r>
      <w:r>
        <w:rPr>
          <w:rFonts w:hint="eastAsia" w:ascii="宋体" w:hAnsi="宋体"/>
          <w:sz w:val="24"/>
        </w:rPr>
        <w:t xml:space="preserve"> </w:t>
      </w:r>
      <w:r>
        <w:rPr>
          <w:rFonts w:hint="eastAsia" w:ascii="宋体" w:hAnsi="宋体"/>
          <w:sz w:val="24"/>
          <w:lang w:eastAsia="zh-CN"/>
        </w:rPr>
        <w:t>西影路铁炉庙村北1号</w:t>
      </w:r>
    </w:p>
    <w:p w14:paraId="27378AA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sz w:val="24"/>
          <w:highlight w:val="yellow"/>
          <w:lang w:val="en-US" w:eastAsia="zh-CN"/>
        </w:rPr>
      </w:pPr>
      <w:r>
        <w:rPr>
          <w:rFonts w:hint="eastAsia" w:ascii="宋体" w:hAnsi="宋体"/>
          <w:sz w:val="24"/>
          <w:highlight w:val="yellow"/>
        </w:rPr>
        <w:t>联系人：</w:t>
      </w:r>
      <w:r>
        <w:rPr>
          <w:rFonts w:hint="eastAsia" w:ascii="宋体" w:hAnsi="宋体"/>
          <w:sz w:val="24"/>
          <w:highlight w:val="yellow"/>
          <w:lang w:val="en-US" w:eastAsia="zh-CN"/>
        </w:rPr>
        <w:t>李老师</w:t>
      </w:r>
    </w:p>
    <w:p w14:paraId="2DBD3BA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sz w:val="24"/>
          <w:highlight w:val="yellow"/>
          <w:lang w:val="en-US" w:eastAsia="zh-CN"/>
        </w:rPr>
      </w:pPr>
      <w:r>
        <w:rPr>
          <w:rFonts w:hint="eastAsia" w:ascii="宋体" w:hAnsi="宋体"/>
          <w:sz w:val="24"/>
          <w:highlight w:val="yellow"/>
        </w:rPr>
        <w:t>电话：</w:t>
      </w:r>
      <w:r>
        <w:rPr>
          <w:rFonts w:hint="eastAsia" w:ascii="宋体" w:hAnsi="宋体"/>
          <w:sz w:val="24"/>
          <w:highlight w:val="yellow"/>
          <w:lang w:val="en-US" w:eastAsia="zh-CN"/>
        </w:rPr>
        <w:t>029-85514249</w:t>
      </w:r>
    </w:p>
    <w:p w14:paraId="35AAFFB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sz w:val="24"/>
        </w:rPr>
      </w:pPr>
      <w:r>
        <w:rPr>
          <w:rFonts w:ascii="宋体" w:hAnsi="宋体"/>
          <w:sz w:val="24"/>
        </w:rPr>
        <w:t>2、采购代理机构信息</w:t>
      </w:r>
    </w:p>
    <w:p w14:paraId="7980049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sz w:val="24"/>
          <w:lang w:eastAsia="zh-CN"/>
        </w:rPr>
      </w:pPr>
      <w:r>
        <w:rPr>
          <w:rFonts w:ascii="宋体" w:hAnsi="宋体"/>
          <w:sz w:val="24"/>
        </w:rPr>
        <w:t>名称：</w:t>
      </w:r>
      <w:r>
        <w:rPr>
          <w:rFonts w:hint="eastAsia" w:ascii="宋体" w:hAnsi="宋体"/>
          <w:sz w:val="24"/>
          <w:lang w:eastAsia="zh-CN"/>
        </w:rPr>
        <w:t>致君项目管理有限公司</w:t>
      </w:r>
    </w:p>
    <w:p w14:paraId="268225D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sz w:val="24"/>
          <w:lang w:eastAsia="zh-CN"/>
        </w:rPr>
      </w:pPr>
      <w:r>
        <w:rPr>
          <w:rFonts w:ascii="宋体" w:hAnsi="宋体"/>
          <w:sz w:val="24"/>
        </w:rPr>
        <w:t>地址：</w:t>
      </w:r>
      <w:r>
        <w:rPr>
          <w:rFonts w:hint="eastAsia" w:ascii="宋体" w:hAnsi="宋体"/>
          <w:sz w:val="24"/>
          <w:lang w:eastAsia="zh-CN"/>
        </w:rPr>
        <w:t>西安经济技术开发区文景广场C座18层</w:t>
      </w:r>
    </w:p>
    <w:p w14:paraId="4B87422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sz w:val="24"/>
          <w:highlight w:val="none"/>
          <w:lang w:val="en-US" w:eastAsia="zh-CN"/>
        </w:rPr>
      </w:pPr>
      <w:r>
        <w:rPr>
          <w:rFonts w:hint="eastAsia" w:ascii="宋体" w:hAnsi="宋体"/>
          <w:sz w:val="24"/>
          <w:highlight w:val="none"/>
        </w:rPr>
        <w:t>项目联系人：</w:t>
      </w:r>
      <w:r>
        <w:rPr>
          <w:rFonts w:hint="eastAsia" w:ascii="宋体" w:hAnsi="宋体"/>
          <w:sz w:val="24"/>
          <w:highlight w:val="none"/>
          <w:lang w:val="en-US" w:eastAsia="zh-CN"/>
        </w:rPr>
        <w:t>张工</w:t>
      </w:r>
    </w:p>
    <w:p w14:paraId="230A175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bCs/>
          <w:color w:val="auto"/>
          <w:sz w:val="24"/>
          <w:szCs w:val="24"/>
          <w:highlight w:val="none"/>
          <w:lang w:eastAsia="zh-CN"/>
        </w:rPr>
      </w:pPr>
      <w:r>
        <w:rPr>
          <w:rFonts w:ascii="宋体" w:hAnsi="宋体"/>
          <w:sz w:val="24"/>
          <w:highlight w:val="none"/>
        </w:rPr>
        <w:t>联系方式：</w:t>
      </w:r>
      <w:bookmarkStart w:id="5" w:name="_Toc328739377"/>
      <w:r>
        <w:rPr>
          <w:rFonts w:hint="eastAsia" w:asciiTheme="minorEastAsia" w:hAnsiTheme="minorEastAsia" w:eastAsiaTheme="minorEastAsia" w:cstheme="minorEastAsia"/>
          <w:bCs/>
          <w:color w:val="auto"/>
          <w:sz w:val="24"/>
          <w:szCs w:val="24"/>
          <w:highlight w:val="none"/>
          <w:lang w:val="en-US" w:eastAsia="zh-CN"/>
        </w:rPr>
        <w:t>18329961702</w:t>
      </w:r>
    </w:p>
    <w:p w14:paraId="6CA14C31">
      <w:pPr>
        <w:adjustRightInd w:val="0"/>
        <w:snapToGrid w:val="0"/>
        <w:spacing w:line="360" w:lineRule="auto"/>
        <w:jc w:val="center"/>
        <w:rPr>
          <w:rFonts w:hint="eastAsia" w:ascii="宋体" w:hAnsi="宋体"/>
          <w:b/>
          <w:bCs/>
          <w:sz w:val="32"/>
          <w:szCs w:val="32"/>
        </w:rPr>
      </w:pPr>
      <w:r>
        <w:rPr>
          <w:rFonts w:ascii="宋体" w:hAnsi="宋体"/>
          <w:sz w:val="24"/>
          <w:szCs w:val="24"/>
        </w:rPr>
        <w:br w:type="page"/>
      </w:r>
      <w:bookmarkStart w:id="6" w:name="_Toc162021006"/>
      <w:r>
        <w:rPr>
          <w:rFonts w:hint="eastAsia" w:ascii="宋体" w:hAnsi="宋体"/>
          <w:b/>
          <w:bCs/>
          <w:sz w:val="32"/>
          <w:szCs w:val="32"/>
        </w:rPr>
        <w:t xml:space="preserve">第二部分 </w:t>
      </w:r>
      <w:r>
        <w:rPr>
          <w:rFonts w:ascii="宋体" w:hAnsi="宋体"/>
          <w:b/>
          <w:bCs/>
          <w:sz w:val="32"/>
          <w:szCs w:val="32"/>
        </w:rPr>
        <w:t xml:space="preserve"> </w:t>
      </w:r>
      <w:r>
        <w:rPr>
          <w:rFonts w:hint="eastAsia" w:ascii="宋体" w:hAnsi="宋体"/>
          <w:b/>
          <w:bCs/>
          <w:sz w:val="32"/>
          <w:szCs w:val="32"/>
        </w:rPr>
        <w:t>供应商须知</w:t>
      </w:r>
      <w:bookmarkEnd w:id="5"/>
      <w:bookmarkEnd w:id="6"/>
    </w:p>
    <w:p w14:paraId="6ACF85AD">
      <w:pPr>
        <w:tabs>
          <w:tab w:val="left" w:pos="240"/>
        </w:tabs>
        <w:spacing w:line="480" w:lineRule="exact"/>
        <w:ind w:left="-120" w:leftChars="-57"/>
        <w:jc w:val="center"/>
        <w:rPr>
          <w:rFonts w:hint="eastAsia" w:ascii="宋体" w:hAnsi="宋体"/>
          <w:b/>
          <w:sz w:val="30"/>
          <w:szCs w:val="30"/>
        </w:rPr>
      </w:pPr>
      <w:r>
        <w:rPr>
          <w:rFonts w:hint="eastAsia" w:ascii="宋体" w:hAnsi="宋体"/>
          <w:b/>
          <w:sz w:val="30"/>
          <w:szCs w:val="30"/>
        </w:rPr>
        <w:t>供应商须知前附表</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512"/>
        <w:gridCol w:w="6059"/>
      </w:tblGrid>
      <w:tr w14:paraId="095D7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5" w:type="dxa"/>
            <w:noWrap w:val="0"/>
            <w:vAlign w:val="center"/>
          </w:tcPr>
          <w:p w14:paraId="45F6E151">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Ansi="宋体"/>
                <w:sz w:val="24"/>
                <w:szCs w:val="24"/>
              </w:rPr>
            </w:pPr>
            <w:r>
              <w:rPr>
                <w:rFonts w:hint="eastAsia" w:hAnsi="宋体"/>
                <w:sz w:val="24"/>
                <w:szCs w:val="24"/>
              </w:rPr>
              <w:t>序号</w:t>
            </w:r>
          </w:p>
        </w:tc>
        <w:tc>
          <w:tcPr>
            <w:tcW w:w="2512" w:type="dxa"/>
            <w:noWrap w:val="0"/>
            <w:vAlign w:val="center"/>
          </w:tcPr>
          <w:p w14:paraId="32AF8D0B">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Ansi="宋体"/>
                <w:sz w:val="24"/>
                <w:szCs w:val="24"/>
              </w:rPr>
            </w:pPr>
            <w:r>
              <w:rPr>
                <w:rFonts w:hint="eastAsia" w:hAnsi="宋体"/>
                <w:sz w:val="24"/>
                <w:szCs w:val="24"/>
              </w:rPr>
              <w:t>名称</w:t>
            </w:r>
          </w:p>
        </w:tc>
        <w:tc>
          <w:tcPr>
            <w:tcW w:w="6059" w:type="dxa"/>
            <w:noWrap w:val="0"/>
            <w:vAlign w:val="center"/>
          </w:tcPr>
          <w:p w14:paraId="20FFC195">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Ansi="宋体" w:cs="MingLiU_HKSCS"/>
                <w:sz w:val="24"/>
                <w:szCs w:val="24"/>
              </w:rPr>
            </w:pPr>
            <w:r>
              <w:rPr>
                <w:rFonts w:hint="eastAsia" w:hAnsi="宋体"/>
                <w:sz w:val="24"/>
                <w:szCs w:val="24"/>
              </w:rPr>
              <w:t>具体内容和要求</w:t>
            </w:r>
          </w:p>
        </w:tc>
      </w:tr>
      <w:tr w14:paraId="38A2F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5" w:type="dxa"/>
            <w:vMerge w:val="restart"/>
            <w:noWrap w:val="0"/>
            <w:vAlign w:val="center"/>
          </w:tcPr>
          <w:p w14:paraId="586F91BE">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Ansi="宋体"/>
                <w:sz w:val="24"/>
                <w:szCs w:val="24"/>
              </w:rPr>
            </w:pPr>
            <w:r>
              <w:rPr>
                <w:rFonts w:hAnsi="宋体"/>
                <w:sz w:val="24"/>
                <w:szCs w:val="24"/>
              </w:rPr>
              <w:t>1</w:t>
            </w:r>
          </w:p>
        </w:tc>
        <w:tc>
          <w:tcPr>
            <w:tcW w:w="2512" w:type="dxa"/>
            <w:noWrap w:val="0"/>
            <w:vAlign w:val="center"/>
          </w:tcPr>
          <w:p w14:paraId="7475C90F">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Ansi="宋体"/>
                <w:sz w:val="24"/>
                <w:szCs w:val="24"/>
              </w:rPr>
            </w:pPr>
            <w:r>
              <w:rPr>
                <w:rFonts w:hint="eastAsia" w:hAnsi="宋体"/>
                <w:sz w:val="24"/>
                <w:szCs w:val="24"/>
              </w:rPr>
              <w:t>采购项目</w:t>
            </w:r>
          </w:p>
        </w:tc>
        <w:tc>
          <w:tcPr>
            <w:tcW w:w="6059" w:type="dxa"/>
            <w:noWrap w:val="0"/>
            <w:vAlign w:val="center"/>
          </w:tcPr>
          <w:p w14:paraId="10728469">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int="eastAsia" w:hAnsi="宋体" w:eastAsia="宋体" w:cs="MingLiU_HKSCS"/>
                <w:sz w:val="24"/>
                <w:szCs w:val="24"/>
                <w:lang w:eastAsia="zh-CN"/>
              </w:rPr>
            </w:pPr>
            <w:r>
              <w:rPr>
                <w:rFonts w:hint="eastAsia" w:hAnsi="宋体" w:cs="MingLiU_HKSCS"/>
                <w:sz w:val="24"/>
                <w:szCs w:val="24"/>
                <w:lang w:eastAsia="zh-CN"/>
              </w:rPr>
              <w:t>西安市青龙寺景区樱花季景观绿化维护提升项目</w:t>
            </w:r>
          </w:p>
        </w:tc>
      </w:tr>
      <w:tr w14:paraId="26B24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5" w:type="dxa"/>
            <w:vMerge w:val="continue"/>
            <w:noWrap w:val="0"/>
            <w:vAlign w:val="center"/>
          </w:tcPr>
          <w:p w14:paraId="1EEC62F4">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int="eastAsia" w:hAnsi="宋体"/>
                <w:sz w:val="24"/>
                <w:szCs w:val="24"/>
              </w:rPr>
            </w:pPr>
          </w:p>
        </w:tc>
        <w:tc>
          <w:tcPr>
            <w:tcW w:w="2512" w:type="dxa"/>
            <w:noWrap w:val="0"/>
            <w:vAlign w:val="center"/>
          </w:tcPr>
          <w:p w14:paraId="7F1940BE">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Ansi="宋体"/>
                <w:sz w:val="24"/>
                <w:szCs w:val="24"/>
              </w:rPr>
            </w:pPr>
            <w:r>
              <w:rPr>
                <w:rFonts w:hint="eastAsia" w:hAnsi="宋体"/>
                <w:sz w:val="24"/>
                <w:szCs w:val="24"/>
              </w:rPr>
              <w:t>采购预算</w:t>
            </w:r>
          </w:p>
        </w:tc>
        <w:tc>
          <w:tcPr>
            <w:tcW w:w="6059" w:type="dxa"/>
            <w:noWrap w:val="0"/>
            <w:vAlign w:val="center"/>
          </w:tcPr>
          <w:p w14:paraId="53AD2350">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int="eastAsia" w:hAnsi="宋体" w:eastAsia="宋体"/>
                <w:sz w:val="24"/>
                <w:szCs w:val="24"/>
                <w:lang w:eastAsia="zh-CN"/>
              </w:rPr>
            </w:pPr>
            <w:r>
              <w:rPr>
                <w:rFonts w:hint="eastAsia" w:hAnsi="宋体"/>
                <w:sz w:val="24"/>
                <w:szCs w:val="24"/>
                <w:lang w:val="en-US" w:eastAsia="zh-CN"/>
              </w:rPr>
              <w:t>200,000.00</w:t>
            </w:r>
            <w:r>
              <w:rPr>
                <w:rFonts w:hint="eastAsia" w:hAnsi="宋体" w:eastAsia="宋体"/>
                <w:sz w:val="24"/>
                <w:szCs w:val="24"/>
                <w:lang w:eastAsia="zh-CN"/>
              </w:rPr>
              <w:t>元</w:t>
            </w:r>
          </w:p>
        </w:tc>
      </w:tr>
      <w:tr w14:paraId="5C8DA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5" w:type="dxa"/>
            <w:vMerge w:val="continue"/>
            <w:noWrap w:val="0"/>
            <w:vAlign w:val="center"/>
          </w:tcPr>
          <w:p w14:paraId="486E8299">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int="eastAsia" w:hAnsi="宋体"/>
                <w:sz w:val="24"/>
                <w:szCs w:val="24"/>
              </w:rPr>
            </w:pPr>
          </w:p>
        </w:tc>
        <w:tc>
          <w:tcPr>
            <w:tcW w:w="2512" w:type="dxa"/>
            <w:noWrap w:val="0"/>
            <w:vAlign w:val="center"/>
          </w:tcPr>
          <w:p w14:paraId="330C1107">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int="eastAsia" w:hAnsi="宋体" w:eastAsia="宋体"/>
                <w:sz w:val="24"/>
                <w:szCs w:val="24"/>
                <w:highlight w:val="none"/>
                <w:lang w:val="en-US" w:eastAsia="zh-CN"/>
              </w:rPr>
            </w:pPr>
            <w:r>
              <w:rPr>
                <w:rFonts w:hint="eastAsia" w:hAnsi="宋体"/>
                <w:sz w:val="24"/>
                <w:szCs w:val="24"/>
                <w:highlight w:val="none"/>
                <w:lang w:val="en-US" w:eastAsia="zh-CN"/>
              </w:rPr>
              <w:t>最高限价</w:t>
            </w:r>
          </w:p>
        </w:tc>
        <w:tc>
          <w:tcPr>
            <w:tcW w:w="6059" w:type="dxa"/>
            <w:noWrap w:val="0"/>
            <w:vAlign w:val="center"/>
          </w:tcPr>
          <w:p w14:paraId="4910AEA8">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int="default" w:hAnsi="宋体"/>
                <w:sz w:val="24"/>
                <w:szCs w:val="24"/>
                <w:highlight w:val="none"/>
                <w:lang w:val="en-US" w:eastAsia="zh-CN"/>
              </w:rPr>
            </w:pPr>
            <w:r>
              <w:rPr>
                <w:rFonts w:hint="eastAsia" w:hAnsi="宋体"/>
                <w:sz w:val="24"/>
                <w:szCs w:val="24"/>
                <w:highlight w:val="none"/>
                <w:lang w:val="en-US" w:eastAsia="zh-CN"/>
              </w:rPr>
              <w:t>200,000.00元</w:t>
            </w:r>
          </w:p>
        </w:tc>
      </w:tr>
      <w:tr w14:paraId="42C4E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5" w:type="dxa"/>
            <w:vMerge w:val="continue"/>
            <w:noWrap w:val="0"/>
            <w:vAlign w:val="center"/>
          </w:tcPr>
          <w:p w14:paraId="5CFCA47E">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int="eastAsia" w:hAnsi="宋体"/>
                <w:sz w:val="24"/>
                <w:szCs w:val="24"/>
              </w:rPr>
            </w:pPr>
          </w:p>
        </w:tc>
        <w:tc>
          <w:tcPr>
            <w:tcW w:w="2512" w:type="dxa"/>
            <w:noWrap w:val="0"/>
            <w:vAlign w:val="center"/>
          </w:tcPr>
          <w:p w14:paraId="3D40D9D1">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Ansi="宋体"/>
                <w:sz w:val="24"/>
                <w:szCs w:val="24"/>
              </w:rPr>
            </w:pPr>
            <w:r>
              <w:rPr>
                <w:rFonts w:hint="eastAsia" w:hAnsi="宋体"/>
                <w:sz w:val="24"/>
                <w:szCs w:val="24"/>
              </w:rPr>
              <w:t>公告媒体</w:t>
            </w:r>
          </w:p>
        </w:tc>
        <w:tc>
          <w:tcPr>
            <w:tcW w:w="6059" w:type="dxa"/>
            <w:noWrap w:val="0"/>
            <w:vAlign w:val="center"/>
          </w:tcPr>
          <w:p w14:paraId="2C6BE9D8">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int="eastAsia" w:hAnsi="宋体" w:eastAsia="宋体" w:cs="MingLiU_HKSCS"/>
                <w:sz w:val="24"/>
                <w:szCs w:val="24"/>
                <w:lang w:eastAsia="zh-CN"/>
              </w:rPr>
            </w:pPr>
            <w:r>
              <w:rPr>
                <w:rFonts w:hint="eastAsia" w:hAnsi="宋体"/>
                <w:sz w:val="24"/>
                <w:highlight w:val="none"/>
                <w:lang w:eastAsia="zh-CN"/>
              </w:rPr>
              <w:t>陕西省政府采购网（www.ccgp-shaanxi.gov.cn）</w:t>
            </w:r>
          </w:p>
        </w:tc>
      </w:tr>
      <w:tr w14:paraId="0BA4F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5" w:type="dxa"/>
            <w:noWrap w:val="0"/>
            <w:vAlign w:val="center"/>
          </w:tcPr>
          <w:p w14:paraId="31FE801E">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Ansi="宋体"/>
                <w:sz w:val="24"/>
                <w:szCs w:val="24"/>
              </w:rPr>
            </w:pPr>
            <w:r>
              <w:rPr>
                <w:rFonts w:hAnsi="宋体"/>
                <w:sz w:val="24"/>
                <w:szCs w:val="24"/>
              </w:rPr>
              <w:t>2</w:t>
            </w:r>
          </w:p>
        </w:tc>
        <w:tc>
          <w:tcPr>
            <w:tcW w:w="2512" w:type="dxa"/>
            <w:noWrap w:val="0"/>
            <w:vAlign w:val="center"/>
          </w:tcPr>
          <w:p w14:paraId="05BA9387">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Ansi="宋体"/>
                <w:sz w:val="24"/>
                <w:szCs w:val="24"/>
              </w:rPr>
            </w:pPr>
            <w:r>
              <w:rPr>
                <w:rFonts w:hint="eastAsia" w:hAnsi="宋体"/>
                <w:sz w:val="24"/>
                <w:szCs w:val="24"/>
              </w:rPr>
              <w:t>采购人</w:t>
            </w:r>
          </w:p>
        </w:tc>
        <w:tc>
          <w:tcPr>
            <w:tcW w:w="6059" w:type="dxa"/>
            <w:noWrap w:val="0"/>
            <w:vAlign w:val="center"/>
          </w:tcPr>
          <w:p w14:paraId="0292040E">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int="eastAsia" w:hAnsi="宋体" w:eastAsia="宋体"/>
                <w:sz w:val="24"/>
                <w:szCs w:val="24"/>
                <w:lang w:eastAsia="zh-CN"/>
              </w:rPr>
            </w:pPr>
            <w:r>
              <w:rPr>
                <w:rFonts w:hint="eastAsia" w:hAnsi="宋体"/>
                <w:sz w:val="24"/>
                <w:szCs w:val="24"/>
              </w:rPr>
              <w:t>名称：</w:t>
            </w:r>
            <w:r>
              <w:rPr>
                <w:rFonts w:hint="eastAsia" w:hAnsi="宋体"/>
                <w:sz w:val="24"/>
                <w:szCs w:val="24"/>
                <w:lang w:eastAsia="zh-CN"/>
              </w:rPr>
              <w:t>西安市青龙寺遗址保管所</w:t>
            </w:r>
          </w:p>
          <w:p w14:paraId="7C664F4E">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int="eastAsia" w:hAnsi="宋体" w:eastAsia="宋体"/>
                <w:sz w:val="24"/>
                <w:szCs w:val="24"/>
                <w:lang w:eastAsia="zh-CN"/>
              </w:rPr>
            </w:pPr>
            <w:r>
              <w:rPr>
                <w:rFonts w:hint="eastAsia" w:hAnsi="宋体"/>
                <w:sz w:val="24"/>
                <w:szCs w:val="24"/>
              </w:rPr>
              <w:t xml:space="preserve">地址： </w:t>
            </w:r>
            <w:r>
              <w:rPr>
                <w:rFonts w:hint="eastAsia" w:hAnsi="宋体"/>
                <w:sz w:val="24"/>
                <w:szCs w:val="24"/>
                <w:lang w:eastAsia="zh-CN"/>
              </w:rPr>
              <w:t>西影路铁炉庙村北1号</w:t>
            </w:r>
          </w:p>
          <w:p w14:paraId="62436F70">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int="eastAsia" w:hAnsi="宋体" w:eastAsia="宋体"/>
                <w:sz w:val="24"/>
                <w:szCs w:val="24"/>
                <w:lang w:eastAsia="zh-CN"/>
              </w:rPr>
            </w:pPr>
            <w:r>
              <w:rPr>
                <w:rFonts w:hint="eastAsia" w:hAnsi="宋体" w:eastAsia="宋体"/>
                <w:sz w:val="24"/>
                <w:szCs w:val="24"/>
                <w:lang w:eastAsia="zh-CN"/>
              </w:rPr>
              <w:t>联系人：李老师</w:t>
            </w:r>
          </w:p>
          <w:p w14:paraId="144C26C3">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int="eastAsia" w:hAnsi="宋体" w:eastAsia="宋体"/>
                <w:sz w:val="24"/>
                <w:szCs w:val="24"/>
                <w:lang w:eastAsia="zh-CN"/>
              </w:rPr>
            </w:pPr>
            <w:r>
              <w:rPr>
                <w:rFonts w:hint="eastAsia" w:hAnsi="宋体" w:eastAsia="宋体"/>
                <w:sz w:val="24"/>
                <w:szCs w:val="24"/>
                <w:lang w:eastAsia="zh-CN"/>
              </w:rPr>
              <w:t>电话：029-85514249</w:t>
            </w:r>
          </w:p>
        </w:tc>
      </w:tr>
      <w:tr w14:paraId="4946B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5" w:type="dxa"/>
            <w:noWrap w:val="0"/>
            <w:vAlign w:val="center"/>
          </w:tcPr>
          <w:p w14:paraId="55531456">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Ansi="宋体"/>
                <w:sz w:val="24"/>
                <w:szCs w:val="24"/>
              </w:rPr>
            </w:pPr>
            <w:r>
              <w:rPr>
                <w:rFonts w:hAnsi="宋体"/>
                <w:sz w:val="24"/>
                <w:szCs w:val="24"/>
              </w:rPr>
              <w:t>3</w:t>
            </w:r>
          </w:p>
        </w:tc>
        <w:tc>
          <w:tcPr>
            <w:tcW w:w="2512" w:type="dxa"/>
            <w:noWrap w:val="0"/>
            <w:vAlign w:val="center"/>
          </w:tcPr>
          <w:p w14:paraId="137383F5">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Ansi="宋体"/>
                <w:sz w:val="24"/>
                <w:szCs w:val="24"/>
              </w:rPr>
            </w:pPr>
            <w:r>
              <w:rPr>
                <w:rFonts w:hint="eastAsia" w:hAnsi="宋体"/>
                <w:sz w:val="24"/>
                <w:szCs w:val="24"/>
              </w:rPr>
              <w:t>采购代理机构</w:t>
            </w:r>
          </w:p>
        </w:tc>
        <w:tc>
          <w:tcPr>
            <w:tcW w:w="6059" w:type="dxa"/>
            <w:noWrap w:val="0"/>
            <w:vAlign w:val="center"/>
          </w:tcPr>
          <w:p w14:paraId="2A4173BD">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int="eastAsia" w:hAnsi="宋体" w:eastAsia="宋体"/>
                <w:sz w:val="24"/>
                <w:szCs w:val="24"/>
                <w:lang w:eastAsia="zh-CN"/>
              </w:rPr>
            </w:pPr>
            <w:r>
              <w:rPr>
                <w:rFonts w:hint="eastAsia" w:hAnsi="宋体"/>
                <w:sz w:val="24"/>
                <w:szCs w:val="24"/>
              </w:rPr>
              <w:t>名称：</w:t>
            </w:r>
            <w:r>
              <w:rPr>
                <w:rFonts w:hint="eastAsia" w:hAnsi="宋体"/>
                <w:sz w:val="24"/>
                <w:szCs w:val="24"/>
                <w:lang w:eastAsia="zh-CN"/>
              </w:rPr>
              <w:t>致君项目管理有限公司</w:t>
            </w:r>
          </w:p>
          <w:p w14:paraId="2FB4DD6C">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int="eastAsia" w:hAnsi="宋体" w:eastAsia="宋体"/>
                <w:sz w:val="24"/>
                <w:szCs w:val="24"/>
                <w:lang w:eastAsia="zh-CN"/>
              </w:rPr>
            </w:pPr>
            <w:r>
              <w:rPr>
                <w:rFonts w:hint="eastAsia" w:hAnsi="宋体"/>
                <w:sz w:val="24"/>
                <w:szCs w:val="24"/>
              </w:rPr>
              <w:t>地址：</w:t>
            </w:r>
            <w:r>
              <w:rPr>
                <w:rFonts w:hint="eastAsia" w:hAnsi="宋体" w:cs="宋体"/>
                <w:kern w:val="0"/>
                <w:sz w:val="24"/>
                <w:szCs w:val="24"/>
                <w:lang w:eastAsia="zh-CN"/>
              </w:rPr>
              <w:t>西安经济技术开发区文景广场C座18层</w:t>
            </w:r>
          </w:p>
          <w:p w14:paraId="484E7C63">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int="eastAsia" w:hAnsi="宋体" w:eastAsia="宋体"/>
                <w:sz w:val="24"/>
                <w:szCs w:val="24"/>
                <w:highlight w:val="none"/>
                <w:lang w:eastAsia="zh-CN"/>
              </w:rPr>
            </w:pPr>
            <w:r>
              <w:rPr>
                <w:rFonts w:hint="eastAsia" w:hAnsi="宋体"/>
                <w:sz w:val="24"/>
                <w:szCs w:val="24"/>
                <w:highlight w:val="none"/>
              </w:rPr>
              <w:t>电话：</w:t>
            </w:r>
            <w:r>
              <w:rPr>
                <w:rFonts w:hint="eastAsia" w:cs="Helvetica"/>
                <w:color w:val="333333"/>
                <w:sz w:val="24"/>
                <w:szCs w:val="24"/>
                <w:highlight w:val="none"/>
                <w:lang w:val="en-US" w:eastAsia="zh-CN"/>
              </w:rPr>
              <w:t>18329961702</w:t>
            </w:r>
          </w:p>
          <w:p w14:paraId="77FC594D">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int="eastAsia" w:hAnsi="宋体" w:eastAsia="宋体"/>
                <w:sz w:val="24"/>
                <w:szCs w:val="24"/>
                <w:lang w:eastAsia="zh-CN"/>
              </w:rPr>
            </w:pPr>
            <w:r>
              <w:rPr>
                <w:rFonts w:hint="eastAsia" w:hAnsi="宋体"/>
                <w:sz w:val="24"/>
                <w:szCs w:val="24"/>
                <w:highlight w:val="none"/>
              </w:rPr>
              <w:t>联系人：</w:t>
            </w:r>
            <w:r>
              <w:rPr>
                <w:rFonts w:hint="eastAsia" w:hAnsi="宋体" w:cs="Times New Roman"/>
                <w:sz w:val="24"/>
                <w:highlight w:val="none"/>
                <w:lang w:val="en-US" w:eastAsia="zh-CN"/>
              </w:rPr>
              <w:t>张工</w:t>
            </w:r>
          </w:p>
        </w:tc>
      </w:tr>
      <w:tr w14:paraId="7E48C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5" w:type="dxa"/>
            <w:noWrap w:val="0"/>
            <w:vAlign w:val="center"/>
          </w:tcPr>
          <w:p w14:paraId="7B667029">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Ansi="宋体"/>
                <w:sz w:val="24"/>
                <w:szCs w:val="24"/>
              </w:rPr>
            </w:pPr>
            <w:r>
              <w:rPr>
                <w:rFonts w:hAnsi="宋体"/>
                <w:sz w:val="24"/>
                <w:szCs w:val="24"/>
              </w:rPr>
              <w:t>4</w:t>
            </w:r>
          </w:p>
        </w:tc>
        <w:tc>
          <w:tcPr>
            <w:tcW w:w="2512" w:type="dxa"/>
            <w:noWrap w:val="0"/>
            <w:vAlign w:val="center"/>
          </w:tcPr>
          <w:p w14:paraId="46398C41">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Ansi="宋体"/>
                <w:sz w:val="24"/>
                <w:szCs w:val="24"/>
              </w:rPr>
            </w:pPr>
            <w:r>
              <w:rPr>
                <w:rFonts w:hint="eastAsia" w:hAnsi="宋体"/>
                <w:sz w:val="24"/>
                <w:szCs w:val="24"/>
              </w:rPr>
              <w:t>供应商资格条件</w:t>
            </w:r>
          </w:p>
        </w:tc>
        <w:tc>
          <w:tcPr>
            <w:tcW w:w="6059" w:type="dxa"/>
            <w:noWrap w:val="0"/>
            <w:vAlign w:val="center"/>
          </w:tcPr>
          <w:p w14:paraId="7DD083BD">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int="eastAsia" w:hAnsi="宋体"/>
                <w:sz w:val="24"/>
                <w:szCs w:val="24"/>
              </w:rPr>
            </w:pPr>
            <w:r>
              <w:rPr>
                <w:rFonts w:hint="eastAsia" w:hAnsi="宋体"/>
                <w:sz w:val="24"/>
                <w:szCs w:val="24"/>
              </w:rPr>
              <w:t>1.满足《中华人民共和国政府采购法》第二十二条规定</w:t>
            </w:r>
          </w:p>
          <w:p w14:paraId="4F1C1F9B">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int="eastAsia" w:hAnsi="宋体"/>
                <w:sz w:val="24"/>
                <w:szCs w:val="24"/>
              </w:rPr>
            </w:pPr>
            <w:r>
              <w:rPr>
                <w:rFonts w:hint="eastAsia" w:hAnsi="宋体"/>
                <w:sz w:val="24"/>
                <w:szCs w:val="24"/>
              </w:rPr>
              <w:t>2.本项目的特定资格要求：</w:t>
            </w:r>
          </w:p>
          <w:p w14:paraId="1F5BD8B6">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int="eastAsia" w:ascii="宋体" w:hAnsi="宋体" w:eastAsia="宋体"/>
                <w:b w:val="0"/>
                <w:bCs/>
                <w:sz w:val="24"/>
                <w:lang w:eastAsia="zh-CN"/>
              </w:rPr>
            </w:pPr>
            <w:r>
              <w:rPr>
                <w:rFonts w:hint="eastAsia" w:ascii="宋体" w:hAnsi="宋体" w:eastAsia="宋体"/>
                <w:b w:val="0"/>
                <w:bCs/>
                <w:sz w:val="24"/>
                <w:lang w:eastAsia="zh-CN"/>
              </w:rPr>
              <w:t>（1）营业执照：供应商须具有独立承担民事责任能力的法人、其他组织或自然人，并出具合法有效的营业执照或事业单位法人证书等国家规定的相关证明，自然人参与的提供其身份证明；</w:t>
            </w:r>
          </w:p>
          <w:p w14:paraId="2014E2A5">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int="eastAsia" w:ascii="宋体" w:hAnsi="宋体" w:eastAsia="宋体"/>
                <w:b w:val="0"/>
                <w:bCs/>
                <w:sz w:val="24"/>
                <w:lang w:eastAsia="zh-CN"/>
              </w:rPr>
            </w:pPr>
            <w:r>
              <w:rPr>
                <w:rFonts w:hint="eastAsia" w:ascii="宋体" w:hAnsi="宋体" w:eastAsia="宋体"/>
                <w:b w:val="0"/>
                <w:bCs/>
                <w:sz w:val="24"/>
                <w:lang w:eastAsia="zh-CN"/>
              </w:rPr>
              <w:t>（2）法定代表人身份证明或法定代表人授权委托书：供应商法定代表人直接参与磋商的，须出具法定代表人身份证明（附法定代表人身份证复印件）；法定代表人授权代表参与磋商的，须出具法定代表人授权委托书（附法定代表人及授权代表身份证复印件)；</w:t>
            </w:r>
          </w:p>
          <w:p w14:paraId="3F034193">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int="eastAsia" w:ascii="宋体" w:hAnsi="宋体" w:eastAsia="宋体"/>
                <w:b w:val="0"/>
                <w:bCs/>
                <w:sz w:val="24"/>
                <w:lang w:eastAsia="zh-CN"/>
              </w:rPr>
            </w:pPr>
            <w:r>
              <w:rPr>
                <w:rFonts w:hint="eastAsia" w:ascii="宋体" w:hAnsi="宋体" w:eastAsia="宋体"/>
                <w:b w:val="0"/>
                <w:bCs/>
                <w:sz w:val="24"/>
                <w:lang w:eastAsia="zh-CN"/>
              </w:rPr>
              <w:t>（3）财务状况报告：供应商须提供2025年度的财务审计报告（至少包括资产负债表、利润表、现金流量表，成立时间至提交磋商响应文件截止时间不足一年的可提供成立后任意时段的资产负债表、利润表、现金流量表），或其基本存款账户开户银行出具的资信证明及基本存款账户开户许可证（或存款信息）；</w:t>
            </w:r>
          </w:p>
          <w:p w14:paraId="71B44DDD">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int="eastAsia" w:ascii="宋体" w:hAnsi="宋体" w:eastAsia="宋体"/>
                <w:b w:val="0"/>
                <w:bCs/>
                <w:sz w:val="24"/>
                <w:lang w:eastAsia="zh-CN"/>
              </w:rPr>
            </w:pPr>
            <w:r>
              <w:rPr>
                <w:rFonts w:hint="eastAsia" w:ascii="宋体" w:hAnsi="宋体" w:eastAsia="宋体"/>
                <w:b w:val="0"/>
                <w:bCs/>
                <w:sz w:val="24"/>
                <w:lang w:eastAsia="zh-CN"/>
              </w:rPr>
              <w:t>（4）税收缴纳证明：供应商须提供磋商截止日前六个月已缴纳的至少一个月的纳税证明或完税证明，依法免税的单位应提供相关证明材料；</w:t>
            </w:r>
          </w:p>
          <w:p w14:paraId="40147AC8">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int="eastAsia" w:ascii="宋体" w:hAnsi="宋体" w:eastAsia="宋体"/>
                <w:b w:val="0"/>
                <w:bCs/>
                <w:sz w:val="24"/>
                <w:lang w:eastAsia="zh-CN"/>
              </w:rPr>
            </w:pPr>
            <w:r>
              <w:rPr>
                <w:rFonts w:hint="eastAsia" w:ascii="宋体" w:hAnsi="宋体" w:eastAsia="宋体"/>
                <w:b w:val="0"/>
                <w:bCs/>
                <w:sz w:val="24"/>
                <w:lang w:eastAsia="zh-CN"/>
              </w:rPr>
              <w:t>（5）社会保障资金缴纳证明：供应商须提供磋商截止日前六个月已缴纳的至少一个月的社会保障资金缴存单据或社保机构开具的社会保险参保缴费情况证明，依法不需要缴纳社会保障资金的单位应提供相关证明材料；</w:t>
            </w:r>
          </w:p>
          <w:p w14:paraId="317DC27D">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int="eastAsia" w:ascii="宋体" w:hAnsi="宋体" w:eastAsia="宋体"/>
                <w:b w:val="0"/>
                <w:bCs/>
                <w:sz w:val="24"/>
                <w:lang w:eastAsia="zh-CN"/>
              </w:rPr>
            </w:pPr>
            <w:r>
              <w:rPr>
                <w:rFonts w:hint="eastAsia" w:ascii="宋体" w:hAnsi="宋体" w:eastAsia="宋体"/>
                <w:b w:val="0"/>
                <w:bCs/>
                <w:sz w:val="24"/>
                <w:lang w:eastAsia="zh-CN"/>
              </w:rPr>
              <w:t>（6）供应商信誉要求：供应商不得为“信用中国”网站（www.creditchina.gov.cn）中列入重大税收违法失信主体的供应商，不得为“中国执行信息公开网”（http://zxgk.court.gov.cn）网站被列为失信被执行人，不得为“中国政府采购网”（www.ccgp.gov.cn）政府采购严重违法失信行为记录名单中被财政部门禁止参加政府采购活动的供应商（提供相关网站查询截图或承诺书）；</w:t>
            </w:r>
          </w:p>
          <w:p w14:paraId="6891B2B6">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int="eastAsia" w:ascii="宋体" w:hAnsi="宋体" w:eastAsia="宋体"/>
                <w:b w:val="0"/>
                <w:bCs/>
                <w:sz w:val="24"/>
                <w:lang w:eastAsia="zh-CN"/>
              </w:rPr>
            </w:pPr>
            <w:r>
              <w:rPr>
                <w:rFonts w:hint="eastAsia" w:ascii="宋体" w:hAnsi="宋体" w:eastAsia="宋体"/>
                <w:b w:val="0"/>
                <w:bCs/>
                <w:sz w:val="24"/>
                <w:lang w:eastAsia="zh-CN"/>
              </w:rPr>
              <w:t>（7）关联关系：单位负责人为同一人或者存在直接控股、管理关系的不同供应商，不得参加同一合同项下的政府采购活动（提供承诺书）；</w:t>
            </w:r>
          </w:p>
          <w:p w14:paraId="6D9865DA">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int="eastAsia" w:ascii="宋体" w:hAnsi="宋体" w:eastAsia="宋体"/>
                <w:b w:val="0"/>
                <w:bCs/>
                <w:sz w:val="24"/>
                <w:lang w:eastAsia="zh-CN"/>
              </w:rPr>
            </w:pPr>
            <w:r>
              <w:rPr>
                <w:rFonts w:hint="eastAsia" w:ascii="宋体" w:hAnsi="宋体" w:eastAsia="宋体"/>
                <w:b w:val="0"/>
                <w:bCs/>
                <w:sz w:val="24"/>
                <w:lang w:eastAsia="zh-CN"/>
              </w:rPr>
              <w:t>（8）书面声明：供应商参加政府采购活动前三年内，在经营活动中没有重大违法记录的书面声明（提供承诺书）；</w:t>
            </w:r>
          </w:p>
          <w:p w14:paraId="31F79EAB">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int="eastAsia" w:ascii="宋体" w:hAnsi="宋体" w:eastAsia="宋体"/>
                <w:b w:val="0"/>
                <w:bCs/>
                <w:sz w:val="24"/>
                <w:lang w:eastAsia="zh-CN"/>
              </w:rPr>
            </w:pPr>
            <w:r>
              <w:rPr>
                <w:rFonts w:hint="eastAsia" w:ascii="宋体" w:hAnsi="宋体" w:eastAsia="宋体"/>
                <w:b w:val="0"/>
                <w:bCs/>
                <w:sz w:val="24"/>
                <w:lang w:eastAsia="zh-CN"/>
              </w:rPr>
              <w:t>（9）承诺书：供应商须提供具有履行合同所必需的设备和专业技术能力的承诺（提供承诺书）</w:t>
            </w:r>
          </w:p>
          <w:p w14:paraId="7ADBD17A">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int="eastAsia" w:ascii="宋体" w:hAnsi="宋体" w:eastAsia="宋体"/>
                <w:b/>
                <w:sz w:val="24"/>
                <w:lang w:eastAsia="zh-CN"/>
              </w:rPr>
            </w:pPr>
            <w:r>
              <w:rPr>
                <w:rFonts w:hint="eastAsia" w:ascii="宋体" w:hAnsi="宋体" w:eastAsia="宋体"/>
                <w:b w:val="0"/>
                <w:bCs/>
                <w:sz w:val="24"/>
                <w:lang w:eastAsia="zh-CN"/>
              </w:rPr>
              <w:t>（10）非联合体承诺书：本项目不接受联合体磋商（提供承诺书）。</w:t>
            </w:r>
          </w:p>
        </w:tc>
      </w:tr>
      <w:tr w14:paraId="57B67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5" w:type="dxa"/>
            <w:noWrap w:val="0"/>
            <w:vAlign w:val="center"/>
          </w:tcPr>
          <w:p w14:paraId="23421CBE">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Ansi="宋体"/>
                <w:sz w:val="24"/>
                <w:szCs w:val="24"/>
              </w:rPr>
            </w:pPr>
            <w:r>
              <w:rPr>
                <w:rFonts w:hint="eastAsia" w:hAnsi="宋体"/>
                <w:sz w:val="24"/>
                <w:szCs w:val="24"/>
              </w:rPr>
              <w:t>5</w:t>
            </w:r>
          </w:p>
        </w:tc>
        <w:tc>
          <w:tcPr>
            <w:tcW w:w="2512" w:type="dxa"/>
            <w:noWrap w:val="0"/>
            <w:vAlign w:val="center"/>
          </w:tcPr>
          <w:p w14:paraId="55F50B82">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int="eastAsia" w:hAnsi="宋体"/>
                <w:sz w:val="24"/>
                <w:szCs w:val="24"/>
              </w:rPr>
            </w:pPr>
            <w:r>
              <w:rPr>
                <w:rFonts w:hint="eastAsia" w:hAnsi="宋体"/>
                <w:sz w:val="24"/>
                <w:szCs w:val="24"/>
              </w:rPr>
              <w:t>本项目</w:t>
            </w:r>
            <w:r>
              <w:rPr>
                <w:rFonts w:hAnsi="宋体"/>
                <w:sz w:val="24"/>
                <w:szCs w:val="24"/>
              </w:rPr>
              <w:t>是否接受联合体</w:t>
            </w:r>
            <w:r>
              <w:rPr>
                <w:rFonts w:hint="eastAsia" w:hAnsi="宋体"/>
                <w:sz w:val="24"/>
                <w:szCs w:val="24"/>
              </w:rPr>
              <w:t>磋商</w:t>
            </w:r>
          </w:p>
        </w:tc>
        <w:tc>
          <w:tcPr>
            <w:tcW w:w="6059" w:type="dxa"/>
            <w:noWrap w:val="0"/>
            <w:vAlign w:val="center"/>
          </w:tcPr>
          <w:p w14:paraId="0B1E14D9">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Ansi="宋体"/>
                <w:sz w:val="24"/>
                <w:szCs w:val="24"/>
              </w:rPr>
            </w:pPr>
            <w:r>
              <w:rPr>
                <w:rFonts w:hint="eastAsia" w:hAnsi="宋体"/>
                <w:sz w:val="24"/>
                <w:szCs w:val="24"/>
              </w:rPr>
              <w:t>否</w:t>
            </w:r>
          </w:p>
        </w:tc>
      </w:tr>
      <w:tr w14:paraId="1938B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5" w:type="dxa"/>
            <w:noWrap w:val="0"/>
            <w:vAlign w:val="center"/>
          </w:tcPr>
          <w:p w14:paraId="61937FAC">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int="eastAsia" w:hAnsi="宋体"/>
                <w:sz w:val="24"/>
                <w:szCs w:val="24"/>
              </w:rPr>
            </w:pPr>
            <w:r>
              <w:rPr>
                <w:rFonts w:hint="eastAsia" w:hAnsi="宋体"/>
                <w:sz w:val="24"/>
                <w:szCs w:val="24"/>
              </w:rPr>
              <w:t>6</w:t>
            </w:r>
          </w:p>
        </w:tc>
        <w:tc>
          <w:tcPr>
            <w:tcW w:w="2512" w:type="dxa"/>
            <w:noWrap w:val="0"/>
            <w:vAlign w:val="center"/>
          </w:tcPr>
          <w:p w14:paraId="574FC714">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int="eastAsia" w:hAnsi="宋体"/>
                <w:sz w:val="24"/>
                <w:szCs w:val="24"/>
              </w:rPr>
            </w:pPr>
            <w:r>
              <w:rPr>
                <w:rFonts w:hint="eastAsia" w:hAnsi="宋体"/>
                <w:sz w:val="24"/>
                <w:szCs w:val="24"/>
              </w:rPr>
              <w:t>响应文件</w:t>
            </w:r>
            <w:r>
              <w:rPr>
                <w:rFonts w:hAnsi="宋体"/>
                <w:sz w:val="24"/>
                <w:szCs w:val="24"/>
              </w:rPr>
              <w:t>有效期</w:t>
            </w:r>
          </w:p>
        </w:tc>
        <w:tc>
          <w:tcPr>
            <w:tcW w:w="6059" w:type="dxa"/>
            <w:noWrap w:val="0"/>
            <w:vAlign w:val="center"/>
          </w:tcPr>
          <w:p w14:paraId="026A5533">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int="default" w:hAnsi="宋体" w:eastAsia="宋体"/>
                <w:sz w:val="24"/>
                <w:szCs w:val="24"/>
                <w:lang w:val="en-US" w:eastAsia="zh-CN"/>
              </w:rPr>
            </w:pPr>
            <w:r>
              <w:rPr>
                <w:rFonts w:hint="default" w:hAnsi="宋体" w:eastAsia="宋体"/>
                <w:sz w:val="24"/>
                <w:szCs w:val="24"/>
                <w:lang w:val="en-US" w:eastAsia="zh-CN"/>
              </w:rPr>
              <w:t>递交磋商响应文件截止之日起90日历天</w:t>
            </w:r>
          </w:p>
        </w:tc>
      </w:tr>
      <w:tr w14:paraId="0AC7D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5" w:type="dxa"/>
            <w:noWrap w:val="0"/>
            <w:vAlign w:val="center"/>
          </w:tcPr>
          <w:p w14:paraId="3A2D4033">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Ansi="宋体"/>
                <w:sz w:val="24"/>
                <w:szCs w:val="24"/>
              </w:rPr>
            </w:pPr>
            <w:r>
              <w:rPr>
                <w:rFonts w:hAnsi="宋体"/>
                <w:sz w:val="24"/>
                <w:szCs w:val="24"/>
              </w:rPr>
              <w:t>7</w:t>
            </w:r>
          </w:p>
        </w:tc>
        <w:tc>
          <w:tcPr>
            <w:tcW w:w="2512" w:type="dxa"/>
            <w:noWrap w:val="0"/>
            <w:vAlign w:val="center"/>
          </w:tcPr>
          <w:p w14:paraId="72C452E4">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Ansi="宋体"/>
                <w:sz w:val="24"/>
                <w:szCs w:val="24"/>
                <w:highlight w:val="none"/>
              </w:rPr>
            </w:pPr>
            <w:r>
              <w:rPr>
                <w:rFonts w:hint="eastAsia" w:hAnsi="宋体"/>
                <w:sz w:val="24"/>
                <w:szCs w:val="24"/>
                <w:highlight w:val="none"/>
              </w:rPr>
              <w:t>现场踏勘</w:t>
            </w:r>
          </w:p>
        </w:tc>
        <w:tc>
          <w:tcPr>
            <w:tcW w:w="6059" w:type="dxa"/>
            <w:noWrap w:val="0"/>
            <w:vAlign w:val="center"/>
          </w:tcPr>
          <w:p w14:paraId="67710A78">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int="default" w:hAnsi="宋体"/>
                <w:sz w:val="24"/>
                <w:szCs w:val="24"/>
                <w:highlight w:val="none"/>
                <w:lang w:val="en-US" w:eastAsia="zh-CN"/>
              </w:rPr>
            </w:pPr>
            <w:r>
              <w:rPr>
                <w:rFonts w:hint="eastAsia" w:hAnsi="宋体"/>
                <w:sz w:val="24"/>
                <w:szCs w:val="24"/>
                <w:highlight w:val="none"/>
                <w:lang w:val="en-US" w:eastAsia="zh-CN"/>
              </w:rPr>
              <w:t>不组织。</w:t>
            </w:r>
          </w:p>
        </w:tc>
      </w:tr>
      <w:tr w14:paraId="38BCC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5" w:type="dxa"/>
            <w:noWrap w:val="0"/>
            <w:vAlign w:val="center"/>
          </w:tcPr>
          <w:p w14:paraId="756FE7F6">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Ansi="宋体"/>
                <w:sz w:val="24"/>
                <w:szCs w:val="24"/>
              </w:rPr>
            </w:pPr>
            <w:r>
              <w:rPr>
                <w:rFonts w:hAnsi="宋体"/>
                <w:sz w:val="24"/>
                <w:szCs w:val="24"/>
              </w:rPr>
              <w:t>8</w:t>
            </w:r>
          </w:p>
        </w:tc>
        <w:tc>
          <w:tcPr>
            <w:tcW w:w="2512" w:type="dxa"/>
            <w:noWrap w:val="0"/>
            <w:vAlign w:val="center"/>
          </w:tcPr>
          <w:p w14:paraId="5BD739A0">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Ansi="宋体"/>
                <w:sz w:val="24"/>
                <w:szCs w:val="24"/>
              </w:rPr>
            </w:pPr>
            <w:r>
              <w:rPr>
                <w:rFonts w:hint="eastAsia" w:hAnsi="宋体"/>
                <w:sz w:val="24"/>
                <w:szCs w:val="24"/>
              </w:rPr>
              <w:t>样品</w:t>
            </w:r>
          </w:p>
        </w:tc>
        <w:tc>
          <w:tcPr>
            <w:tcW w:w="6059" w:type="dxa"/>
            <w:noWrap w:val="0"/>
            <w:vAlign w:val="center"/>
          </w:tcPr>
          <w:p w14:paraId="76BD0762">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int="eastAsia" w:hAnsi="宋体"/>
                <w:sz w:val="24"/>
                <w:szCs w:val="24"/>
              </w:rPr>
            </w:pPr>
            <w:r>
              <w:rPr>
                <w:rFonts w:hint="eastAsia" w:hAnsi="宋体"/>
                <w:sz w:val="24"/>
                <w:szCs w:val="24"/>
              </w:rPr>
              <w:t>无</w:t>
            </w:r>
          </w:p>
        </w:tc>
      </w:tr>
      <w:tr w14:paraId="77908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5" w:type="dxa"/>
            <w:noWrap w:val="0"/>
            <w:vAlign w:val="center"/>
          </w:tcPr>
          <w:p w14:paraId="07091AE7">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Ansi="宋体"/>
                <w:sz w:val="24"/>
                <w:szCs w:val="24"/>
              </w:rPr>
            </w:pPr>
            <w:r>
              <w:rPr>
                <w:rFonts w:hAnsi="宋体"/>
                <w:sz w:val="24"/>
                <w:szCs w:val="24"/>
              </w:rPr>
              <w:t>9</w:t>
            </w:r>
          </w:p>
        </w:tc>
        <w:tc>
          <w:tcPr>
            <w:tcW w:w="2512" w:type="dxa"/>
            <w:noWrap w:val="0"/>
            <w:vAlign w:val="center"/>
          </w:tcPr>
          <w:p w14:paraId="46147F4A">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Ansi="宋体"/>
                <w:sz w:val="24"/>
                <w:szCs w:val="24"/>
              </w:rPr>
            </w:pPr>
            <w:r>
              <w:rPr>
                <w:rFonts w:hint="eastAsia" w:hAnsi="宋体"/>
                <w:sz w:val="24"/>
                <w:szCs w:val="24"/>
              </w:rPr>
              <w:t>采购进口产品</w:t>
            </w:r>
          </w:p>
        </w:tc>
        <w:tc>
          <w:tcPr>
            <w:tcW w:w="6059" w:type="dxa"/>
            <w:noWrap w:val="0"/>
            <w:vAlign w:val="center"/>
          </w:tcPr>
          <w:p w14:paraId="1F8B2076">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int="eastAsia" w:hAnsi="宋体"/>
                <w:sz w:val="24"/>
                <w:szCs w:val="24"/>
              </w:rPr>
            </w:pPr>
            <w:r>
              <w:rPr>
                <w:rFonts w:hint="eastAsia" w:hAnsi="宋体"/>
                <w:sz w:val="24"/>
                <w:szCs w:val="24"/>
              </w:rPr>
              <w:t>不涉及</w:t>
            </w:r>
          </w:p>
        </w:tc>
      </w:tr>
      <w:tr w14:paraId="7594C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5" w:type="dxa"/>
            <w:noWrap w:val="0"/>
            <w:vAlign w:val="center"/>
          </w:tcPr>
          <w:p w14:paraId="1BADC22C">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Ansi="宋体"/>
                <w:sz w:val="24"/>
                <w:szCs w:val="24"/>
              </w:rPr>
            </w:pPr>
            <w:r>
              <w:rPr>
                <w:rFonts w:hAnsi="宋体"/>
                <w:sz w:val="24"/>
                <w:szCs w:val="24"/>
              </w:rPr>
              <w:t>1</w:t>
            </w:r>
            <w:r>
              <w:rPr>
                <w:rFonts w:hint="eastAsia" w:hAnsi="宋体"/>
                <w:sz w:val="24"/>
                <w:szCs w:val="24"/>
              </w:rPr>
              <w:t>0</w:t>
            </w:r>
          </w:p>
        </w:tc>
        <w:tc>
          <w:tcPr>
            <w:tcW w:w="2512" w:type="dxa"/>
            <w:noWrap w:val="0"/>
            <w:vAlign w:val="center"/>
          </w:tcPr>
          <w:p w14:paraId="2F510F6E">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Ansi="宋体"/>
                <w:sz w:val="24"/>
                <w:szCs w:val="24"/>
                <w:highlight w:val="none"/>
              </w:rPr>
            </w:pPr>
            <w:r>
              <w:rPr>
                <w:rFonts w:hint="eastAsia" w:hAnsi="宋体"/>
                <w:sz w:val="24"/>
                <w:szCs w:val="24"/>
                <w:highlight w:val="none"/>
              </w:rPr>
              <w:t>递交响应文件的截止时间和地点</w:t>
            </w:r>
          </w:p>
        </w:tc>
        <w:tc>
          <w:tcPr>
            <w:tcW w:w="6059" w:type="dxa"/>
            <w:noWrap w:val="0"/>
            <w:vAlign w:val="center"/>
          </w:tcPr>
          <w:p w14:paraId="3C7F09EF">
            <w:pPr>
              <w:pageBreakBefore w:val="0"/>
              <w:widowControl/>
              <w:kinsoku/>
              <w:wordWrap/>
              <w:overflowPunct/>
              <w:topLinePunct w:val="0"/>
              <w:autoSpaceDE/>
              <w:autoSpaceDN/>
              <w:bidi w:val="0"/>
              <w:adjustRightInd/>
              <w:snapToGrid w:val="0"/>
              <w:spacing w:line="360" w:lineRule="exact"/>
              <w:ind w:firstLine="0" w:firstLineChars="0"/>
              <w:jc w:val="left"/>
              <w:textAlignment w:val="auto"/>
              <w:rPr>
                <w:rFonts w:hint="eastAsia" w:ascii="宋体" w:hAnsi="宋体" w:eastAsia="宋体" w:cs="Helvetica"/>
                <w:kern w:val="0"/>
                <w:sz w:val="24"/>
                <w:szCs w:val="21"/>
                <w:highlight w:val="none"/>
                <w:lang w:eastAsia="zh-CN"/>
              </w:rPr>
            </w:pPr>
            <w:r>
              <w:rPr>
                <w:rFonts w:hint="eastAsia" w:ascii="宋体" w:hAnsi="宋体" w:cs="Helvetica"/>
                <w:kern w:val="0"/>
                <w:sz w:val="24"/>
                <w:szCs w:val="21"/>
                <w:highlight w:val="none"/>
              </w:rPr>
              <w:t>1、时间：</w:t>
            </w:r>
            <w:r>
              <w:rPr>
                <w:rFonts w:hint="eastAsia" w:ascii="宋体" w:hAnsi="宋体" w:cs="Helvetica"/>
                <w:kern w:val="0"/>
                <w:sz w:val="24"/>
                <w:szCs w:val="21"/>
                <w:highlight w:val="none"/>
                <w:lang w:eastAsia="zh-CN"/>
              </w:rPr>
              <w:t>2026年06月22日 14:30:00</w:t>
            </w:r>
          </w:p>
          <w:p w14:paraId="1DFCE3D2">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Ansi="宋体"/>
                <w:sz w:val="24"/>
                <w:szCs w:val="24"/>
                <w:highlight w:val="none"/>
              </w:rPr>
            </w:pPr>
            <w:r>
              <w:rPr>
                <w:rFonts w:hint="eastAsia" w:hAnsi="宋体" w:cs="Helvetica"/>
                <w:kern w:val="0"/>
                <w:sz w:val="24"/>
                <w:highlight w:val="none"/>
              </w:rPr>
              <w:t>2、地点：</w:t>
            </w:r>
            <w:r>
              <w:rPr>
                <w:rFonts w:hint="eastAsia" w:ascii="宋体" w:hAnsi="宋体"/>
                <w:sz w:val="24"/>
                <w:highlight w:val="none"/>
                <w:lang w:eastAsia="zh-CN"/>
              </w:rPr>
              <w:t>致君项目管理有限公司</w:t>
            </w:r>
            <w:r>
              <w:rPr>
                <w:rFonts w:ascii="宋体" w:hAnsi="宋体"/>
                <w:sz w:val="24"/>
                <w:highlight w:val="none"/>
              </w:rPr>
              <w:t>（</w:t>
            </w:r>
            <w:r>
              <w:rPr>
                <w:rFonts w:hint="eastAsia" w:ascii="宋体" w:hAnsi="宋体"/>
                <w:sz w:val="24"/>
                <w:highlight w:val="none"/>
                <w:lang w:eastAsia="zh-CN"/>
              </w:rPr>
              <w:t>西安经济技术开发区文景广场C座18层</w:t>
            </w:r>
            <w:r>
              <w:rPr>
                <w:rFonts w:ascii="宋体" w:hAnsi="宋体"/>
                <w:sz w:val="24"/>
                <w:highlight w:val="none"/>
              </w:rPr>
              <w:t>）会议室</w:t>
            </w:r>
          </w:p>
        </w:tc>
      </w:tr>
      <w:tr w14:paraId="35EFA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5" w:type="dxa"/>
            <w:noWrap w:val="0"/>
            <w:vAlign w:val="center"/>
          </w:tcPr>
          <w:p w14:paraId="44C33833">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Ansi="宋体"/>
                <w:sz w:val="24"/>
                <w:szCs w:val="24"/>
              </w:rPr>
            </w:pPr>
            <w:r>
              <w:rPr>
                <w:rFonts w:hAnsi="宋体"/>
                <w:sz w:val="24"/>
                <w:szCs w:val="24"/>
              </w:rPr>
              <w:t>1</w:t>
            </w:r>
            <w:r>
              <w:rPr>
                <w:rFonts w:hint="eastAsia" w:hAnsi="宋体"/>
                <w:sz w:val="24"/>
                <w:szCs w:val="24"/>
              </w:rPr>
              <w:t>1</w:t>
            </w:r>
          </w:p>
        </w:tc>
        <w:tc>
          <w:tcPr>
            <w:tcW w:w="2512" w:type="dxa"/>
            <w:noWrap w:val="0"/>
            <w:vAlign w:val="center"/>
          </w:tcPr>
          <w:p w14:paraId="2CABB47F">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Ansi="宋体"/>
                <w:sz w:val="24"/>
                <w:szCs w:val="24"/>
                <w:highlight w:val="none"/>
              </w:rPr>
            </w:pPr>
            <w:r>
              <w:rPr>
                <w:rFonts w:hint="eastAsia" w:hAnsi="宋体"/>
                <w:sz w:val="24"/>
                <w:szCs w:val="24"/>
                <w:highlight w:val="none"/>
              </w:rPr>
              <w:t>磋商时间和地点</w:t>
            </w:r>
          </w:p>
        </w:tc>
        <w:tc>
          <w:tcPr>
            <w:tcW w:w="6059" w:type="dxa"/>
            <w:noWrap w:val="0"/>
            <w:vAlign w:val="center"/>
          </w:tcPr>
          <w:p w14:paraId="4E723C21">
            <w:pPr>
              <w:pageBreakBefore w:val="0"/>
              <w:widowControl/>
              <w:kinsoku/>
              <w:wordWrap/>
              <w:overflowPunct/>
              <w:topLinePunct w:val="0"/>
              <w:autoSpaceDE/>
              <w:autoSpaceDN/>
              <w:bidi w:val="0"/>
              <w:adjustRightInd/>
              <w:snapToGrid w:val="0"/>
              <w:spacing w:line="360" w:lineRule="exact"/>
              <w:ind w:firstLine="0" w:firstLineChars="0"/>
              <w:jc w:val="left"/>
              <w:textAlignment w:val="auto"/>
              <w:rPr>
                <w:rFonts w:hint="eastAsia" w:ascii="宋体" w:hAnsi="宋体" w:eastAsia="宋体" w:cs="Helvetica"/>
                <w:kern w:val="0"/>
                <w:sz w:val="24"/>
                <w:szCs w:val="21"/>
                <w:highlight w:val="none"/>
                <w:lang w:eastAsia="zh-CN"/>
              </w:rPr>
            </w:pPr>
            <w:r>
              <w:rPr>
                <w:rFonts w:hint="eastAsia" w:ascii="宋体" w:hAnsi="宋体" w:cs="Helvetica"/>
                <w:kern w:val="0"/>
                <w:sz w:val="24"/>
                <w:szCs w:val="21"/>
                <w:highlight w:val="none"/>
              </w:rPr>
              <w:t>1、时间：</w:t>
            </w:r>
            <w:r>
              <w:rPr>
                <w:rFonts w:hint="eastAsia" w:ascii="宋体" w:hAnsi="宋体" w:cs="Helvetica"/>
                <w:kern w:val="0"/>
                <w:sz w:val="24"/>
                <w:szCs w:val="21"/>
                <w:highlight w:val="none"/>
                <w:lang w:eastAsia="zh-CN"/>
              </w:rPr>
              <w:t>2026年06月22日 14:30:00</w:t>
            </w:r>
          </w:p>
          <w:p w14:paraId="25ABEBC5">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Ansi="宋体"/>
                <w:sz w:val="24"/>
                <w:szCs w:val="24"/>
                <w:highlight w:val="none"/>
              </w:rPr>
            </w:pPr>
            <w:r>
              <w:rPr>
                <w:rFonts w:hint="eastAsia" w:hAnsi="宋体" w:cs="Helvetica"/>
                <w:kern w:val="0"/>
                <w:sz w:val="24"/>
                <w:highlight w:val="none"/>
              </w:rPr>
              <w:t>2、地点：</w:t>
            </w:r>
            <w:r>
              <w:rPr>
                <w:rFonts w:hint="eastAsia" w:ascii="宋体" w:hAnsi="宋体"/>
                <w:sz w:val="24"/>
                <w:highlight w:val="none"/>
                <w:lang w:eastAsia="zh-CN"/>
              </w:rPr>
              <w:t>致君项目管理有限公司</w:t>
            </w:r>
            <w:r>
              <w:rPr>
                <w:rFonts w:ascii="宋体" w:hAnsi="宋体"/>
                <w:sz w:val="24"/>
                <w:highlight w:val="none"/>
              </w:rPr>
              <w:t>（</w:t>
            </w:r>
            <w:r>
              <w:rPr>
                <w:rFonts w:hint="eastAsia" w:ascii="宋体" w:hAnsi="宋体"/>
                <w:sz w:val="24"/>
                <w:highlight w:val="none"/>
                <w:lang w:eastAsia="zh-CN"/>
              </w:rPr>
              <w:t>西安经济技术开发区文景广场C座18层</w:t>
            </w:r>
            <w:r>
              <w:rPr>
                <w:rFonts w:ascii="宋体" w:hAnsi="宋体"/>
                <w:sz w:val="24"/>
                <w:highlight w:val="none"/>
              </w:rPr>
              <w:t>）会议室</w:t>
            </w:r>
          </w:p>
        </w:tc>
      </w:tr>
      <w:tr w14:paraId="748C6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5" w:type="dxa"/>
            <w:noWrap w:val="0"/>
            <w:vAlign w:val="center"/>
          </w:tcPr>
          <w:p w14:paraId="10C5F6BF">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Ansi="宋体"/>
                <w:sz w:val="24"/>
                <w:szCs w:val="24"/>
              </w:rPr>
            </w:pPr>
            <w:r>
              <w:rPr>
                <w:rFonts w:hAnsi="宋体"/>
                <w:sz w:val="24"/>
                <w:szCs w:val="24"/>
              </w:rPr>
              <w:t>1</w:t>
            </w:r>
            <w:r>
              <w:rPr>
                <w:rFonts w:hint="eastAsia" w:hAnsi="宋体"/>
                <w:sz w:val="24"/>
                <w:szCs w:val="24"/>
              </w:rPr>
              <w:t>2</w:t>
            </w:r>
          </w:p>
        </w:tc>
        <w:tc>
          <w:tcPr>
            <w:tcW w:w="2512" w:type="dxa"/>
            <w:noWrap w:val="0"/>
            <w:vAlign w:val="center"/>
          </w:tcPr>
          <w:p w14:paraId="3D5C65CA">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Ansi="宋体"/>
                <w:sz w:val="24"/>
                <w:szCs w:val="24"/>
              </w:rPr>
            </w:pPr>
            <w:r>
              <w:rPr>
                <w:rFonts w:hint="eastAsia" w:hAnsi="宋体"/>
                <w:sz w:val="24"/>
                <w:szCs w:val="24"/>
              </w:rPr>
              <w:t>磋商保证金</w:t>
            </w:r>
          </w:p>
        </w:tc>
        <w:tc>
          <w:tcPr>
            <w:tcW w:w="6059" w:type="dxa"/>
            <w:noWrap w:val="0"/>
            <w:vAlign w:val="center"/>
          </w:tcPr>
          <w:p w14:paraId="2AC12C67">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int="eastAsia" w:hAnsi="宋体"/>
                <w:sz w:val="24"/>
                <w:szCs w:val="24"/>
              </w:rPr>
            </w:pPr>
            <w:r>
              <w:rPr>
                <w:rFonts w:hint="eastAsia" w:hAnsi="宋体"/>
                <w:sz w:val="24"/>
                <w:szCs w:val="24"/>
              </w:rPr>
              <w:t>无</w:t>
            </w:r>
          </w:p>
        </w:tc>
      </w:tr>
      <w:tr w14:paraId="3DED4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5" w:type="dxa"/>
            <w:noWrap w:val="0"/>
            <w:vAlign w:val="center"/>
          </w:tcPr>
          <w:p w14:paraId="739F6190">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Ansi="宋体"/>
                <w:sz w:val="24"/>
                <w:szCs w:val="24"/>
              </w:rPr>
            </w:pPr>
            <w:r>
              <w:rPr>
                <w:rFonts w:hint="eastAsia" w:hAnsi="宋体"/>
                <w:sz w:val="24"/>
                <w:szCs w:val="24"/>
              </w:rPr>
              <w:t>13</w:t>
            </w:r>
          </w:p>
        </w:tc>
        <w:tc>
          <w:tcPr>
            <w:tcW w:w="2512" w:type="dxa"/>
            <w:noWrap w:val="0"/>
            <w:vAlign w:val="center"/>
          </w:tcPr>
          <w:p w14:paraId="67563FDB">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Ansi="宋体"/>
                <w:sz w:val="24"/>
                <w:szCs w:val="24"/>
              </w:rPr>
            </w:pPr>
            <w:r>
              <w:rPr>
                <w:rFonts w:hint="eastAsia" w:hAnsi="宋体"/>
                <w:sz w:val="24"/>
                <w:szCs w:val="24"/>
              </w:rPr>
              <w:t>响应文件份数</w:t>
            </w:r>
          </w:p>
        </w:tc>
        <w:tc>
          <w:tcPr>
            <w:tcW w:w="6059" w:type="dxa"/>
            <w:noWrap w:val="0"/>
            <w:vAlign w:val="center"/>
          </w:tcPr>
          <w:p w14:paraId="6A1F41A8">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int="eastAsia" w:hAnsi="宋体"/>
                <w:sz w:val="24"/>
                <w:szCs w:val="24"/>
              </w:rPr>
            </w:pPr>
            <w:r>
              <w:rPr>
                <w:rFonts w:hint="eastAsia" w:hAnsi="宋体"/>
                <w:sz w:val="24"/>
                <w:szCs w:val="24"/>
              </w:rPr>
              <w:t>本次磋商需提交响应文件：</w:t>
            </w:r>
            <w:r>
              <w:rPr>
                <w:rFonts w:hAnsi="宋体"/>
                <w:sz w:val="24"/>
                <w:szCs w:val="24"/>
              </w:rPr>
              <w:t>正本壹份，副本</w:t>
            </w:r>
            <w:r>
              <w:rPr>
                <w:rFonts w:hint="eastAsia" w:hAnsi="宋体"/>
                <w:sz w:val="24"/>
                <w:szCs w:val="24"/>
                <w:lang w:val="en-US" w:eastAsia="zh-CN"/>
              </w:rPr>
              <w:t>贰</w:t>
            </w:r>
            <w:r>
              <w:rPr>
                <w:rFonts w:hAnsi="宋体"/>
                <w:sz w:val="24"/>
                <w:szCs w:val="24"/>
              </w:rPr>
              <w:t>份</w:t>
            </w:r>
            <w:r>
              <w:rPr>
                <w:rFonts w:hint="eastAsia" w:hAnsi="宋体"/>
                <w:sz w:val="24"/>
                <w:szCs w:val="24"/>
              </w:rPr>
              <w:t>，电子版壹份（用U盘拷贝）。电子版响应文件提供响应文件正本的word版本及P</w:t>
            </w:r>
            <w:r>
              <w:rPr>
                <w:rFonts w:hAnsi="宋体"/>
                <w:sz w:val="24"/>
                <w:szCs w:val="24"/>
              </w:rPr>
              <w:t>DF</w:t>
            </w:r>
            <w:r>
              <w:rPr>
                <w:rFonts w:hint="eastAsia" w:hAnsi="宋体"/>
                <w:sz w:val="24"/>
                <w:szCs w:val="24"/>
              </w:rPr>
              <w:t>版本（</w:t>
            </w:r>
            <w:r>
              <w:rPr>
                <w:rFonts w:hint="eastAsia" w:ascii="宋体" w:hAnsi="宋体" w:cs="宋体"/>
                <w:b/>
                <w:bCs/>
                <w:sz w:val="24"/>
                <w:szCs w:val="24"/>
              </w:rPr>
              <w:t>每份U盘应包括PDF及WORD格式</w:t>
            </w:r>
            <w:r>
              <w:rPr>
                <w:rFonts w:hint="eastAsia" w:ascii="宋体" w:hAnsi="宋体" w:cs="宋体"/>
                <w:b w:val="0"/>
                <w:bCs w:val="0"/>
                <w:sz w:val="24"/>
                <w:szCs w:val="24"/>
                <w:lang w:eastAsia="zh-CN"/>
              </w:rPr>
              <w:t>，</w:t>
            </w:r>
            <w:r>
              <w:rPr>
                <w:rFonts w:hint="eastAsia" w:hAnsi="宋体"/>
                <w:sz w:val="24"/>
                <w:szCs w:val="24"/>
              </w:rPr>
              <w:t>P</w:t>
            </w:r>
            <w:r>
              <w:rPr>
                <w:rFonts w:hAnsi="宋体"/>
                <w:sz w:val="24"/>
                <w:szCs w:val="24"/>
              </w:rPr>
              <w:t>DF</w:t>
            </w:r>
            <w:r>
              <w:rPr>
                <w:rFonts w:hint="eastAsia" w:hAnsi="宋体"/>
                <w:sz w:val="24"/>
                <w:szCs w:val="24"/>
              </w:rPr>
              <w:t>文件为完整签字、盖章的正本扫描件）。响应文件的正本和所有的副本均须打印或用不褪色的蓝（黑）墨水填写，注明“正本”“副本”字样。</w:t>
            </w:r>
          </w:p>
          <w:p w14:paraId="2CEFE399">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int="eastAsia" w:hAnsi="宋体"/>
                <w:b/>
                <w:bCs/>
                <w:sz w:val="24"/>
                <w:szCs w:val="24"/>
                <w:lang w:val="en-US" w:eastAsia="zh-CN"/>
              </w:rPr>
            </w:pPr>
            <w:r>
              <w:rPr>
                <w:rFonts w:hint="eastAsia" w:hAnsi="宋体"/>
                <w:b/>
                <w:bCs/>
                <w:sz w:val="24"/>
                <w:szCs w:val="24"/>
                <w:lang w:val="en-US" w:eastAsia="zh-CN"/>
              </w:rPr>
              <w:t>如供应商代表不是法定代表人，须持有《法定代表人授权书》（原件）参与投标。</w:t>
            </w:r>
          </w:p>
          <w:p w14:paraId="08EE39A2">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int="eastAsia" w:hAnsi="宋体"/>
                <w:sz w:val="24"/>
                <w:szCs w:val="24"/>
              </w:rPr>
            </w:pPr>
            <w:r>
              <w:rPr>
                <w:rFonts w:hint="eastAsia" w:hAnsi="宋体"/>
                <w:bCs/>
                <w:sz w:val="24"/>
                <w:szCs w:val="24"/>
              </w:rPr>
              <w:t>采购人如有需要，成交供应商应无偿向采购人提供与磋商现场响应文件内容一致的纸质副本文件两套。</w:t>
            </w:r>
          </w:p>
        </w:tc>
      </w:tr>
      <w:tr w14:paraId="25CA8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5" w:type="dxa"/>
            <w:noWrap w:val="0"/>
            <w:vAlign w:val="center"/>
          </w:tcPr>
          <w:p w14:paraId="2EA7A8C4">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int="eastAsia" w:hAnsi="宋体"/>
                <w:sz w:val="24"/>
                <w:szCs w:val="24"/>
              </w:rPr>
            </w:pPr>
            <w:r>
              <w:rPr>
                <w:rFonts w:hint="eastAsia" w:hAnsi="宋体"/>
                <w:sz w:val="24"/>
                <w:szCs w:val="24"/>
              </w:rPr>
              <w:t>14</w:t>
            </w:r>
          </w:p>
        </w:tc>
        <w:tc>
          <w:tcPr>
            <w:tcW w:w="2512" w:type="dxa"/>
            <w:noWrap w:val="0"/>
            <w:vAlign w:val="center"/>
          </w:tcPr>
          <w:p w14:paraId="185C5452">
            <w:pPr>
              <w:pageBreakBefore w:val="0"/>
              <w:kinsoku/>
              <w:wordWrap/>
              <w:overflowPunct/>
              <w:topLinePunct w:val="0"/>
              <w:autoSpaceDE/>
              <w:autoSpaceDN/>
              <w:bidi w:val="0"/>
              <w:adjustRightInd/>
              <w:snapToGrid w:val="0"/>
              <w:spacing w:line="360" w:lineRule="exact"/>
              <w:ind w:firstLine="0" w:firstLineChars="0"/>
              <w:jc w:val="center"/>
              <w:textAlignment w:val="auto"/>
              <w:rPr>
                <w:rFonts w:hint="eastAsia" w:ascii="宋体" w:hAnsi="宋体"/>
                <w:sz w:val="24"/>
              </w:rPr>
            </w:pPr>
            <w:r>
              <w:rPr>
                <w:rFonts w:hint="eastAsia" w:ascii="宋体" w:hAnsi="宋体"/>
                <w:sz w:val="24"/>
              </w:rPr>
              <w:t>封套上写明</w:t>
            </w:r>
          </w:p>
        </w:tc>
        <w:tc>
          <w:tcPr>
            <w:tcW w:w="6059" w:type="dxa"/>
            <w:noWrap w:val="0"/>
            <w:vAlign w:val="center"/>
          </w:tcPr>
          <w:p w14:paraId="73BA6E01">
            <w:pPr>
              <w:pageBreakBefore w:val="0"/>
              <w:kinsoku/>
              <w:wordWrap/>
              <w:overflowPunct/>
              <w:topLinePunct w:val="0"/>
              <w:autoSpaceDE/>
              <w:autoSpaceDN/>
              <w:bidi w:val="0"/>
              <w:adjustRightInd/>
              <w:snapToGrid w:val="0"/>
              <w:spacing w:line="360" w:lineRule="exact"/>
              <w:ind w:firstLine="0" w:firstLineChars="0"/>
              <w:textAlignment w:val="auto"/>
              <w:rPr>
                <w:rFonts w:ascii="宋体" w:hAnsi="宋体"/>
                <w:sz w:val="24"/>
              </w:rPr>
            </w:pPr>
            <w:r>
              <w:rPr>
                <w:rFonts w:hint="eastAsia" w:ascii="宋体" w:hAnsi="宋体"/>
                <w:sz w:val="24"/>
              </w:rPr>
              <w:t>项目名称：</w:t>
            </w:r>
            <w:r>
              <w:rPr>
                <w:rFonts w:ascii="宋体" w:hAnsi="宋体"/>
                <w:sz w:val="24"/>
                <w:u w:val="single"/>
              </w:rPr>
              <w:t xml:space="preserve">                </w:t>
            </w:r>
          </w:p>
          <w:p w14:paraId="7C4B4E33">
            <w:pPr>
              <w:pageBreakBefore w:val="0"/>
              <w:kinsoku/>
              <w:wordWrap/>
              <w:overflowPunct/>
              <w:topLinePunct w:val="0"/>
              <w:autoSpaceDE/>
              <w:autoSpaceDN/>
              <w:bidi w:val="0"/>
              <w:adjustRightInd/>
              <w:snapToGrid w:val="0"/>
              <w:spacing w:line="360" w:lineRule="exact"/>
              <w:ind w:firstLine="0" w:firstLineChars="0"/>
              <w:textAlignment w:val="auto"/>
              <w:rPr>
                <w:rFonts w:hint="eastAsia" w:ascii="宋体" w:hAnsi="宋体"/>
                <w:sz w:val="24"/>
              </w:rPr>
            </w:pPr>
            <w:r>
              <w:rPr>
                <w:rFonts w:hint="eastAsia" w:ascii="宋体" w:hAnsi="宋体"/>
                <w:sz w:val="24"/>
              </w:rPr>
              <w:t>项目</w:t>
            </w:r>
            <w:r>
              <w:rPr>
                <w:rFonts w:ascii="宋体" w:hAnsi="宋体"/>
                <w:sz w:val="24"/>
              </w:rPr>
              <w:t>编号：</w:t>
            </w:r>
            <w:r>
              <w:rPr>
                <w:rFonts w:ascii="宋体" w:hAnsi="宋体"/>
                <w:sz w:val="24"/>
                <w:u w:val="single"/>
              </w:rPr>
              <w:t xml:space="preserve">                </w:t>
            </w:r>
            <w:r>
              <w:rPr>
                <w:rFonts w:hint="eastAsia" w:ascii="宋体" w:hAnsi="宋体"/>
                <w:sz w:val="24"/>
              </w:rPr>
              <w:t xml:space="preserve">                        </w:t>
            </w:r>
          </w:p>
          <w:p w14:paraId="66B93A74">
            <w:pPr>
              <w:pageBreakBefore w:val="0"/>
              <w:kinsoku/>
              <w:wordWrap/>
              <w:overflowPunct/>
              <w:topLinePunct w:val="0"/>
              <w:autoSpaceDE/>
              <w:autoSpaceDN/>
              <w:bidi w:val="0"/>
              <w:adjustRightInd/>
              <w:snapToGrid w:val="0"/>
              <w:spacing w:line="360" w:lineRule="exact"/>
              <w:ind w:firstLine="0" w:firstLineChars="0"/>
              <w:textAlignment w:val="auto"/>
              <w:rPr>
                <w:rFonts w:hint="eastAsia" w:ascii="宋体" w:hAnsi="宋体"/>
                <w:sz w:val="24"/>
              </w:rPr>
            </w:pPr>
            <w:r>
              <w:rPr>
                <w:rFonts w:hint="eastAsia" w:ascii="宋体" w:hAnsi="宋体"/>
                <w:sz w:val="24"/>
              </w:rPr>
              <w:t>响应文件（正本/副本/电子版本）</w:t>
            </w:r>
          </w:p>
          <w:p w14:paraId="6AD6AC2C">
            <w:pPr>
              <w:pageBreakBefore w:val="0"/>
              <w:kinsoku/>
              <w:wordWrap/>
              <w:overflowPunct/>
              <w:topLinePunct w:val="0"/>
              <w:autoSpaceDE/>
              <w:autoSpaceDN/>
              <w:bidi w:val="0"/>
              <w:adjustRightInd/>
              <w:snapToGrid w:val="0"/>
              <w:spacing w:line="360" w:lineRule="exact"/>
              <w:ind w:firstLine="0" w:firstLineChars="0"/>
              <w:textAlignment w:val="auto"/>
              <w:rPr>
                <w:rFonts w:ascii="宋体" w:hAnsi="宋体"/>
                <w:sz w:val="24"/>
              </w:rPr>
            </w:pPr>
            <w:r>
              <w:rPr>
                <w:rFonts w:hint="eastAsia" w:ascii="宋体" w:hAnsi="宋体"/>
                <w:sz w:val="24"/>
              </w:rPr>
              <w:t>供应商名称：</w:t>
            </w:r>
            <w:r>
              <w:rPr>
                <w:rFonts w:ascii="宋体" w:hAnsi="宋体"/>
                <w:sz w:val="24"/>
                <w:u w:val="single"/>
              </w:rPr>
              <w:t xml:space="preserve">                </w:t>
            </w:r>
            <w:r>
              <w:rPr>
                <w:rFonts w:hint="eastAsia" w:ascii="宋体" w:hAnsi="宋体"/>
                <w:sz w:val="24"/>
              </w:rPr>
              <w:t xml:space="preserve"> </w:t>
            </w:r>
          </w:p>
          <w:p w14:paraId="5FCFFD4D">
            <w:pPr>
              <w:pageBreakBefore w:val="0"/>
              <w:kinsoku/>
              <w:wordWrap/>
              <w:overflowPunct/>
              <w:topLinePunct w:val="0"/>
              <w:autoSpaceDE/>
              <w:autoSpaceDN/>
              <w:bidi w:val="0"/>
              <w:adjustRightInd/>
              <w:snapToGrid w:val="0"/>
              <w:spacing w:line="360" w:lineRule="exact"/>
              <w:ind w:firstLine="0" w:firstLineChars="0"/>
              <w:textAlignment w:val="auto"/>
              <w:rPr>
                <w:rFonts w:hint="eastAsia" w:ascii="宋体" w:hAnsi="宋体"/>
                <w:sz w:val="24"/>
              </w:rPr>
            </w:pPr>
            <w:r>
              <w:rPr>
                <w:rFonts w:hint="eastAsia" w:ascii="宋体" w:hAnsi="宋体"/>
                <w:sz w:val="24"/>
              </w:rPr>
              <w:t>响应</w:t>
            </w:r>
            <w:r>
              <w:rPr>
                <w:rFonts w:ascii="宋体" w:hAnsi="宋体"/>
                <w:sz w:val="24"/>
              </w:rPr>
              <w:t>文件在</w:t>
            </w:r>
            <w:r>
              <w:rPr>
                <w:rFonts w:hint="eastAsia" w:ascii="宋体" w:hAnsi="宋体"/>
                <w:sz w:val="24"/>
              </w:rPr>
              <w:t>开标时间前不</w:t>
            </w:r>
            <w:r>
              <w:rPr>
                <w:rFonts w:ascii="宋体" w:hAnsi="宋体"/>
                <w:sz w:val="24"/>
              </w:rPr>
              <w:t>得开启</w:t>
            </w:r>
          </w:p>
        </w:tc>
      </w:tr>
      <w:tr w14:paraId="2E116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5" w:type="dxa"/>
            <w:noWrap w:val="0"/>
            <w:vAlign w:val="center"/>
          </w:tcPr>
          <w:p w14:paraId="29685E97">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Ansi="宋体"/>
                <w:sz w:val="24"/>
                <w:szCs w:val="24"/>
              </w:rPr>
            </w:pPr>
            <w:r>
              <w:rPr>
                <w:rFonts w:hAnsi="宋体"/>
                <w:sz w:val="24"/>
                <w:szCs w:val="24"/>
              </w:rPr>
              <w:t>1</w:t>
            </w:r>
            <w:r>
              <w:rPr>
                <w:rFonts w:hint="eastAsia" w:hAnsi="宋体"/>
                <w:sz w:val="24"/>
                <w:szCs w:val="24"/>
              </w:rPr>
              <w:t>5</w:t>
            </w:r>
          </w:p>
        </w:tc>
        <w:tc>
          <w:tcPr>
            <w:tcW w:w="2512" w:type="dxa"/>
            <w:noWrap w:val="0"/>
            <w:vAlign w:val="center"/>
          </w:tcPr>
          <w:p w14:paraId="2E4430DD">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Ansi="宋体"/>
                <w:sz w:val="24"/>
                <w:szCs w:val="24"/>
              </w:rPr>
            </w:pPr>
            <w:r>
              <w:rPr>
                <w:rFonts w:hint="eastAsia" w:hAnsi="宋体"/>
                <w:sz w:val="24"/>
                <w:szCs w:val="24"/>
                <w:highlight w:val="none"/>
                <w:lang w:val="en-US" w:eastAsia="zh-CN"/>
              </w:rPr>
              <w:t>工期</w:t>
            </w:r>
            <w:r>
              <w:rPr>
                <w:rFonts w:hint="eastAsia" w:hAnsi="宋体"/>
                <w:sz w:val="24"/>
                <w:szCs w:val="24"/>
                <w:highlight w:val="none"/>
              </w:rPr>
              <w:t>、</w:t>
            </w:r>
            <w:r>
              <w:rPr>
                <w:rFonts w:hint="eastAsia" w:hAnsi="宋体"/>
                <w:sz w:val="24"/>
                <w:szCs w:val="24"/>
                <w:highlight w:val="none"/>
                <w:lang w:val="en-US" w:eastAsia="zh-CN"/>
              </w:rPr>
              <w:t>服务</w:t>
            </w:r>
            <w:r>
              <w:rPr>
                <w:rFonts w:hint="eastAsia" w:hAnsi="宋体"/>
                <w:sz w:val="24"/>
                <w:szCs w:val="24"/>
                <w:highlight w:val="none"/>
              </w:rPr>
              <w:t>地点</w:t>
            </w:r>
          </w:p>
        </w:tc>
        <w:tc>
          <w:tcPr>
            <w:tcW w:w="6059" w:type="dxa"/>
            <w:noWrap w:val="0"/>
            <w:vAlign w:val="center"/>
          </w:tcPr>
          <w:p w14:paraId="6B69A2CE">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Ansi="宋体"/>
                <w:b/>
                <w:sz w:val="24"/>
                <w:szCs w:val="24"/>
                <w:highlight w:val="none"/>
              </w:rPr>
            </w:pPr>
            <w:r>
              <w:rPr>
                <w:rFonts w:hint="eastAsia" w:hAnsi="宋体"/>
                <w:sz w:val="24"/>
                <w:szCs w:val="24"/>
                <w:highlight w:val="none"/>
              </w:rPr>
              <w:t>1、</w:t>
            </w:r>
            <w:r>
              <w:rPr>
                <w:rFonts w:hint="eastAsia" w:hAnsi="宋体"/>
                <w:sz w:val="24"/>
                <w:szCs w:val="24"/>
                <w:highlight w:val="none"/>
                <w:lang w:val="en-US" w:eastAsia="zh-CN"/>
              </w:rPr>
              <w:t>工期</w:t>
            </w:r>
            <w:r>
              <w:rPr>
                <w:rFonts w:hint="eastAsia" w:hAnsi="宋体"/>
                <w:sz w:val="24"/>
                <w:szCs w:val="24"/>
                <w:highlight w:val="none"/>
              </w:rPr>
              <w:t>：</w:t>
            </w:r>
            <w:r>
              <w:rPr>
                <w:rFonts w:hint="default" w:hAnsi="宋体" w:eastAsia="宋体"/>
                <w:sz w:val="24"/>
                <w:szCs w:val="24"/>
                <w:lang w:val="en-US" w:eastAsia="zh-CN"/>
              </w:rPr>
              <w:t>90</w:t>
            </w:r>
            <w:r>
              <w:rPr>
                <w:rFonts w:hint="eastAsia" w:hAnsi="宋体"/>
                <w:sz w:val="24"/>
                <w:szCs w:val="24"/>
                <w:highlight w:val="none"/>
              </w:rPr>
              <w:t>日历天。</w:t>
            </w:r>
          </w:p>
          <w:p w14:paraId="31900B9F">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int="eastAsia" w:hAnsi="宋体"/>
                <w:sz w:val="24"/>
                <w:szCs w:val="24"/>
                <w:highlight w:val="none"/>
              </w:rPr>
            </w:pPr>
            <w:r>
              <w:rPr>
                <w:rFonts w:hint="eastAsia" w:hAnsi="宋体"/>
                <w:sz w:val="24"/>
                <w:szCs w:val="24"/>
                <w:highlight w:val="none"/>
              </w:rPr>
              <w:t>2、</w:t>
            </w:r>
            <w:r>
              <w:rPr>
                <w:rFonts w:hint="eastAsia" w:hAnsi="宋体"/>
                <w:sz w:val="24"/>
                <w:szCs w:val="24"/>
                <w:highlight w:val="none"/>
                <w:lang w:eastAsia="zh-CN"/>
              </w:rPr>
              <w:t>服务地点</w:t>
            </w:r>
            <w:r>
              <w:rPr>
                <w:rFonts w:hint="eastAsia" w:hAnsi="宋体"/>
                <w:sz w:val="24"/>
                <w:szCs w:val="24"/>
                <w:highlight w:val="none"/>
              </w:rPr>
              <w:t>：</w:t>
            </w:r>
            <w:r>
              <w:rPr>
                <w:rFonts w:hint="eastAsia" w:hAnsi="宋体"/>
                <w:sz w:val="24"/>
                <w:szCs w:val="24"/>
                <w:highlight w:val="none"/>
                <w:lang w:eastAsia="zh-CN"/>
              </w:rPr>
              <w:t>西安市青龙寺</w:t>
            </w:r>
            <w:r>
              <w:rPr>
                <w:rFonts w:hint="eastAsia" w:hAnsi="宋体"/>
                <w:sz w:val="24"/>
                <w:szCs w:val="24"/>
                <w:highlight w:val="none"/>
              </w:rPr>
              <w:t>。</w:t>
            </w:r>
          </w:p>
        </w:tc>
      </w:tr>
      <w:tr w14:paraId="52C15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5" w:type="dxa"/>
            <w:noWrap w:val="0"/>
            <w:vAlign w:val="center"/>
          </w:tcPr>
          <w:p w14:paraId="79B357C6">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Ansi="宋体"/>
                <w:sz w:val="24"/>
                <w:szCs w:val="24"/>
              </w:rPr>
            </w:pPr>
            <w:r>
              <w:rPr>
                <w:rFonts w:hint="eastAsia" w:hAnsi="宋体"/>
                <w:sz w:val="24"/>
                <w:szCs w:val="24"/>
              </w:rPr>
              <w:t>16</w:t>
            </w:r>
          </w:p>
        </w:tc>
        <w:tc>
          <w:tcPr>
            <w:tcW w:w="2512" w:type="dxa"/>
            <w:noWrap w:val="0"/>
            <w:vAlign w:val="center"/>
          </w:tcPr>
          <w:p w14:paraId="56004223">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履约保证金</w:t>
            </w:r>
          </w:p>
        </w:tc>
        <w:tc>
          <w:tcPr>
            <w:tcW w:w="6059" w:type="dxa"/>
            <w:noWrap w:val="0"/>
            <w:vAlign w:val="center"/>
          </w:tcPr>
          <w:p w14:paraId="600861D5">
            <w:pPr>
              <w:pStyle w:val="3"/>
              <w:pageBreakBefore w:val="0"/>
              <w:kinsoku/>
              <w:wordWrap/>
              <w:overflowPunct/>
              <w:topLinePunct w:val="0"/>
              <w:autoSpaceDE/>
              <w:autoSpaceDN/>
              <w:bidi w:val="0"/>
              <w:adjustRightInd/>
              <w:snapToGrid w:val="0"/>
              <w:spacing w:before="0" w:beforeLines="0" w:after="0" w:afterLines="0" w:line="360" w:lineRule="exact"/>
              <w:ind w:firstLine="0" w:firstLineChars="0"/>
              <w:jc w:val="both"/>
              <w:textAlignment w:val="auto"/>
              <w:rPr>
                <w:rFonts w:hint="eastAsia" w:hAnsi="宋体" w:eastAsia="宋体" w:cs="宋体-18030"/>
                <w:bCs/>
                <w:color w:val="000000" w:themeColor="text1"/>
                <w:sz w:val="24"/>
                <w:highlight w:val="none"/>
                <w:lang w:eastAsia="zh-CN"/>
                <w14:textFill>
                  <w14:solidFill>
                    <w14:schemeClr w14:val="tx1"/>
                  </w14:solidFill>
                </w14:textFill>
              </w:rPr>
            </w:pPr>
            <w:r>
              <w:rPr>
                <w:rFonts w:hint="eastAsia" w:ascii="宋体" w:hAnsi="宋体" w:eastAsia="宋体" w:cs="Courier New"/>
                <w:b w:val="0"/>
                <w:bCs w:val="0"/>
                <w:kern w:val="2"/>
                <w:sz w:val="24"/>
                <w:szCs w:val="24"/>
                <w:highlight w:val="none"/>
                <w:lang w:val="en-US" w:eastAsia="zh-CN" w:bidi="ar-SA"/>
              </w:rPr>
              <w:t>无</w:t>
            </w:r>
          </w:p>
        </w:tc>
      </w:tr>
      <w:tr w14:paraId="42EAC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5" w:type="dxa"/>
            <w:noWrap w:val="0"/>
            <w:vAlign w:val="center"/>
          </w:tcPr>
          <w:p w14:paraId="387ACFC2">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Ansi="宋体"/>
                <w:sz w:val="24"/>
                <w:szCs w:val="24"/>
              </w:rPr>
            </w:pPr>
            <w:r>
              <w:rPr>
                <w:rFonts w:hint="eastAsia" w:hAnsi="宋体"/>
                <w:sz w:val="24"/>
                <w:szCs w:val="24"/>
              </w:rPr>
              <w:t>17</w:t>
            </w:r>
          </w:p>
        </w:tc>
        <w:tc>
          <w:tcPr>
            <w:tcW w:w="2512" w:type="dxa"/>
            <w:noWrap w:val="0"/>
            <w:vAlign w:val="center"/>
          </w:tcPr>
          <w:p w14:paraId="68F059D3">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Ansi="宋体"/>
                <w:sz w:val="24"/>
                <w:szCs w:val="24"/>
              </w:rPr>
            </w:pPr>
            <w:r>
              <w:rPr>
                <w:rFonts w:hint="eastAsia" w:hAnsi="宋体" w:cs="宋体"/>
                <w:sz w:val="24"/>
              </w:rPr>
              <w:t>成交服务费</w:t>
            </w:r>
          </w:p>
        </w:tc>
        <w:tc>
          <w:tcPr>
            <w:tcW w:w="6059" w:type="dxa"/>
            <w:noWrap w:val="0"/>
            <w:vAlign w:val="center"/>
          </w:tcPr>
          <w:p w14:paraId="48FB2BE0">
            <w:pPr>
              <w:keepNext w:val="0"/>
              <w:keepLines w:val="0"/>
              <w:pageBreakBefore w:val="0"/>
              <w:widowControl w:val="0"/>
              <w:kinsoku/>
              <w:wordWrap/>
              <w:overflowPunct/>
              <w:topLinePunct w:val="0"/>
              <w:autoSpaceDE/>
              <w:autoSpaceDN/>
              <w:bidi w:val="0"/>
              <w:adjustRightInd/>
              <w:snapToGrid w:val="0"/>
              <w:spacing w:line="360" w:lineRule="exact"/>
              <w:ind w:firstLine="0" w:firstLineChars="0"/>
              <w:textAlignment w:val="auto"/>
              <w:rPr>
                <w:rFonts w:hint="eastAsia" w:ascii="宋体" w:hAnsi="宋体"/>
                <w:sz w:val="24"/>
                <w:highlight w:val="none"/>
              </w:rPr>
            </w:pPr>
            <w:r>
              <w:rPr>
                <w:rFonts w:hint="eastAsia" w:ascii="宋体" w:hAnsi="宋体"/>
                <w:sz w:val="24"/>
                <w:highlight w:val="none"/>
              </w:rPr>
              <w:t>1、</w:t>
            </w:r>
            <w:r>
              <w:rPr>
                <w:rFonts w:hint="eastAsia" w:ascii="宋体" w:hAnsi="宋体"/>
                <w:sz w:val="24"/>
                <w:highlight w:val="none"/>
                <w:lang w:eastAsia="zh-CN"/>
              </w:rPr>
              <w:t>成交供应商</w:t>
            </w:r>
            <w:r>
              <w:rPr>
                <w:rFonts w:hint="eastAsia" w:ascii="宋体" w:hAnsi="宋体"/>
                <w:sz w:val="24"/>
                <w:highlight w:val="none"/>
              </w:rPr>
              <w:t>收到成交通知书5日内，按照采购人与招标代理机构签订协议的收费标准，一次性向招标代理机构交纳成交服务费。</w:t>
            </w:r>
          </w:p>
          <w:p w14:paraId="2AF73F97">
            <w:pPr>
              <w:keepNext w:val="0"/>
              <w:keepLines w:val="0"/>
              <w:pageBreakBefore w:val="0"/>
              <w:widowControl w:val="0"/>
              <w:kinsoku/>
              <w:wordWrap/>
              <w:overflowPunct/>
              <w:topLinePunct w:val="0"/>
              <w:autoSpaceDE/>
              <w:autoSpaceDN/>
              <w:bidi w:val="0"/>
              <w:adjustRightInd/>
              <w:snapToGrid w:val="0"/>
              <w:spacing w:line="360" w:lineRule="exact"/>
              <w:ind w:firstLine="0" w:firstLineChars="0"/>
              <w:textAlignment w:val="auto"/>
              <w:rPr>
                <w:rFonts w:hint="eastAsia" w:ascii="宋体" w:hAnsi="宋体"/>
                <w:sz w:val="24"/>
                <w:highlight w:val="none"/>
              </w:rPr>
            </w:pPr>
            <w:r>
              <w:rPr>
                <w:rFonts w:hint="eastAsia" w:ascii="宋体" w:hAnsi="宋体"/>
                <w:sz w:val="24"/>
                <w:highlight w:val="none"/>
              </w:rPr>
              <w:t>2、成交服务费以现金或转账支付。</w:t>
            </w:r>
          </w:p>
          <w:p w14:paraId="5520F538">
            <w:pPr>
              <w:keepNext w:val="0"/>
              <w:keepLines w:val="0"/>
              <w:pageBreakBefore w:val="0"/>
              <w:widowControl w:val="0"/>
              <w:kinsoku/>
              <w:wordWrap/>
              <w:overflowPunct/>
              <w:topLinePunct w:val="0"/>
              <w:autoSpaceDE/>
              <w:autoSpaceDN/>
              <w:bidi w:val="0"/>
              <w:adjustRightInd/>
              <w:snapToGrid w:val="0"/>
              <w:spacing w:line="360" w:lineRule="exact"/>
              <w:ind w:firstLine="0" w:firstLineChars="0"/>
              <w:textAlignment w:val="auto"/>
              <w:rPr>
                <w:rFonts w:hint="eastAsia" w:ascii="宋体" w:hAnsi="宋体"/>
                <w:sz w:val="24"/>
                <w:highlight w:val="none"/>
              </w:rPr>
            </w:pPr>
            <w:r>
              <w:rPr>
                <w:rFonts w:hint="eastAsia" w:ascii="宋体" w:hAnsi="宋体"/>
                <w:sz w:val="24"/>
                <w:highlight w:val="none"/>
              </w:rPr>
              <w:t>3、成交服务费金额为：</w:t>
            </w:r>
            <w:r>
              <w:rPr>
                <w:rFonts w:hint="eastAsia" w:ascii="宋体" w:hAnsi="宋体"/>
                <w:sz w:val="24"/>
                <w:highlight w:val="none"/>
                <w:lang w:val="en-US" w:eastAsia="zh-CN"/>
              </w:rPr>
              <w:t>代理费固定金额</w:t>
            </w:r>
            <w:r>
              <w:rPr>
                <w:rFonts w:hint="eastAsia" w:ascii="宋体" w:hAnsi="宋体"/>
                <w:sz w:val="24"/>
                <w:highlight w:val="none"/>
              </w:rPr>
              <w:t>人民币</w:t>
            </w:r>
            <w:r>
              <w:rPr>
                <w:rFonts w:hint="eastAsia" w:ascii="宋体" w:hAnsi="宋体"/>
                <w:sz w:val="24"/>
                <w:highlight w:val="none"/>
                <w:lang w:eastAsia="zh-CN"/>
              </w:rPr>
              <w:t>肆千元整</w:t>
            </w:r>
            <w:r>
              <w:rPr>
                <w:rFonts w:hint="eastAsia" w:ascii="宋体" w:hAnsi="宋体"/>
                <w:sz w:val="24"/>
                <w:highlight w:val="none"/>
              </w:rPr>
              <w:t>（¥</w:t>
            </w:r>
            <w:r>
              <w:rPr>
                <w:rFonts w:hint="eastAsia" w:ascii="宋体" w:hAnsi="宋体"/>
                <w:sz w:val="24"/>
                <w:highlight w:val="none"/>
                <w:lang w:eastAsia="zh-CN"/>
              </w:rPr>
              <w:t>4000.00</w:t>
            </w:r>
            <w:r>
              <w:rPr>
                <w:rFonts w:hint="eastAsia" w:ascii="宋体" w:hAnsi="宋体"/>
                <w:sz w:val="24"/>
                <w:highlight w:val="none"/>
              </w:rPr>
              <w:t>）。</w:t>
            </w:r>
          </w:p>
        </w:tc>
      </w:tr>
      <w:tr w14:paraId="5E0FC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5" w:type="dxa"/>
            <w:noWrap w:val="0"/>
            <w:vAlign w:val="center"/>
          </w:tcPr>
          <w:p w14:paraId="6900776E">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int="eastAsia" w:hAnsi="宋体"/>
                <w:sz w:val="24"/>
                <w:szCs w:val="24"/>
              </w:rPr>
            </w:pPr>
            <w:r>
              <w:rPr>
                <w:rFonts w:hint="eastAsia" w:hAnsi="宋体"/>
                <w:sz w:val="24"/>
                <w:szCs w:val="24"/>
              </w:rPr>
              <w:t>18</w:t>
            </w:r>
          </w:p>
        </w:tc>
        <w:tc>
          <w:tcPr>
            <w:tcW w:w="2512" w:type="dxa"/>
            <w:noWrap w:val="0"/>
            <w:vAlign w:val="center"/>
          </w:tcPr>
          <w:p w14:paraId="7952E34C">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int="eastAsia" w:ascii="仿宋" w:hAnsi="仿宋"/>
                <w:sz w:val="24"/>
                <w:szCs w:val="24"/>
              </w:rPr>
            </w:pPr>
            <w:r>
              <w:rPr>
                <w:rFonts w:hint="eastAsia" w:ascii="仿宋" w:hAnsi="仿宋"/>
                <w:sz w:val="24"/>
                <w:szCs w:val="24"/>
              </w:rPr>
              <w:t>其他</w:t>
            </w:r>
          </w:p>
        </w:tc>
        <w:tc>
          <w:tcPr>
            <w:tcW w:w="6059" w:type="dxa"/>
            <w:noWrap w:val="0"/>
            <w:vAlign w:val="center"/>
          </w:tcPr>
          <w:p w14:paraId="0C44FFE9">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int="eastAsia" w:ascii="仿宋" w:hAnsi="仿宋"/>
                <w:sz w:val="24"/>
                <w:szCs w:val="24"/>
              </w:rPr>
            </w:pPr>
            <w:r>
              <w:rPr>
                <w:rFonts w:hint="eastAsia" w:ascii="仿宋" w:hAnsi="仿宋"/>
                <w:sz w:val="24"/>
                <w:szCs w:val="24"/>
              </w:rPr>
              <w:t>正文与前附表表述不一致时，以供应商须知前附表为准。</w:t>
            </w:r>
          </w:p>
        </w:tc>
      </w:tr>
      <w:tr w14:paraId="6BC17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5" w:type="dxa"/>
            <w:noWrap w:val="0"/>
            <w:vAlign w:val="center"/>
          </w:tcPr>
          <w:p w14:paraId="1EFF180D">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int="default" w:hAnsi="宋体" w:eastAsia="宋体"/>
                <w:sz w:val="24"/>
                <w:szCs w:val="24"/>
                <w:lang w:val="en-US" w:eastAsia="zh-CN"/>
              </w:rPr>
            </w:pPr>
            <w:r>
              <w:rPr>
                <w:rFonts w:hint="eastAsia" w:hAnsi="宋体"/>
                <w:sz w:val="24"/>
                <w:szCs w:val="24"/>
                <w:lang w:val="en-US" w:eastAsia="zh-CN"/>
              </w:rPr>
              <w:t>19</w:t>
            </w:r>
          </w:p>
        </w:tc>
        <w:tc>
          <w:tcPr>
            <w:tcW w:w="2512" w:type="dxa"/>
            <w:noWrap w:val="0"/>
            <w:vAlign w:val="center"/>
          </w:tcPr>
          <w:p w14:paraId="27CEC86A">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int="eastAsia" w:ascii="仿宋" w:hAnsi="仿宋"/>
                <w:sz w:val="24"/>
                <w:szCs w:val="24"/>
              </w:rPr>
            </w:pPr>
            <w:r>
              <w:rPr>
                <w:rFonts w:hint="eastAsia" w:ascii="仿宋" w:hAnsi="仿宋"/>
                <w:sz w:val="24"/>
                <w:szCs w:val="24"/>
              </w:rPr>
              <w:t>小微企业（监狱企业、残疾人福利性单位视同小微企业）价格扣除（仅非预留份额采购项目或预留份额采购项目中的非预留部分采购包适用）</w:t>
            </w:r>
          </w:p>
        </w:tc>
        <w:tc>
          <w:tcPr>
            <w:tcW w:w="6059" w:type="dxa"/>
            <w:noWrap w:val="0"/>
            <w:vAlign w:val="center"/>
          </w:tcPr>
          <w:p w14:paraId="7FAF0836">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int="eastAsia" w:ascii="仿宋" w:hAnsi="仿宋"/>
                <w:sz w:val="24"/>
                <w:szCs w:val="24"/>
              </w:rPr>
            </w:pPr>
            <w:r>
              <w:rPr>
                <w:rFonts w:hint="eastAsia" w:ascii="仿宋" w:hAnsi="仿宋"/>
                <w:sz w:val="24"/>
                <w:szCs w:val="24"/>
              </w:rPr>
              <w:t>（仅非预留份额采购项目或预留份额采购项目中的非预留部分采购包适用）根据《政府采购促进中小企业发展管理办法》（财库〔2020〕46号）第九条和《关于进一步加大政府采购支持中小企业力度的通知》（财库〔2022〕19号）的规定。</w:t>
            </w:r>
          </w:p>
          <w:p w14:paraId="661BF40E">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int="eastAsia" w:ascii="仿宋" w:hAnsi="仿宋"/>
                <w:sz w:val="24"/>
                <w:szCs w:val="24"/>
              </w:rPr>
            </w:pPr>
            <w:r>
              <w:rPr>
                <w:rFonts w:hint="eastAsia" w:ascii="仿宋" w:hAnsi="仿宋"/>
                <w:sz w:val="24"/>
                <w:szCs w:val="24"/>
              </w:rPr>
              <w:t>关于本项目采购包中执行小微企业（监狱企业、残疾人福利性单位视同小微企业）价格扣除情况、具体扣除比例和规则详见</w:t>
            </w:r>
            <w:r>
              <w:rPr>
                <w:rFonts w:hint="eastAsia" w:ascii="仿宋" w:hAnsi="仿宋"/>
                <w:sz w:val="24"/>
                <w:szCs w:val="24"/>
                <w:lang w:eastAsia="zh-CN"/>
              </w:rPr>
              <w:t>评标办法</w:t>
            </w:r>
            <w:r>
              <w:rPr>
                <w:rFonts w:hint="eastAsia" w:ascii="仿宋" w:hAnsi="仿宋"/>
                <w:sz w:val="24"/>
                <w:szCs w:val="24"/>
              </w:rPr>
              <w:t>。</w:t>
            </w:r>
          </w:p>
          <w:p w14:paraId="77A5C58B">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int="eastAsia" w:ascii="仿宋" w:hAnsi="仿宋"/>
                <w:sz w:val="24"/>
                <w:szCs w:val="24"/>
              </w:rPr>
            </w:pPr>
            <w:r>
              <w:rPr>
                <w:rFonts w:hint="eastAsia" w:ascii="仿宋" w:hAnsi="仿宋"/>
                <w:sz w:val="24"/>
                <w:szCs w:val="24"/>
              </w:rPr>
              <w:t>（其他情形）不适用。</w:t>
            </w:r>
          </w:p>
        </w:tc>
      </w:tr>
      <w:tr w14:paraId="78DD9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5" w:type="dxa"/>
            <w:noWrap w:val="0"/>
            <w:vAlign w:val="center"/>
          </w:tcPr>
          <w:p w14:paraId="76EF4C8E">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int="default" w:hAnsi="宋体"/>
                <w:sz w:val="24"/>
                <w:szCs w:val="24"/>
                <w:lang w:val="en-US" w:eastAsia="zh-CN"/>
              </w:rPr>
            </w:pPr>
            <w:r>
              <w:rPr>
                <w:rFonts w:hint="eastAsia" w:hAnsi="宋体"/>
                <w:sz w:val="24"/>
                <w:szCs w:val="24"/>
                <w:lang w:val="en-US" w:eastAsia="zh-CN"/>
              </w:rPr>
              <w:t>20</w:t>
            </w:r>
          </w:p>
        </w:tc>
        <w:tc>
          <w:tcPr>
            <w:tcW w:w="2512" w:type="dxa"/>
            <w:noWrap w:val="0"/>
            <w:vAlign w:val="center"/>
          </w:tcPr>
          <w:p w14:paraId="2181ECEC">
            <w:pPr>
              <w:pStyle w:val="16"/>
              <w:pageBreakBefore w:val="0"/>
              <w:kinsoku/>
              <w:wordWrap/>
              <w:overflowPunct/>
              <w:topLinePunct w:val="0"/>
              <w:autoSpaceDE/>
              <w:autoSpaceDN/>
              <w:bidi w:val="0"/>
              <w:adjustRightInd/>
              <w:snapToGrid w:val="0"/>
              <w:spacing w:line="360" w:lineRule="exact"/>
              <w:ind w:firstLine="0" w:firstLineChars="0"/>
              <w:jc w:val="center"/>
              <w:textAlignment w:val="auto"/>
              <w:rPr>
                <w:rFonts w:hint="eastAsia" w:ascii="仿宋" w:hAnsi="仿宋" w:eastAsia="宋体"/>
                <w:sz w:val="24"/>
                <w:szCs w:val="24"/>
                <w:lang w:val="en-US" w:eastAsia="zh-CN"/>
              </w:rPr>
            </w:pPr>
            <w:r>
              <w:rPr>
                <w:rFonts w:hint="eastAsia" w:ascii="仿宋" w:hAnsi="仿宋"/>
                <w:sz w:val="24"/>
                <w:szCs w:val="24"/>
                <w:lang w:val="en-US" w:eastAsia="zh-CN"/>
              </w:rPr>
              <w:t>所属行业</w:t>
            </w:r>
          </w:p>
        </w:tc>
        <w:tc>
          <w:tcPr>
            <w:tcW w:w="6059" w:type="dxa"/>
            <w:noWrap w:val="0"/>
            <w:vAlign w:val="center"/>
          </w:tcPr>
          <w:p w14:paraId="14866B60">
            <w:pPr>
              <w:pStyle w:val="16"/>
              <w:pageBreakBefore w:val="0"/>
              <w:kinsoku/>
              <w:wordWrap/>
              <w:overflowPunct/>
              <w:topLinePunct w:val="0"/>
              <w:autoSpaceDE/>
              <w:autoSpaceDN/>
              <w:bidi w:val="0"/>
              <w:adjustRightInd/>
              <w:snapToGrid w:val="0"/>
              <w:spacing w:line="360" w:lineRule="exact"/>
              <w:ind w:firstLine="0" w:firstLineChars="0"/>
              <w:jc w:val="left"/>
              <w:textAlignment w:val="auto"/>
              <w:rPr>
                <w:rFonts w:hint="default" w:ascii="仿宋" w:hAnsi="仿宋" w:eastAsia="宋体"/>
                <w:sz w:val="24"/>
                <w:szCs w:val="24"/>
                <w:lang w:val="en-US" w:eastAsia="zh-CN"/>
              </w:rPr>
            </w:pPr>
            <w:r>
              <w:rPr>
                <w:rFonts w:hint="eastAsia" w:ascii="仿宋" w:hAnsi="仿宋"/>
                <w:sz w:val="24"/>
                <w:szCs w:val="24"/>
                <w:lang w:val="en-US" w:eastAsia="zh-CN"/>
              </w:rPr>
              <w:t>本项目所属行业：建筑业。</w:t>
            </w:r>
          </w:p>
        </w:tc>
      </w:tr>
    </w:tbl>
    <w:p w14:paraId="0940A9C5">
      <w:pPr>
        <w:tabs>
          <w:tab w:val="left" w:pos="240"/>
        </w:tabs>
        <w:spacing w:line="480" w:lineRule="exact"/>
        <w:ind w:left="-120" w:leftChars="-57"/>
        <w:jc w:val="center"/>
        <w:rPr>
          <w:rFonts w:ascii="宋体" w:hAnsi="宋体"/>
          <w:b/>
          <w:sz w:val="30"/>
          <w:szCs w:val="30"/>
        </w:rPr>
      </w:pPr>
      <w:r>
        <w:rPr>
          <w:rFonts w:hint="eastAsia" w:ascii="宋体" w:hAnsi="宋体"/>
          <w:sz w:val="30"/>
          <w:szCs w:val="30"/>
        </w:rPr>
        <w:br w:type="page"/>
      </w:r>
      <w:r>
        <w:rPr>
          <w:rFonts w:hint="eastAsia" w:ascii="宋体" w:hAnsi="宋体"/>
          <w:b/>
          <w:sz w:val="30"/>
          <w:szCs w:val="30"/>
        </w:rPr>
        <w:t>供应商须知正文</w:t>
      </w:r>
    </w:p>
    <w:p w14:paraId="0309D5F5">
      <w:pPr>
        <w:tabs>
          <w:tab w:val="left" w:pos="240"/>
        </w:tabs>
        <w:spacing w:line="480" w:lineRule="exact"/>
        <w:ind w:left="-120" w:leftChars="-57"/>
        <w:jc w:val="center"/>
        <w:rPr>
          <w:rFonts w:hint="eastAsia" w:ascii="宋体" w:hAnsi="宋体"/>
          <w:b/>
          <w:sz w:val="30"/>
          <w:szCs w:val="30"/>
        </w:rPr>
      </w:pPr>
      <w:r>
        <w:rPr>
          <w:rFonts w:hint="eastAsia" w:ascii="宋体" w:hAnsi="宋体"/>
          <w:b/>
          <w:sz w:val="30"/>
          <w:szCs w:val="30"/>
        </w:rPr>
        <w:t>一．名词解释</w:t>
      </w:r>
    </w:p>
    <w:p w14:paraId="4D0E8110">
      <w:pPr>
        <w:keepNext w:val="0"/>
        <w:keepLines w:val="0"/>
        <w:pageBreakBefore w:val="0"/>
        <w:widowControl w:val="0"/>
        <w:numPr>
          <w:ilvl w:val="0"/>
          <w:numId w:val="1"/>
        </w:numPr>
        <w:tabs>
          <w:tab w:val="left" w:pos="240"/>
          <w:tab w:val="clear" w:pos="840"/>
        </w:tabs>
        <w:kinsoku/>
        <w:wordWrap/>
        <w:overflowPunct/>
        <w:topLinePunct w:val="0"/>
        <w:autoSpaceDE/>
        <w:autoSpaceDN/>
        <w:bidi w:val="0"/>
        <w:adjustRightInd/>
        <w:snapToGrid/>
        <w:spacing w:line="480" w:lineRule="exact"/>
        <w:ind w:left="0" w:leftChars="0" w:firstLine="480" w:firstLineChars="200"/>
        <w:textAlignment w:val="auto"/>
        <w:rPr>
          <w:rFonts w:hint="eastAsia" w:ascii="宋体" w:hAnsi="宋体"/>
          <w:sz w:val="24"/>
        </w:rPr>
      </w:pPr>
      <w:r>
        <w:rPr>
          <w:rFonts w:hint="eastAsia" w:ascii="宋体" w:hAnsi="宋体"/>
          <w:sz w:val="24"/>
        </w:rPr>
        <w:t>采购人：</w:t>
      </w:r>
      <w:r>
        <w:rPr>
          <w:rFonts w:hint="eastAsia" w:ascii="宋体" w:hAnsi="宋体"/>
          <w:sz w:val="24"/>
          <w:lang w:eastAsia="zh-CN"/>
        </w:rPr>
        <w:t>西安市青龙寺遗址保管所</w:t>
      </w:r>
    </w:p>
    <w:p w14:paraId="498B9143">
      <w:pPr>
        <w:keepNext w:val="0"/>
        <w:keepLines w:val="0"/>
        <w:pageBreakBefore w:val="0"/>
        <w:widowControl w:val="0"/>
        <w:numPr>
          <w:ilvl w:val="0"/>
          <w:numId w:val="1"/>
        </w:numPr>
        <w:tabs>
          <w:tab w:val="left" w:pos="240"/>
          <w:tab w:val="clear" w:pos="840"/>
        </w:tabs>
        <w:kinsoku/>
        <w:wordWrap/>
        <w:overflowPunct/>
        <w:topLinePunct w:val="0"/>
        <w:autoSpaceDE/>
        <w:autoSpaceDN/>
        <w:bidi w:val="0"/>
        <w:adjustRightInd/>
        <w:snapToGrid/>
        <w:spacing w:line="480" w:lineRule="exact"/>
        <w:ind w:left="0" w:leftChars="0" w:firstLine="480" w:firstLineChars="200"/>
        <w:textAlignment w:val="auto"/>
        <w:rPr>
          <w:rFonts w:hint="eastAsia" w:ascii="宋体" w:hAnsi="宋体"/>
          <w:sz w:val="24"/>
        </w:rPr>
      </w:pPr>
      <w:r>
        <w:rPr>
          <w:rFonts w:hint="eastAsia" w:ascii="宋体" w:hAnsi="宋体"/>
          <w:sz w:val="24"/>
        </w:rPr>
        <w:t>采购代理机构：</w:t>
      </w:r>
      <w:r>
        <w:rPr>
          <w:rFonts w:hint="eastAsia" w:ascii="宋体" w:hAnsi="宋体"/>
          <w:sz w:val="24"/>
          <w:lang w:eastAsia="zh-CN"/>
        </w:rPr>
        <w:t>致君项目管理有限公司</w:t>
      </w:r>
    </w:p>
    <w:p w14:paraId="6B03B33B">
      <w:pPr>
        <w:keepNext w:val="0"/>
        <w:keepLines w:val="0"/>
        <w:pageBreakBefore w:val="0"/>
        <w:widowControl w:val="0"/>
        <w:numPr>
          <w:ilvl w:val="0"/>
          <w:numId w:val="1"/>
        </w:numPr>
        <w:tabs>
          <w:tab w:val="left" w:pos="240"/>
          <w:tab w:val="clear" w:pos="840"/>
        </w:tabs>
        <w:kinsoku/>
        <w:wordWrap/>
        <w:overflowPunct/>
        <w:topLinePunct w:val="0"/>
        <w:autoSpaceDE/>
        <w:autoSpaceDN/>
        <w:bidi w:val="0"/>
        <w:adjustRightInd/>
        <w:snapToGrid/>
        <w:spacing w:line="480" w:lineRule="exact"/>
        <w:ind w:left="0" w:leftChars="0" w:firstLine="480" w:firstLineChars="200"/>
        <w:textAlignment w:val="auto"/>
        <w:rPr>
          <w:rFonts w:ascii="宋体" w:hAnsi="宋体"/>
          <w:sz w:val="24"/>
        </w:rPr>
      </w:pPr>
      <w:r>
        <w:rPr>
          <w:rFonts w:hint="eastAsia" w:ascii="宋体" w:hAnsi="宋体"/>
          <w:sz w:val="24"/>
        </w:rPr>
        <w:t>供应商：满足本次磋商要求具有相应资格和完成项目能力的供应商</w:t>
      </w:r>
    </w:p>
    <w:p w14:paraId="0B086EE9">
      <w:pPr>
        <w:keepNext w:val="0"/>
        <w:keepLines w:val="0"/>
        <w:pageBreakBefore w:val="0"/>
        <w:widowControl w:val="0"/>
        <w:numPr>
          <w:ilvl w:val="0"/>
          <w:numId w:val="1"/>
        </w:numPr>
        <w:tabs>
          <w:tab w:val="left" w:pos="240"/>
          <w:tab w:val="clear" w:pos="840"/>
        </w:tabs>
        <w:kinsoku/>
        <w:wordWrap/>
        <w:overflowPunct/>
        <w:topLinePunct w:val="0"/>
        <w:autoSpaceDE/>
        <w:autoSpaceDN/>
        <w:bidi w:val="0"/>
        <w:adjustRightInd/>
        <w:snapToGrid/>
        <w:spacing w:line="480" w:lineRule="exact"/>
        <w:ind w:left="0" w:leftChars="0" w:firstLine="480" w:firstLineChars="200"/>
        <w:textAlignment w:val="auto"/>
        <w:rPr>
          <w:rFonts w:hint="eastAsia" w:ascii="宋体" w:hAnsi="宋体"/>
          <w:sz w:val="24"/>
        </w:rPr>
      </w:pPr>
      <w:r>
        <w:rPr>
          <w:rFonts w:hint="eastAsia" w:ascii="宋体" w:hAnsi="宋体"/>
          <w:sz w:val="24"/>
        </w:rPr>
        <w:t>磋商文件：磋商文件与响应文件的统称</w:t>
      </w:r>
    </w:p>
    <w:p w14:paraId="6DE8E585">
      <w:pPr>
        <w:keepNext w:val="0"/>
        <w:keepLines w:val="0"/>
        <w:pageBreakBefore w:val="0"/>
        <w:widowControl w:val="0"/>
        <w:numPr>
          <w:ilvl w:val="0"/>
          <w:numId w:val="1"/>
        </w:numPr>
        <w:tabs>
          <w:tab w:val="left" w:pos="240"/>
          <w:tab w:val="clear" w:pos="840"/>
        </w:tabs>
        <w:kinsoku/>
        <w:wordWrap/>
        <w:overflowPunct/>
        <w:topLinePunct w:val="0"/>
        <w:autoSpaceDE/>
        <w:autoSpaceDN/>
        <w:bidi w:val="0"/>
        <w:adjustRightInd/>
        <w:snapToGrid/>
        <w:spacing w:line="480" w:lineRule="exact"/>
        <w:ind w:left="0" w:leftChars="0" w:firstLine="480" w:firstLineChars="200"/>
        <w:textAlignment w:val="auto"/>
        <w:rPr>
          <w:rFonts w:hint="eastAsia" w:ascii="宋体" w:hAnsi="宋体"/>
          <w:sz w:val="24"/>
        </w:rPr>
      </w:pPr>
      <w:r>
        <w:rPr>
          <w:rFonts w:hint="eastAsia" w:ascii="宋体" w:hAnsi="宋体"/>
          <w:sz w:val="24"/>
        </w:rPr>
        <w:t>成交供应商：由磋商小组推荐经采购人确认的供应商</w:t>
      </w:r>
    </w:p>
    <w:p w14:paraId="2EE62AD0">
      <w:pPr>
        <w:jc w:val="center"/>
        <w:rPr>
          <w:rFonts w:hint="eastAsia" w:ascii="宋体" w:hAnsi="宋体"/>
          <w:sz w:val="30"/>
          <w:szCs w:val="30"/>
        </w:rPr>
      </w:pPr>
      <w:r>
        <w:rPr>
          <w:rFonts w:hint="eastAsia" w:ascii="宋体" w:hAnsi="宋体"/>
          <w:b/>
          <w:sz w:val="30"/>
          <w:szCs w:val="30"/>
        </w:rPr>
        <w:t>二．供应商</w:t>
      </w:r>
    </w:p>
    <w:p w14:paraId="368CAECE">
      <w:pPr>
        <w:ind w:firstLine="120" w:firstLineChars="50"/>
        <w:rPr>
          <w:rFonts w:hint="eastAsia" w:ascii="宋体" w:hAnsi="宋体"/>
          <w:b/>
          <w:sz w:val="24"/>
        </w:rPr>
      </w:pPr>
      <w:r>
        <w:rPr>
          <w:rFonts w:hint="eastAsia" w:ascii="宋体" w:hAnsi="宋体"/>
          <w:b/>
          <w:sz w:val="24"/>
        </w:rPr>
        <w:t>1、满足《中华人民共和国政府采购法》第二十二条规定</w:t>
      </w:r>
    </w:p>
    <w:p w14:paraId="017F3DA0">
      <w:pPr>
        <w:spacing w:line="360" w:lineRule="auto"/>
        <w:ind w:left="1078" w:leftChars="172" w:hanging="717" w:hangingChars="299"/>
        <w:rPr>
          <w:rFonts w:hint="eastAsia" w:ascii="宋体" w:hAnsi="宋体"/>
          <w:sz w:val="24"/>
        </w:rPr>
      </w:pPr>
      <w:r>
        <w:rPr>
          <w:rFonts w:hint="eastAsia" w:ascii="宋体" w:hAnsi="宋体"/>
          <w:sz w:val="24"/>
        </w:rPr>
        <w:t>（1）具有独立承担民事责任的能力</w:t>
      </w:r>
    </w:p>
    <w:p w14:paraId="533AF515">
      <w:pPr>
        <w:spacing w:line="360" w:lineRule="auto"/>
        <w:ind w:left="1078" w:leftChars="172" w:hanging="717" w:hangingChars="299"/>
        <w:rPr>
          <w:rFonts w:hint="eastAsia" w:ascii="宋体" w:hAnsi="宋体"/>
          <w:sz w:val="24"/>
        </w:rPr>
      </w:pPr>
      <w:r>
        <w:rPr>
          <w:rFonts w:hint="eastAsia" w:ascii="宋体" w:hAnsi="宋体"/>
          <w:sz w:val="24"/>
        </w:rPr>
        <w:t>（2）具有良好的商业信誉和健全的财务会计制度</w:t>
      </w:r>
    </w:p>
    <w:p w14:paraId="216D4C36">
      <w:pPr>
        <w:spacing w:line="360" w:lineRule="auto"/>
        <w:ind w:left="1078" w:leftChars="172" w:hanging="717" w:hangingChars="299"/>
        <w:rPr>
          <w:rFonts w:hint="eastAsia" w:ascii="宋体" w:hAnsi="宋体"/>
          <w:sz w:val="24"/>
        </w:rPr>
      </w:pPr>
      <w:r>
        <w:rPr>
          <w:rFonts w:hint="eastAsia" w:ascii="宋体" w:hAnsi="宋体"/>
          <w:sz w:val="24"/>
        </w:rPr>
        <w:t>（3）具有履行合同所必需的产品和专业技术能力</w:t>
      </w:r>
    </w:p>
    <w:p w14:paraId="1862249F">
      <w:pPr>
        <w:spacing w:line="360" w:lineRule="auto"/>
        <w:ind w:left="1078" w:leftChars="172" w:hanging="717" w:hangingChars="299"/>
        <w:rPr>
          <w:rFonts w:hint="eastAsia" w:ascii="宋体" w:hAnsi="宋体"/>
          <w:sz w:val="24"/>
        </w:rPr>
      </w:pPr>
      <w:r>
        <w:rPr>
          <w:rFonts w:hint="eastAsia" w:ascii="宋体" w:hAnsi="宋体"/>
          <w:sz w:val="24"/>
        </w:rPr>
        <w:t>（4）有依法缴纳税收和社会保障资金的良好记录</w:t>
      </w:r>
    </w:p>
    <w:p w14:paraId="4B4A52A2">
      <w:pPr>
        <w:spacing w:line="360" w:lineRule="auto"/>
        <w:ind w:left="1078" w:leftChars="172" w:hanging="717" w:hangingChars="299"/>
        <w:rPr>
          <w:rFonts w:hint="eastAsia" w:ascii="宋体" w:hAnsi="宋体"/>
          <w:sz w:val="24"/>
        </w:rPr>
      </w:pPr>
      <w:r>
        <w:rPr>
          <w:rFonts w:hint="eastAsia" w:ascii="宋体" w:hAnsi="宋体"/>
          <w:sz w:val="24"/>
        </w:rPr>
        <w:t>（5）参加政府采购活动前三年内，在经营活动中没有重大违法记录</w:t>
      </w:r>
    </w:p>
    <w:p w14:paraId="3087B1E8">
      <w:pPr>
        <w:spacing w:line="360" w:lineRule="auto"/>
        <w:ind w:left="1078" w:leftChars="172" w:hanging="717" w:hangingChars="299"/>
        <w:rPr>
          <w:rFonts w:hint="eastAsia" w:ascii="宋体" w:hAnsi="宋体"/>
          <w:sz w:val="24"/>
        </w:rPr>
      </w:pPr>
      <w:r>
        <w:rPr>
          <w:rFonts w:hint="eastAsia" w:ascii="宋体" w:hAnsi="宋体"/>
          <w:sz w:val="24"/>
        </w:rPr>
        <w:t>（6）法律、行政法规规定的其他条件</w:t>
      </w:r>
    </w:p>
    <w:p w14:paraId="0E0EDD38">
      <w:pPr>
        <w:ind w:firstLine="120" w:firstLineChars="50"/>
        <w:rPr>
          <w:rFonts w:hint="eastAsia" w:ascii="宋体" w:hAnsi="宋体" w:eastAsia="宋体"/>
          <w:b/>
          <w:sz w:val="24"/>
          <w:lang w:val="en-US" w:eastAsia="zh-CN"/>
        </w:rPr>
      </w:pPr>
      <w:r>
        <w:rPr>
          <w:rFonts w:hint="eastAsia" w:ascii="宋体" w:hAnsi="宋体" w:eastAsia="宋体"/>
          <w:b/>
          <w:sz w:val="24"/>
        </w:rPr>
        <w:t>2、供应商</w:t>
      </w:r>
      <w:r>
        <w:rPr>
          <w:rFonts w:hint="eastAsia" w:ascii="宋体" w:hAnsi="宋体" w:eastAsia="宋体"/>
          <w:b/>
          <w:sz w:val="24"/>
          <w:lang w:val="en-US" w:eastAsia="zh-CN"/>
        </w:rPr>
        <w:t>特定资格</w:t>
      </w:r>
    </w:p>
    <w:p w14:paraId="76BDB702">
      <w:pPr>
        <w:spacing w:line="360" w:lineRule="auto"/>
        <w:ind w:firstLine="480" w:firstLineChars="200"/>
        <w:rPr>
          <w:rFonts w:hint="eastAsia" w:ascii="宋体" w:hAnsi="宋体" w:eastAsia="宋体"/>
          <w:sz w:val="24"/>
          <w:lang w:val="en-US" w:eastAsia="zh-CN"/>
        </w:rPr>
      </w:pPr>
      <w:r>
        <w:rPr>
          <w:rFonts w:hint="eastAsia" w:ascii="宋体" w:hAnsi="宋体" w:eastAsia="宋体"/>
          <w:sz w:val="24"/>
          <w:lang w:val="en-US" w:eastAsia="zh-CN"/>
        </w:rPr>
        <w:t>（1）营业执照：供应商须具有独立承担民事责任能力的法人、其他组织或自然人，并出具合法有效的营业执照或事业单位法人证书等国家规定的相关证明，自然人参与的提供其身份证明；</w:t>
      </w:r>
    </w:p>
    <w:p w14:paraId="3698C740">
      <w:pPr>
        <w:spacing w:line="360" w:lineRule="auto"/>
        <w:ind w:firstLine="480" w:firstLineChars="200"/>
        <w:rPr>
          <w:rFonts w:hint="eastAsia" w:ascii="宋体" w:hAnsi="宋体" w:eastAsia="宋体"/>
          <w:sz w:val="24"/>
          <w:lang w:val="en-US" w:eastAsia="zh-CN"/>
        </w:rPr>
      </w:pPr>
      <w:r>
        <w:rPr>
          <w:rFonts w:hint="eastAsia" w:ascii="宋体" w:hAnsi="宋体" w:eastAsia="宋体"/>
          <w:sz w:val="24"/>
          <w:lang w:val="en-US" w:eastAsia="zh-CN"/>
        </w:rPr>
        <w:t>（2）法定代表人身份证明或法定代表人授权委托书：供应商法定代表人直接参与磋商的，须出具法定代表人身份证明（附法定代表人身份证复印件）；法定代表人授权代表参与磋商的，须出具法定代表人授权委托书（附法定代表人及授权代表身份证复印件)；</w:t>
      </w:r>
    </w:p>
    <w:p w14:paraId="4F031512">
      <w:pPr>
        <w:spacing w:line="360" w:lineRule="auto"/>
        <w:ind w:firstLine="480" w:firstLineChars="200"/>
        <w:rPr>
          <w:rFonts w:hint="eastAsia" w:ascii="宋体" w:hAnsi="宋体" w:eastAsia="宋体"/>
          <w:sz w:val="24"/>
          <w:lang w:val="en-US" w:eastAsia="zh-CN"/>
        </w:rPr>
      </w:pPr>
      <w:r>
        <w:rPr>
          <w:rFonts w:hint="eastAsia" w:ascii="宋体" w:hAnsi="宋体" w:eastAsia="宋体"/>
          <w:sz w:val="24"/>
          <w:lang w:val="en-US" w:eastAsia="zh-CN"/>
        </w:rPr>
        <w:t>（3）财务状况报告：供应商须提供2025年度的财务审计报告（至少包括资产负债表、利润表、现金流量表，成立时间至提交磋商响应文件截止时间不足一年的可提供成立后任意时段的资产负债表、利润表、现金流量表），或其基本存款账户开户银行出具的资信证明及基本存款账户开户许可证（或存款信息）；</w:t>
      </w:r>
    </w:p>
    <w:p w14:paraId="1C0C814A">
      <w:pPr>
        <w:spacing w:line="360" w:lineRule="auto"/>
        <w:ind w:firstLine="480" w:firstLineChars="200"/>
        <w:rPr>
          <w:rFonts w:hint="eastAsia" w:ascii="宋体" w:hAnsi="宋体" w:eastAsia="宋体"/>
          <w:sz w:val="24"/>
          <w:lang w:val="en-US" w:eastAsia="zh-CN"/>
        </w:rPr>
      </w:pPr>
      <w:r>
        <w:rPr>
          <w:rFonts w:hint="eastAsia" w:ascii="宋体" w:hAnsi="宋体" w:eastAsia="宋体"/>
          <w:sz w:val="24"/>
          <w:lang w:val="en-US" w:eastAsia="zh-CN"/>
        </w:rPr>
        <w:t>（4）税收缴纳证明：供应商须提供磋商截止日前六个月已缴纳的至少一个月的纳税证明或完税证明，依法免税的单位应提供相关证明材料；</w:t>
      </w:r>
    </w:p>
    <w:p w14:paraId="6BF234E7">
      <w:pPr>
        <w:spacing w:line="360" w:lineRule="auto"/>
        <w:ind w:firstLine="480" w:firstLineChars="200"/>
        <w:rPr>
          <w:rFonts w:hint="eastAsia" w:ascii="宋体" w:hAnsi="宋体" w:eastAsia="宋体"/>
          <w:sz w:val="24"/>
          <w:lang w:val="en-US" w:eastAsia="zh-CN"/>
        </w:rPr>
      </w:pPr>
      <w:r>
        <w:rPr>
          <w:rFonts w:hint="eastAsia" w:ascii="宋体" w:hAnsi="宋体" w:eastAsia="宋体"/>
          <w:sz w:val="24"/>
          <w:lang w:val="en-US" w:eastAsia="zh-CN"/>
        </w:rPr>
        <w:t>（5）社会保障资金缴纳证明：供应商须提供磋商截止日前六个月已缴纳的至少一个月的社会保障资金缴存单据或社保机构开具的社会保险参保缴费情况证明，依法不需要缴纳社会保障资金的单位应提供相关证明材料；</w:t>
      </w:r>
    </w:p>
    <w:p w14:paraId="59C763A0">
      <w:pPr>
        <w:spacing w:line="360" w:lineRule="auto"/>
        <w:ind w:firstLine="480" w:firstLineChars="200"/>
        <w:rPr>
          <w:rFonts w:hint="eastAsia" w:ascii="宋体" w:hAnsi="宋体" w:eastAsia="宋体"/>
          <w:sz w:val="24"/>
          <w:lang w:val="en-US" w:eastAsia="zh-CN"/>
        </w:rPr>
      </w:pPr>
      <w:r>
        <w:rPr>
          <w:rFonts w:hint="eastAsia" w:ascii="宋体" w:hAnsi="宋体" w:eastAsia="宋体"/>
          <w:sz w:val="24"/>
          <w:lang w:val="en-US" w:eastAsia="zh-CN"/>
        </w:rPr>
        <w:t>（6）供应商信誉要求：供应商不得为“信用中国”网站（www.creditchina.gov.cn）中列入重大税收违法失信主体的供应商，不得为“中国执行信息公开网”（http://zxgk.court.gov.cn）网站被列为失信被执行人，不得为“中国政府采购网”（www.ccgp.gov.cn）政府采购严重违法失信行为记录名单中被财政部门禁止参加政府采购活动的供应商（提供相关网站查询截图或承诺书）；</w:t>
      </w:r>
    </w:p>
    <w:p w14:paraId="05BD0A9F">
      <w:pPr>
        <w:spacing w:line="360" w:lineRule="auto"/>
        <w:ind w:firstLine="480" w:firstLineChars="200"/>
        <w:rPr>
          <w:rFonts w:hint="eastAsia" w:ascii="宋体" w:hAnsi="宋体" w:eastAsia="宋体"/>
          <w:sz w:val="24"/>
          <w:lang w:val="en-US" w:eastAsia="zh-CN"/>
        </w:rPr>
      </w:pPr>
      <w:r>
        <w:rPr>
          <w:rFonts w:hint="eastAsia" w:ascii="宋体" w:hAnsi="宋体" w:eastAsia="宋体"/>
          <w:sz w:val="24"/>
          <w:lang w:val="en-US" w:eastAsia="zh-CN"/>
        </w:rPr>
        <w:t>（7）关联关系：单位负责人为同一人或者存在直接控股、管理关系的不同供应商，不得参加同一合同项下的政府采购活动（提供承诺书）；</w:t>
      </w:r>
    </w:p>
    <w:p w14:paraId="021491EE">
      <w:pPr>
        <w:spacing w:line="360" w:lineRule="auto"/>
        <w:ind w:firstLine="480" w:firstLineChars="200"/>
        <w:rPr>
          <w:rFonts w:hint="eastAsia" w:ascii="宋体" w:hAnsi="宋体" w:eastAsia="宋体"/>
          <w:sz w:val="24"/>
          <w:lang w:val="en-US" w:eastAsia="zh-CN"/>
        </w:rPr>
      </w:pPr>
      <w:r>
        <w:rPr>
          <w:rFonts w:hint="eastAsia" w:ascii="宋体" w:hAnsi="宋体" w:eastAsia="宋体"/>
          <w:sz w:val="24"/>
          <w:lang w:val="en-US" w:eastAsia="zh-CN"/>
        </w:rPr>
        <w:t>（8）书面声明：供应商参加政府采购活动前三年内，在经营活动中没有重大违法记录的书面声明（提供承诺书）；</w:t>
      </w:r>
    </w:p>
    <w:p w14:paraId="143B6774">
      <w:pPr>
        <w:spacing w:line="360" w:lineRule="auto"/>
        <w:ind w:firstLine="480" w:firstLineChars="200"/>
        <w:rPr>
          <w:rFonts w:hint="eastAsia" w:ascii="宋体" w:hAnsi="宋体" w:eastAsia="宋体"/>
          <w:sz w:val="24"/>
          <w:lang w:val="en-US" w:eastAsia="zh-CN"/>
        </w:rPr>
      </w:pPr>
      <w:r>
        <w:rPr>
          <w:rFonts w:hint="eastAsia" w:ascii="宋体" w:hAnsi="宋体" w:eastAsia="宋体"/>
          <w:sz w:val="24"/>
          <w:lang w:val="en-US" w:eastAsia="zh-CN"/>
        </w:rPr>
        <w:t>（9）承诺书：供应商须提供具有履行合同所必需的设备和专业技术能力的承诺（提供承诺书）</w:t>
      </w:r>
    </w:p>
    <w:p w14:paraId="62874C5D">
      <w:pPr>
        <w:spacing w:line="360" w:lineRule="auto"/>
        <w:ind w:firstLine="480" w:firstLineChars="200"/>
        <w:rPr>
          <w:rFonts w:hint="eastAsia" w:ascii="宋体" w:hAnsi="宋体" w:eastAsia="宋体"/>
          <w:sz w:val="24"/>
          <w:lang w:val="en-US" w:eastAsia="zh-CN"/>
        </w:rPr>
      </w:pPr>
      <w:r>
        <w:rPr>
          <w:rFonts w:hint="eastAsia" w:ascii="宋体" w:hAnsi="宋体" w:eastAsia="宋体"/>
          <w:sz w:val="24"/>
          <w:lang w:val="en-US" w:eastAsia="zh-CN"/>
        </w:rPr>
        <w:t>（10）非联合体承诺书：本项目不接受联合体磋商（提供承诺书）。</w:t>
      </w:r>
    </w:p>
    <w:p w14:paraId="11648D06">
      <w:pPr>
        <w:ind w:firstLine="120" w:firstLineChars="50"/>
        <w:rPr>
          <w:rFonts w:hint="eastAsia" w:ascii="宋体" w:hAnsi="宋体"/>
          <w:b/>
          <w:sz w:val="24"/>
        </w:rPr>
      </w:pPr>
      <w:r>
        <w:rPr>
          <w:rFonts w:hint="eastAsia" w:ascii="宋体" w:hAnsi="宋体"/>
          <w:b/>
          <w:sz w:val="24"/>
        </w:rPr>
        <w:t>3、磋商委托</w:t>
      </w:r>
    </w:p>
    <w:p w14:paraId="38D96240">
      <w:pPr>
        <w:spacing w:line="360" w:lineRule="auto"/>
        <w:ind w:firstLine="480" w:firstLineChars="200"/>
        <w:rPr>
          <w:rFonts w:hint="eastAsia" w:ascii="宋体" w:hAnsi="宋体"/>
          <w:sz w:val="24"/>
        </w:rPr>
      </w:pPr>
      <w:r>
        <w:rPr>
          <w:rFonts w:hint="eastAsia" w:ascii="宋体" w:hAnsi="宋体"/>
          <w:sz w:val="24"/>
        </w:rPr>
        <w:t>如供应商代表不是法定代表人，须持有《法定代表人授权书》（原件）。</w:t>
      </w:r>
    </w:p>
    <w:p w14:paraId="17EF1029">
      <w:pPr>
        <w:ind w:firstLine="120" w:firstLineChars="50"/>
        <w:rPr>
          <w:rFonts w:hint="eastAsia" w:ascii="宋体" w:hAnsi="宋体"/>
          <w:b/>
          <w:sz w:val="24"/>
        </w:rPr>
      </w:pPr>
      <w:r>
        <w:rPr>
          <w:rFonts w:hint="eastAsia" w:ascii="宋体" w:hAnsi="宋体"/>
          <w:b/>
          <w:sz w:val="24"/>
        </w:rPr>
        <w:t>4、磋商费用</w:t>
      </w:r>
    </w:p>
    <w:p w14:paraId="7D4476BD">
      <w:pPr>
        <w:spacing w:line="360" w:lineRule="auto"/>
        <w:ind w:firstLine="480" w:firstLineChars="200"/>
        <w:rPr>
          <w:rFonts w:hint="eastAsia" w:ascii="宋体" w:hAnsi="宋体"/>
          <w:sz w:val="24"/>
        </w:rPr>
      </w:pPr>
      <w:r>
        <w:rPr>
          <w:rFonts w:hint="eastAsia" w:ascii="宋体" w:hAnsi="宋体"/>
          <w:sz w:val="24"/>
        </w:rPr>
        <w:t>无论磋商结果如何，供应商自行承担参加磋商相关的全部费用。</w:t>
      </w:r>
    </w:p>
    <w:p w14:paraId="04534820">
      <w:pPr>
        <w:jc w:val="center"/>
        <w:rPr>
          <w:rFonts w:hint="eastAsia" w:ascii="宋体" w:hAnsi="宋体"/>
          <w:sz w:val="30"/>
          <w:szCs w:val="30"/>
        </w:rPr>
      </w:pPr>
      <w:r>
        <w:rPr>
          <w:rFonts w:hint="eastAsia" w:ascii="宋体" w:hAnsi="宋体"/>
          <w:b/>
          <w:sz w:val="30"/>
          <w:szCs w:val="30"/>
        </w:rPr>
        <w:t>三．磋商文件</w:t>
      </w:r>
    </w:p>
    <w:p w14:paraId="2D2FB9E5">
      <w:pPr>
        <w:spacing w:line="336" w:lineRule="auto"/>
        <w:rPr>
          <w:rFonts w:hint="eastAsia" w:ascii="宋体" w:hAnsi="宋体"/>
          <w:b/>
          <w:sz w:val="24"/>
        </w:rPr>
      </w:pPr>
      <w:r>
        <w:rPr>
          <w:rFonts w:hint="eastAsia" w:ascii="宋体" w:hAnsi="宋体"/>
          <w:b/>
          <w:sz w:val="24"/>
        </w:rPr>
        <w:t>1、磋商文件</w:t>
      </w:r>
    </w:p>
    <w:p w14:paraId="77C156D2">
      <w:pPr>
        <w:spacing w:line="336" w:lineRule="auto"/>
        <w:ind w:firstLine="240" w:firstLineChars="100"/>
        <w:rPr>
          <w:rFonts w:hint="eastAsia" w:ascii="宋体" w:hAnsi="宋体"/>
          <w:sz w:val="24"/>
        </w:rPr>
      </w:pPr>
      <w:r>
        <w:rPr>
          <w:rFonts w:hint="eastAsia" w:ascii="宋体" w:hAnsi="宋体"/>
          <w:sz w:val="24"/>
        </w:rPr>
        <w:t xml:space="preserve"> （1）磋商文件由磋商文件总目录所列内容组成；供应商应详细阅读磋商文件中所有的事项、格式、条款和规范要求,在响应文件中对磋商文件的各方面都应做出实质性的响应，按照磋商文件的要求提交全部资料。</w:t>
      </w:r>
    </w:p>
    <w:p w14:paraId="186CF13A">
      <w:pPr>
        <w:spacing w:line="336" w:lineRule="auto"/>
        <w:ind w:firstLine="240" w:firstLineChars="100"/>
        <w:rPr>
          <w:rFonts w:hint="eastAsia" w:ascii="宋体" w:hAnsi="宋体"/>
          <w:sz w:val="24"/>
        </w:rPr>
      </w:pPr>
      <w:r>
        <w:rPr>
          <w:rFonts w:hint="eastAsia" w:ascii="宋体" w:hAnsi="宋体"/>
          <w:sz w:val="24"/>
        </w:rPr>
        <w:t xml:space="preserve"> （2）</w:t>
      </w:r>
      <w:bookmarkStart w:id="7" w:name="_Toc3633"/>
      <w:r>
        <w:rPr>
          <w:rFonts w:hint="eastAsia" w:ascii="宋体" w:hAnsi="宋体"/>
          <w:sz w:val="24"/>
        </w:rPr>
        <w:t>适用范围</w:t>
      </w:r>
      <w:bookmarkEnd w:id="7"/>
    </w:p>
    <w:p w14:paraId="5FF9564F">
      <w:pPr>
        <w:spacing w:line="336" w:lineRule="auto"/>
        <w:ind w:firstLine="480" w:firstLineChars="200"/>
        <w:rPr>
          <w:rFonts w:hint="eastAsia" w:ascii="宋体" w:hAnsi="宋体"/>
          <w:sz w:val="24"/>
        </w:rPr>
      </w:pPr>
      <w:r>
        <w:rPr>
          <w:rFonts w:hint="eastAsia" w:ascii="宋体" w:hAnsi="宋体"/>
          <w:sz w:val="24"/>
        </w:rPr>
        <w:t>本次磋商依据采购人的采购计划，仅适用于本磋商文件中所叙述的项目。</w:t>
      </w:r>
    </w:p>
    <w:p w14:paraId="42796D9E">
      <w:pPr>
        <w:spacing w:line="360" w:lineRule="auto"/>
        <w:ind w:firstLine="360" w:firstLineChars="150"/>
        <w:rPr>
          <w:rFonts w:hint="eastAsia" w:ascii="宋体" w:hAnsi="宋体"/>
          <w:sz w:val="24"/>
        </w:rPr>
      </w:pPr>
      <w:r>
        <w:rPr>
          <w:rFonts w:hint="eastAsia" w:ascii="宋体" w:hAnsi="宋体"/>
          <w:sz w:val="24"/>
        </w:rPr>
        <w:t>（3）磋商</w:t>
      </w:r>
      <w:r>
        <w:rPr>
          <w:rFonts w:ascii="宋体" w:hAnsi="宋体"/>
          <w:sz w:val="24"/>
        </w:rPr>
        <w:t>文件的</w:t>
      </w:r>
      <w:r>
        <w:rPr>
          <w:rFonts w:hint="eastAsia" w:ascii="宋体" w:hAnsi="宋体"/>
          <w:sz w:val="24"/>
        </w:rPr>
        <w:t>购买</w:t>
      </w:r>
      <w:r>
        <w:rPr>
          <w:rFonts w:ascii="宋体" w:hAnsi="宋体"/>
          <w:sz w:val="24"/>
        </w:rPr>
        <w:t>：</w:t>
      </w:r>
      <w:r>
        <w:rPr>
          <w:rFonts w:hint="eastAsia" w:ascii="宋体" w:hAnsi="宋体"/>
          <w:sz w:val="24"/>
        </w:rPr>
        <w:t>磋商</w:t>
      </w:r>
      <w:r>
        <w:rPr>
          <w:rFonts w:ascii="宋体" w:hAnsi="宋体"/>
          <w:sz w:val="24"/>
        </w:rPr>
        <w:t>公告发布后，</w:t>
      </w:r>
      <w:r>
        <w:rPr>
          <w:rFonts w:hint="eastAsia" w:ascii="宋体" w:hAnsi="宋体"/>
          <w:sz w:val="24"/>
        </w:rPr>
        <w:t>供应商</w:t>
      </w:r>
      <w:r>
        <w:rPr>
          <w:rFonts w:ascii="宋体" w:hAnsi="宋体"/>
          <w:sz w:val="24"/>
        </w:rPr>
        <w:t>应从采购代理机构购买</w:t>
      </w:r>
      <w:r>
        <w:rPr>
          <w:rFonts w:hint="eastAsia" w:ascii="宋体" w:hAnsi="宋体"/>
          <w:sz w:val="24"/>
        </w:rPr>
        <w:t>磋商</w:t>
      </w:r>
      <w:r>
        <w:rPr>
          <w:rFonts w:ascii="宋体" w:hAnsi="宋体"/>
          <w:sz w:val="24"/>
        </w:rPr>
        <w:t>文件，</w:t>
      </w:r>
      <w:r>
        <w:rPr>
          <w:rFonts w:hint="eastAsia" w:ascii="宋体" w:hAnsi="宋体"/>
          <w:sz w:val="24"/>
        </w:rPr>
        <w:t>供应商自行转让或复制的磋商文件视为无效磋商文件；磋商</w:t>
      </w:r>
      <w:r>
        <w:rPr>
          <w:rFonts w:ascii="宋体" w:hAnsi="宋体"/>
          <w:sz w:val="24"/>
        </w:rPr>
        <w:t>文件一经售出，一律不退，仅作为本次</w:t>
      </w:r>
      <w:r>
        <w:rPr>
          <w:rFonts w:hint="eastAsia" w:ascii="宋体" w:hAnsi="宋体"/>
          <w:sz w:val="24"/>
        </w:rPr>
        <w:t>磋商</w:t>
      </w:r>
      <w:r>
        <w:rPr>
          <w:rFonts w:ascii="宋体" w:hAnsi="宋体"/>
          <w:sz w:val="24"/>
        </w:rPr>
        <w:t>使用。</w:t>
      </w:r>
    </w:p>
    <w:p w14:paraId="11D7F3EE">
      <w:pPr>
        <w:rPr>
          <w:rFonts w:ascii="宋体" w:hAnsi="宋体"/>
          <w:b/>
          <w:sz w:val="24"/>
        </w:rPr>
      </w:pPr>
      <w:r>
        <w:rPr>
          <w:rFonts w:hint="eastAsia" w:ascii="宋体" w:hAnsi="宋体"/>
          <w:b/>
          <w:sz w:val="24"/>
        </w:rPr>
        <w:t>2、磋商文件的澄清及修改</w:t>
      </w:r>
    </w:p>
    <w:p w14:paraId="2228EE52">
      <w:pPr>
        <w:pStyle w:val="27"/>
        <w:spacing w:before="0" w:beforeAutospacing="0" w:after="0" w:afterAutospacing="0" w:line="360" w:lineRule="auto"/>
        <w:ind w:firstLine="480" w:firstLineChars="200"/>
        <w:rPr>
          <w:rFonts w:hint="eastAsia" w:cs="Times New Roman"/>
          <w:kern w:val="2"/>
        </w:rPr>
      </w:pPr>
      <w:r>
        <w:rPr>
          <w:rFonts w:hint="eastAsia" w:cs="Times New Roman"/>
          <w:kern w:val="2"/>
        </w:rPr>
        <w:t>采购代理机构可对已发出的磋商文件进行必要的澄清或者修改，澄清或者修改的内容作为磋商文件的组成部分。澄清和修改的内容可能影响响应文件编制的，采购代理机构应当在提交首次响应文件截止时间至少三个工作日前，以书面形式通知所有获取磋商文件的供应商，</w:t>
      </w:r>
      <w:r>
        <w:rPr>
          <w:rFonts w:hint="eastAsia" w:cs="Arial"/>
          <w:lang w:val="zh-CN"/>
        </w:rPr>
        <w:t>并对供应商具有约束力。供应商在收到上述通知后，</w:t>
      </w:r>
      <w:r>
        <w:rPr>
          <w:rFonts w:hint="eastAsia" w:cs="Times New Roman"/>
          <w:kern w:val="2"/>
        </w:rPr>
        <w:t>应当立即以书面形式向采购代理机构确认；不足三个工作日的，采购代理机构应当顺延提交首次响应文件截止时间。</w:t>
      </w:r>
    </w:p>
    <w:p w14:paraId="5BF912C8">
      <w:pPr>
        <w:pStyle w:val="27"/>
        <w:spacing w:before="0" w:beforeAutospacing="0" w:after="0" w:afterAutospacing="0" w:line="360" w:lineRule="auto"/>
        <w:rPr>
          <w:rFonts w:hint="eastAsia" w:cs="Times New Roman"/>
          <w:b/>
          <w:kern w:val="2"/>
        </w:rPr>
      </w:pPr>
      <w:r>
        <w:rPr>
          <w:rFonts w:hint="eastAsia" w:cs="Times New Roman"/>
          <w:b/>
          <w:kern w:val="2"/>
        </w:rPr>
        <w:t>3、质疑提出与答复</w:t>
      </w:r>
    </w:p>
    <w:p w14:paraId="1FA80858">
      <w:pPr>
        <w:spacing w:line="360" w:lineRule="auto"/>
        <w:ind w:firstLine="360" w:firstLineChars="150"/>
        <w:rPr>
          <w:rFonts w:hint="eastAsia" w:ascii="宋体" w:hAnsi="宋体"/>
          <w:sz w:val="24"/>
        </w:rPr>
      </w:pPr>
      <w:r>
        <w:rPr>
          <w:rFonts w:hint="eastAsia" w:ascii="宋体" w:hAnsi="宋体"/>
          <w:sz w:val="24"/>
        </w:rPr>
        <w:t>（1）供应商</w:t>
      </w:r>
      <w:r>
        <w:rPr>
          <w:rFonts w:ascii="宋体" w:hAnsi="宋体"/>
          <w:sz w:val="24"/>
        </w:rPr>
        <w:t>认为采购文件、采购过程、</w:t>
      </w:r>
      <w:r>
        <w:rPr>
          <w:rFonts w:hint="eastAsia" w:ascii="宋体" w:hAnsi="宋体"/>
          <w:sz w:val="24"/>
        </w:rPr>
        <w:t>成交</w:t>
      </w:r>
      <w:r>
        <w:rPr>
          <w:rFonts w:ascii="宋体" w:hAnsi="宋体"/>
          <w:sz w:val="24"/>
        </w:rPr>
        <w:t>结果使自己的权益受到损害的，</w:t>
      </w:r>
      <w:r>
        <w:rPr>
          <w:rFonts w:hint="eastAsia" w:ascii="宋体" w:hAnsi="宋体"/>
          <w:sz w:val="24"/>
        </w:rPr>
        <w:t>可以</w:t>
      </w:r>
      <w:r>
        <w:rPr>
          <w:rFonts w:ascii="宋体" w:hAnsi="宋体"/>
          <w:sz w:val="24"/>
        </w:rPr>
        <w:t>在知道或者应知其权益受到损害之日起七个工作日内，</w:t>
      </w:r>
      <w:r>
        <w:rPr>
          <w:rFonts w:hint="eastAsia" w:ascii="宋体" w:hAnsi="宋体"/>
          <w:sz w:val="24"/>
        </w:rPr>
        <w:t>以书面形式向采购代理机构提出（质疑函接收联系人、联系电话和通讯地址等详见磋商公告）。</w:t>
      </w:r>
    </w:p>
    <w:p w14:paraId="4064FB6E">
      <w:pPr>
        <w:spacing w:line="360" w:lineRule="auto"/>
        <w:ind w:firstLine="360" w:firstLineChars="150"/>
        <w:rPr>
          <w:rFonts w:hint="eastAsia" w:ascii="宋体" w:hAnsi="宋体"/>
          <w:sz w:val="24"/>
        </w:rPr>
      </w:pPr>
      <w:r>
        <w:rPr>
          <w:rFonts w:hint="eastAsia" w:ascii="宋体" w:hAnsi="宋体"/>
          <w:sz w:val="24"/>
        </w:rPr>
        <w:t>（2）质疑供应商法定代表人提交质疑的，须出具法定代表人资格证明书；委托代理人提交质疑的，必须向其出具授权委托书，授权委托书应当载明代理人的姓名或者名称、代理事项、具体权限、期限和相关事项，由法定代表人签字或者盖章，并加盖单位公章。</w:t>
      </w:r>
    </w:p>
    <w:p w14:paraId="7F617AAA">
      <w:pPr>
        <w:spacing w:line="360" w:lineRule="auto"/>
        <w:ind w:firstLine="360" w:firstLineChars="150"/>
        <w:rPr>
          <w:rFonts w:ascii="宋体" w:hAnsi="宋体"/>
          <w:sz w:val="24"/>
        </w:rPr>
      </w:pPr>
      <w:r>
        <w:rPr>
          <w:rFonts w:hint="eastAsia" w:ascii="宋体" w:hAnsi="宋体"/>
          <w:sz w:val="24"/>
        </w:rPr>
        <w:t>质疑函应当包括下列内容：</w:t>
      </w:r>
    </w:p>
    <w:p w14:paraId="7F04B593">
      <w:pPr>
        <w:spacing w:line="360" w:lineRule="auto"/>
        <w:ind w:firstLine="360" w:firstLineChars="150"/>
        <w:rPr>
          <w:rFonts w:ascii="宋体" w:hAnsi="宋体"/>
          <w:sz w:val="24"/>
        </w:rPr>
      </w:pPr>
      <w:r>
        <w:rPr>
          <w:rFonts w:hint="eastAsia" w:ascii="宋体" w:hAnsi="宋体"/>
          <w:sz w:val="24"/>
        </w:rPr>
        <w:t>1、供应商的姓名或者名称、地址、邮编、联系人及联系电话；</w:t>
      </w:r>
    </w:p>
    <w:p w14:paraId="6DD416DB">
      <w:pPr>
        <w:spacing w:line="360" w:lineRule="auto"/>
        <w:ind w:firstLine="360" w:firstLineChars="150"/>
        <w:rPr>
          <w:rFonts w:ascii="宋体" w:hAnsi="宋体"/>
          <w:sz w:val="24"/>
        </w:rPr>
      </w:pPr>
      <w:r>
        <w:rPr>
          <w:rFonts w:hint="eastAsia" w:ascii="宋体" w:hAnsi="宋体"/>
          <w:sz w:val="24"/>
        </w:rPr>
        <w:t>2、质疑项目的名称、编号；</w:t>
      </w:r>
    </w:p>
    <w:p w14:paraId="2F7E1755">
      <w:pPr>
        <w:spacing w:line="360" w:lineRule="auto"/>
        <w:ind w:firstLine="360" w:firstLineChars="150"/>
        <w:rPr>
          <w:rFonts w:ascii="宋体" w:hAnsi="宋体"/>
          <w:sz w:val="24"/>
        </w:rPr>
      </w:pPr>
      <w:r>
        <w:rPr>
          <w:rFonts w:hint="eastAsia" w:ascii="宋体" w:hAnsi="宋体"/>
          <w:sz w:val="24"/>
        </w:rPr>
        <w:t>3、具体、明确的质疑事项和与质疑事项相关的请求；</w:t>
      </w:r>
    </w:p>
    <w:p w14:paraId="0769899A">
      <w:pPr>
        <w:spacing w:line="360" w:lineRule="auto"/>
        <w:ind w:firstLine="360" w:firstLineChars="150"/>
        <w:rPr>
          <w:rFonts w:ascii="宋体" w:hAnsi="宋体"/>
          <w:sz w:val="24"/>
        </w:rPr>
      </w:pPr>
      <w:r>
        <w:rPr>
          <w:rFonts w:hint="eastAsia" w:ascii="宋体" w:hAnsi="宋体"/>
          <w:sz w:val="24"/>
        </w:rPr>
        <w:t>4、事实依据；</w:t>
      </w:r>
    </w:p>
    <w:p w14:paraId="2908E302">
      <w:pPr>
        <w:spacing w:line="360" w:lineRule="auto"/>
        <w:ind w:firstLine="360" w:firstLineChars="150"/>
        <w:rPr>
          <w:rFonts w:ascii="宋体" w:hAnsi="宋体"/>
          <w:sz w:val="24"/>
        </w:rPr>
      </w:pPr>
      <w:r>
        <w:rPr>
          <w:rFonts w:hint="eastAsia" w:ascii="宋体" w:hAnsi="宋体"/>
          <w:sz w:val="24"/>
        </w:rPr>
        <w:t>5、必要的法律依据；</w:t>
      </w:r>
    </w:p>
    <w:p w14:paraId="451753B4">
      <w:pPr>
        <w:spacing w:line="360" w:lineRule="auto"/>
        <w:ind w:firstLine="360" w:firstLineChars="150"/>
        <w:rPr>
          <w:rFonts w:hint="eastAsia" w:ascii="宋体" w:hAnsi="宋体"/>
          <w:sz w:val="24"/>
        </w:rPr>
      </w:pPr>
      <w:r>
        <w:rPr>
          <w:rFonts w:hint="eastAsia" w:ascii="宋体" w:hAnsi="宋体"/>
          <w:sz w:val="24"/>
        </w:rPr>
        <w:t xml:space="preserve">6、提出质疑的日期。 </w:t>
      </w:r>
    </w:p>
    <w:p w14:paraId="00AE8933">
      <w:pPr>
        <w:spacing w:line="360" w:lineRule="auto"/>
        <w:ind w:firstLine="360" w:firstLineChars="150"/>
        <w:rPr>
          <w:rFonts w:ascii="宋体" w:hAnsi="宋体"/>
          <w:sz w:val="24"/>
        </w:rPr>
      </w:pPr>
      <w:r>
        <w:rPr>
          <w:rFonts w:hint="eastAsia" w:ascii="宋体" w:hAnsi="宋体"/>
          <w:sz w:val="24"/>
        </w:rPr>
        <w:t>备注：供应商须在法定质疑期内一次性提出针对同一采购程序环节的质疑。</w:t>
      </w:r>
    </w:p>
    <w:p w14:paraId="7B889CCF">
      <w:pPr>
        <w:spacing w:line="360" w:lineRule="auto"/>
        <w:ind w:firstLine="240" w:firstLineChars="100"/>
        <w:rPr>
          <w:rFonts w:ascii="宋体" w:hAnsi="宋体"/>
          <w:sz w:val="24"/>
        </w:rPr>
      </w:pPr>
      <w:r>
        <w:rPr>
          <w:rFonts w:hint="eastAsia" w:ascii="宋体" w:hAnsi="宋体"/>
          <w:sz w:val="24"/>
        </w:rPr>
        <w:t>（3）质疑有以下情形之一的，采购代理机构不予受理：</w:t>
      </w:r>
    </w:p>
    <w:p w14:paraId="1B068F88">
      <w:pPr>
        <w:spacing w:line="360" w:lineRule="auto"/>
        <w:ind w:firstLine="360" w:firstLineChars="150"/>
        <w:rPr>
          <w:rFonts w:ascii="宋体" w:hAnsi="宋体"/>
          <w:sz w:val="24"/>
        </w:rPr>
      </w:pPr>
      <w:r>
        <w:rPr>
          <w:rFonts w:hint="eastAsia" w:ascii="宋体" w:hAnsi="宋体"/>
          <w:sz w:val="24"/>
        </w:rPr>
        <w:t>1、未按规定程序和渠道提出质疑的；</w:t>
      </w:r>
    </w:p>
    <w:p w14:paraId="12AF1B19">
      <w:pPr>
        <w:spacing w:line="360" w:lineRule="auto"/>
        <w:ind w:firstLine="360" w:firstLineChars="150"/>
        <w:rPr>
          <w:rFonts w:ascii="宋体" w:hAnsi="宋体"/>
          <w:sz w:val="24"/>
        </w:rPr>
      </w:pPr>
      <w:r>
        <w:rPr>
          <w:rFonts w:hint="eastAsia" w:ascii="宋体" w:hAnsi="宋体"/>
          <w:sz w:val="24"/>
        </w:rPr>
        <w:t xml:space="preserve">2、超过法定质疑期限的； </w:t>
      </w:r>
    </w:p>
    <w:p w14:paraId="0B8B9031">
      <w:pPr>
        <w:spacing w:line="360" w:lineRule="auto"/>
        <w:ind w:firstLine="360" w:firstLineChars="150"/>
        <w:rPr>
          <w:rFonts w:ascii="宋体" w:hAnsi="宋体"/>
          <w:sz w:val="24"/>
        </w:rPr>
      </w:pPr>
      <w:r>
        <w:rPr>
          <w:rFonts w:hint="eastAsia" w:ascii="宋体" w:hAnsi="宋体"/>
          <w:sz w:val="24"/>
        </w:rPr>
        <w:t>3、书面质疑的形式和内容不符合上述要求的；</w:t>
      </w:r>
    </w:p>
    <w:p w14:paraId="4FBD8A5A">
      <w:pPr>
        <w:spacing w:line="360" w:lineRule="auto"/>
        <w:ind w:firstLine="360" w:firstLineChars="150"/>
        <w:rPr>
          <w:rFonts w:ascii="宋体" w:hAnsi="宋体"/>
          <w:sz w:val="24"/>
        </w:rPr>
      </w:pPr>
      <w:r>
        <w:rPr>
          <w:rFonts w:hint="eastAsia" w:ascii="宋体" w:hAnsi="宋体"/>
          <w:sz w:val="24"/>
        </w:rPr>
        <w:t xml:space="preserve">4、提出的质疑事项已经明确答复的； </w:t>
      </w:r>
    </w:p>
    <w:p w14:paraId="439743C2">
      <w:pPr>
        <w:spacing w:line="360" w:lineRule="auto"/>
        <w:ind w:firstLine="360" w:firstLineChars="150"/>
        <w:rPr>
          <w:rFonts w:ascii="宋体" w:hAnsi="宋体"/>
          <w:sz w:val="24"/>
        </w:rPr>
      </w:pPr>
      <w:r>
        <w:rPr>
          <w:rFonts w:hint="eastAsia" w:ascii="宋体" w:hAnsi="宋体"/>
          <w:sz w:val="24"/>
        </w:rPr>
        <w:t>5、法律法规规定的其他不予受理的条件。</w:t>
      </w:r>
    </w:p>
    <w:p w14:paraId="7E2C4E76">
      <w:pPr>
        <w:spacing w:line="360" w:lineRule="auto"/>
        <w:ind w:firstLine="240" w:firstLineChars="100"/>
        <w:rPr>
          <w:rFonts w:hint="eastAsia" w:ascii="宋体" w:hAnsi="宋体"/>
          <w:sz w:val="24"/>
        </w:rPr>
      </w:pPr>
      <w:r>
        <w:rPr>
          <w:rFonts w:hint="eastAsia" w:ascii="宋体" w:hAnsi="宋体"/>
          <w:sz w:val="24"/>
        </w:rPr>
        <w:t>（4）采购代理机构应当在收到质疑函后</w:t>
      </w:r>
      <w:r>
        <w:rPr>
          <w:rFonts w:ascii="宋体" w:hAnsi="宋体"/>
          <w:sz w:val="24"/>
        </w:rPr>
        <w:t>七</w:t>
      </w:r>
      <w:r>
        <w:rPr>
          <w:rFonts w:hint="eastAsia" w:ascii="宋体" w:hAnsi="宋体"/>
          <w:sz w:val="24"/>
        </w:rPr>
        <w:t>个工作日内做出书面答复。答复内容同时通知与处理结果有关的供应商，但答复内容不得涉及供应商的商业秘密。</w:t>
      </w:r>
    </w:p>
    <w:p w14:paraId="2D731818">
      <w:pPr>
        <w:rPr>
          <w:rFonts w:hint="eastAsia" w:ascii="宋体" w:hAnsi="宋体"/>
          <w:b/>
          <w:sz w:val="24"/>
        </w:rPr>
      </w:pPr>
      <w:r>
        <w:rPr>
          <w:rFonts w:hint="eastAsia" w:ascii="宋体" w:hAnsi="宋体"/>
          <w:b/>
          <w:sz w:val="24"/>
        </w:rPr>
        <w:t>4、磋商的处理依据</w:t>
      </w:r>
    </w:p>
    <w:p w14:paraId="6448BDCD">
      <w:pPr>
        <w:spacing w:line="360" w:lineRule="auto"/>
        <w:ind w:firstLine="480" w:firstLineChars="200"/>
        <w:rPr>
          <w:rFonts w:hint="eastAsia" w:ascii="宋体" w:hAnsi="宋体"/>
          <w:sz w:val="24"/>
        </w:rPr>
      </w:pPr>
      <w:r>
        <w:rPr>
          <w:rFonts w:hint="eastAsia" w:ascii="宋体" w:hAnsi="宋体"/>
          <w:sz w:val="24"/>
        </w:rPr>
        <w:t>磋商小组有权对在磋商过程中出现的一切问题，参照《中华人民共和国政府采购法》、《中华人民共和国政府采购实施条例》和《</w:t>
      </w:r>
      <w:r>
        <w:rPr>
          <w:rFonts w:ascii="宋体" w:hAnsi="宋体"/>
          <w:sz w:val="24"/>
        </w:rPr>
        <w:t>政府采购竞争性磋商采购方式管理暂行办法</w:t>
      </w:r>
      <w:r>
        <w:rPr>
          <w:rFonts w:hint="eastAsia" w:ascii="宋体" w:hAnsi="宋体"/>
          <w:sz w:val="24"/>
        </w:rPr>
        <w:t>》的条款，本着公开、公平、公正的原则进行处理。</w:t>
      </w:r>
    </w:p>
    <w:p w14:paraId="3011BFBA">
      <w:pPr>
        <w:rPr>
          <w:rFonts w:hint="eastAsia" w:ascii="宋体" w:hAnsi="宋体"/>
          <w:b/>
          <w:sz w:val="24"/>
        </w:rPr>
      </w:pPr>
      <w:r>
        <w:rPr>
          <w:rFonts w:hint="eastAsia" w:ascii="宋体" w:hAnsi="宋体"/>
          <w:b/>
          <w:sz w:val="24"/>
        </w:rPr>
        <w:t>5、解释权归属</w:t>
      </w:r>
    </w:p>
    <w:p w14:paraId="4C33E1E3">
      <w:pPr>
        <w:spacing w:line="360" w:lineRule="auto"/>
        <w:ind w:firstLine="480" w:firstLineChars="200"/>
        <w:rPr>
          <w:rFonts w:hint="eastAsia" w:ascii="宋体" w:hAnsi="宋体"/>
          <w:sz w:val="24"/>
        </w:rPr>
      </w:pPr>
      <w:r>
        <w:rPr>
          <w:rFonts w:hint="eastAsia" w:ascii="宋体" w:hAnsi="宋体"/>
          <w:sz w:val="24"/>
        </w:rPr>
        <w:t>本磋商文件的解释权归采购代理机构。</w:t>
      </w:r>
    </w:p>
    <w:p w14:paraId="78A99694">
      <w:pPr>
        <w:jc w:val="center"/>
        <w:rPr>
          <w:rFonts w:hint="eastAsia" w:ascii="宋体" w:hAnsi="宋体"/>
          <w:b/>
          <w:sz w:val="30"/>
          <w:szCs w:val="30"/>
        </w:rPr>
      </w:pPr>
      <w:r>
        <w:rPr>
          <w:rFonts w:hint="eastAsia" w:ascii="宋体" w:hAnsi="宋体"/>
          <w:b/>
          <w:sz w:val="30"/>
          <w:szCs w:val="30"/>
        </w:rPr>
        <w:t>四．磋商要求</w:t>
      </w:r>
    </w:p>
    <w:p w14:paraId="20816E87">
      <w:pPr>
        <w:rPr>
          <w:rFonts w:hint="eastAsia" w:ascii="宋体" w:hAnsi="宋体"/>
          <w:b/>
          <w:sz w:val="24"/>
        </w:rPr>
      </w:pPr>
      <w:r>
        <w:rPr>
          <w:rFonts w:hint="eastAsia" w:ascii="宋体" w:hAnsi="宋体"/>
          <w:b/>
          <w:sz w:val="24"/>
        </w:rPr>
        <w:t>1、磋商内容</w:t>
      </w:r>
    </w:p>
    <w:p w14:paraId="726564C7">
      <w:pPr>
        <w:kinsoku w:val="0"/>
        <w:spacing w:line="500" w:lineRule="exact"/>
        <w:ind w:firstLine="480" w:firstLineChars="200"/>
        <w:rPr>
          <w:rFonts w:hint="eastAsia" w:ascii="宋体" w:hAnsi="宋体"/>
          <w:spacing w:val="-6"/>
          <w:sz w:val="24"/>
        </w:rPr>
      </w:pPr>
      <w:r>
        <w:rPr>
          <w:rFonts w:hint="eastAsia" w:ascii="宋体" w:hAnsi="宋体"/>
          <w:sz w:val="24"/>
        </w:rPr>
        <w:t>本次磋商为：主要包括黄土裸露区域绿化补植（含地被、灌木）、踩踏严重部位道路铺装、围栏增设及场地基础整理。改善景区环境与游览条件</w:t>
      </w:r>
      <w:r>
        <w:rPr>
          <w:rFonts w:hint="eastAsia" w:ascii="宋体" w:hAnsi="宋体"/>
          <w:spacing w:val="-6"/>
          <w:sz w:val="24"/>
        </w:rPr>
        <w:t>。</w:t>
      </w:r>
      <w:r>
        <w:rPr>
          <w:rFonts w:hint="eastAsia" w:ascii="宋体" w:hAnsi="宋体"/>
          <w:sz w:val="24"/>
        </w:rPr>
        <w:t>供应商可根据自身的资格情况和经营范围对项目进行磋商，不得将其子目再行分解或只响应其中的一部分内容，否则磋商无效；开标、阅标、磋商、成交、签订合同均以项目为单位进行。</w:t>
      </w:r>
    </w:p>
    <w:p w14:paraId="22F9A8A6">
      <w:pPr>
        <w:spacing w:line="500" w:lineRule="exact"/>
        <w:rPr>
          <w:rFonts w:hint="eastAsia" w:ascii="宋体" w:hAnsi="宋体"/>
          <w:b/>
          <w:sz w:val="24"/>
        </w:rPr>
      </w:pPr>
      <w:r>
        <w:rPr>
          <w:rFonts w:hint="eastAsia" w:ascii="宋体" w:hAnsi="宋体"/>
          <w:b/>
          <w:sz w:val="24"/>
        </w:rPr>
        <w:t>2、供应商资格条件：</w:t>
      </w:r>
      <w:r>
        <w:rPr>
          <w:rFonts w:hint="eastAsia" w:ascii="宋体" w:hAnsi="宋体"/>
          <w:sz w:val="24"/>
        </w:rPr>
        <w:t>应当符合供应商须知前附表中规定的资格条件。</w:t>
      </w:r>
    </w:p>
    <w:p w14:paraId="48C15304">
      <w:pPr>
        <w:spacing w:line="560" w:lineRule="exact"/>
        <w:rPr>
          <w:rFonts w:hint="eastAsia" w:ascii="宋体" w:hAnsi="宋体"/>
          <w:b/>
          <w:sz w:val="24"/>
        </w:rPr>
      </w:pPr>
      <w:r>
        <w:rPr>
          <w:rFonts w:hint="eastAsia" w:ascii="宋体" w:hAnsi="宋体"/>
          <w:b/>
          <w:sz w:val="24"/>
        </w:rPr>
        <w:t>3、响应文件的编制</w:t>
      </w:r>
    </w:p>
    <w:p w14:paraId="3D90F50B">
      <w:pPr>
        <w:spacing w:line="460" w:lineRule="exact"/>
        <w:ind w:firstLine="480" w:firstLineChars="200"/>
        <w:rPr>
          <w:rFonts w:hint="eastAsia" w:ascii="宋体" w:hAnsi="宋体"/>
          <w:sz w:val="24"/>
        </w:rPr>
      </w:pPr>
      <w:r>
        <w:rPr>
          <w:rFonts w:hint="eastAsia" w:ascii="宋体" w:hAnsi="宋体"/>
          <w:sz w:val="24"/>
        </w:rPr>
        <w:t>响应文件，以磋商文件的内容和要求作为依据磋商文件提供的内容及格式编制，并对磋商文件做出实质性响应；具体内容包括：</w:t>
      </w:r>
    </w:p>
    <w:p w14:paraId="08098EBA">
      <w:pPr>
        <w:tabs>
          <w:tab w:val="left" w:pos="1080"/>
        </w:tabs>
        <w:spacing w:line="460" w:lineRule="exact"/>
        <w:ind w:firstLine="360" w:firstLineChars="150"/>
        <w:rPr>
          <w:rFonts w:hint="eastAsia" w:ascii="宋体" w:hAnsi="宋体"/>
          <w:sz w:val="24"/>
        </w:rPr>
      </w:pPr>
      <w:r>
        <w:rPr>
          <w:rFonts w:hint="eastAsia" w:ascii="宋体" w:hAnsi="宋体"/>
          <w:sz w:val="24"/>
        </w:rPr>
        <w:t>（1）按照格式要求填写的响应函；</w:t>
      </w:r>
    </w:p>
    <w:p w14:paraId="30E0E480">
      <w:pPr>
        <w:spacing w:line="460" w:lineRule="exact"/>
        <w:ind w:firstLine="360" w:firstLineChars="150"/>
        <w:rPr>
          <w:rFonts w:ascii="宋体" w:hAnsi="宋体"/>
          <w:sz w:val="24"/>
        </w:rPr>
      </w:pPr>
      <w:r>
        <w:rPr>
          <w:rFonts w:hint="eastAsia" w:ascii="宋体" w:hAnsi="宋体"/>
          <w:sz w:val="24"/>
        </w:rPr>
        <w:t>（2）响应报价表、分项报价表、技术指标偏差表和合同条款偏差表；</w:t>
      </w:r>
    </w:p>
    <w:p w14:paraId="7560ACD6">
      <w:pPr>
        <w:spacing w:line="460" w:lineRule="exact"/>
        <w:ind w:firstLine="360" w:firstLineChars="150"/>
        <w:rPr>
          <w:rFonts w:hint="eastAsia" w:ascii="宋体" w:hAnsi="宋体"/>
          <w:sz w:val="24"/>
        </w:rPr>
      </w:pPr>
      <w:r>
        <w:rPr>
          <w:rFonts w:ascii="宋体" w:hAnsi="宋体"/>
          <w:sz w:val="24"/>
        </w:rPr>
        <w:t>（3）</w:t>
      </w:r>
      <w:r>
        <w:rPr>
          <w:rFonts w:hint="eastAsia" w:ascii="宋体" w:hAnsi="宋体"/>
          <w:sz w:val="24"/>
        </w:rPr>
        <w:t>授权委托书及法定代表人身份证明；</w:t>
      </w:r>
    </w:p>
    <w:p w14:paraId="37FF03D4">
      <w:pPr>
        <w:tabs>
          <w:tab w:val="left" w:pos="1080"/>
        </w:tabs>
        <w:spacing w:line="460" w:lineRule="exact"/>
        <w:ind w:firstLine="360" w:firstLineChars="150"/>
        <w:rPr>
          <w:rFonts w:hint="eastAsia" w:ascii="宋体" w:hAnsi="宋体"/>
          <w:sz w:val="24"/>
        </w:rPr>
      </w:pPr>
      <w:r>
        <w:rPr>
          <w:rFonts w:hint="eastAsia" w:ascii="宋体" w:hAnsi="宋体"/>
          <w:sz w:val="24"/>
        </w:rPr>
        <w:t>（</w:t>
      </w:r>
      <w:r>
        <w:rPr>
          <w:rFonts w:ascii="宋体" w:hAnsi="宋体"/>
          <w:sz w:val="24"/>
        </w:rPr>
        <w:t>4</w:t>
      </w:r>
      <w:r>
        <w:rPr>
          <w:rFonts w:hint="eastAsia" w:ascii="宋体" w:hAnsi="宋体"/>
          <w:sz w:val="24"/>
        </w:rPr>
        <w:t>）按要求出具的资格条件证明文件；</w:t>
      </w:r>
    </w:p>
    <w:p w14:paraId="20E8CE05">
      <w:pPr>
        <w:tabs>
          <w:tab w:val="left" w:pos="1080"/>
        </w:tabs>
        <w:spacing w:line="460" w:lineRule="exact"/>
        <w:ind w:firstLine="360" w:firstLineChars="150"/>
        <w:rPr>
          <w:rFonts w:hint="eastAsia" w:ascii="宋体" w:hAnsi="宋体"/>
          <w:sz w:val="24"/>
        </w:rPr>
      </w:pPr>
      <w:r>
        <w:rPr>
          <w:rFonts w:hint="eastAsia" w:ascii="宋体" w:hAnsi="宋体"/>
          <w:sz w:val="24"/>
        </w:rPr>
        <w:t>（5）供应商的响应方案；</w:t>
      </w:r>
    </w:p>
    <w:p w14:paraId="2BE27457">
      <w:pPr>
        <w:tabs>
          <w:tab w:val="left" w:pos="1080"/>
        </w:tabs>
        <w:spacing w:line="460" w:lineRule="exact"/>
        <w:ind w:firstLine="360" w:firstLineChars="150"/>
        <w:rPr>
          <w:rFonts w:ascii="宋体" w:hAnsi="宋体"/>
          <w:sz w:val="24"/>
        </w:rPr>
      </w:pPr>
      <w:r>
        <w:rPr>
          <w:rFonts w:hint="eastAsia" w:ascii="宋体" w:hAnsi="宋体"/>
          <w:sz w:val="24"/>
        </w:rPr>
        <w:t>（6）供应商承诺书；</w:t>
      </w:r>
    </w:p>
    <w:p w14:paraId="55D7CD66">
      <w:pPr>
        <w:tabs>
          <w:tab w:val="left" w:pos="1080"/>
        </w:tabs>
        <w:spacing w:line="460" w:lineRule="exact"/>
        <w:ind w:firstLine="360" w:firstLineChars="150"/>
        <w:rPr>
          <w:rFonts w:hint="eastAsia" w:ascii="宋体" w:hAnsi="宋体"/>
          <w:sz w:val="24"/>
        </w:rPr>
      </w:pPr>
      <w:r>
        <w:rPr>
          <w:rFonts w:ascii="宋体" w:hAnsi="宋体"/>
          <w:sz w:val="24"/>
        </w:rPr>
        <w:t>（</w:t>
      </w:r>
      <w:r>
        <w:rPr>
          <w:rFonts w:hint="eastAsia" w:ascii="宋体" w:hAnsi="宋体"/>
          <w:sz w:val="24"/>
        </w:rPr>
        <w:t>7）供应商认为需要补充的内容。</w:t>
      </w:r>
    </w:p>
    <w:p w14:paraId="79C9B01F">
      <w:pPr>
        <w:spacing w:line="560" w:lineRule="exact"/>
        <w:ind w:firstLine="120" w:firstLineChars="50"/>
        <w:rPr>
          <w:rFonts w:hint="eastAsia" w:ascii="宋体" w:hAnsi="宋体"/>
          <w:b/>
          <w:sz w:val="24"/>
        </w:rPr>
      </w:pPr>
      <w:r>
        <w:rPr>
          <w:rFonts w:hint="eastAsia" w:ascii="宋体" w:hAnsi="宋体"/>
          <w:b/>
          <w:sz w:val="24"/>
        </w:rPr>
        <w:t>4、磋商报价</w:t>
      </w:r>
    </w:p>
    <w:p w14:paraId="27A1E832">
      <w:pPr>
        <w:spacing w:line="500" w:lineRule="exact"/>
        <w:ind w:firstLine="360" w:firstLineChars="150"/>
        <w:rPr>
          <w:rFonts w:hint="eastAsia" w:ascii="宋体" w:hAnsi="宋体"/>
          <w:sz w:val="24"/>
        </w:rPr>
      </w:pPr>
      <w:r>
        <w:rPr>
          <w:rFonts w:hint="eastAsia" w:ascii="宋体" w:hAnsi="宋体"/>
          <w:sz w:val="24"/>
        </w:rPr>
        <w:t>（1）磋商报价是指完成本项目的所有费用，以磋商文件的内容和要求作为响应依据；</w:t>
      </w:r>
    </w:p>
    <w:p w14:paraId="404B42D8">
      <w:pPr>
        <w:spacing w:line="360" w:lineRule="auto"/>
        <w:ind w:firstLine="360" w:firstLineChars="150"/>
        <w:rPr>
          <w:rFonts w:hint="eastAsia" w:ascii="宋体" w:hAnsi="宋体"/>
          <w:sz w:val="24"/>
        </w:rPr>
      </w:pPr>
      <w:r>
        <w:rPr>
          <w:rFonts w:hint="eastAsia" w:ascii="宋体" w:hAnsi="宋体"/>
          <w:sz w:val="24"/>
        </w:rPr>
        <w:t>（2）供应商应在响应文件中的响应报价表上，标明磋商报价；任何有选择的报价不予接受；</w:t>
      </w:r>
    </w:p>
    <w:p w14:paraId="1E0B73E7">
      <w:pPr>
        <w:spacing w:line="360" w:lineRule="auto"/>
        <w:ind w:firstLine="360" w:firstLineChars="150"/>
        <w:rPr>
          <w:rFonts w:hint="eastAsia" w:ascii="宋体" w:hAnsi="宋体"/>
          <w:sz w:val="24"/>
        </w:rPr>
      </w:pPr>
      <w:r>
        <w:rPr>
          <w:rFonts w:hint="eastAsia" w:ascii="宋体" w:hAnsi="宋体"/>
          <w:sz w:val="24"/>
        </w:rPr>
        <w:t>（3）磋商货币：人民币；单位：元（最多保留到小数点后两位）；</w:t>
      </w:r>
    </w:p>
    <w:p w14:paraId="7A72C254">
      <w:pPr>
        <w:spacing w:line="360" w:lineRule="auto"/>
        <w:ind w:firstLine="360" w:firstLineChars="150"/>
        <w:rPr>
          <w:rFonts w:ascii="宋体" w:hAnsi="宋体"/>
          <w:sz w:val="24"/>
        </w:rPr>
      </w:pPr>
      <w:r>
        <w:rPr>
          <w:rFonts w:hint="eastAsia" w:ascii="宋体" w:hAnsi="宋体"/>
          <w:sz w:val="24"/>
        </w:rPr>
        <w:t>（4）响应报价表应有供应商公章及法定代表人或被授权人的签字</w:t>
      </w:r>
      <w:r>
        <w:rPr>
          <w:rFonts w:hint="eastAsia" w:ascii="宋体" w:hAnsi="宋体"/>
          <w:sz w:val="24"/>
          <w:lang w:eastAsia="zh-CN"/>
        </w:rPr>
        <w:t>或盖章</w:t>
      </w:r>
      <w:r>
        <w:rPr>
          <w:rFonts w:hint="eastAsia" w:ascii="宋体" w:hAnsi="宋体"/>
          <w:sz w:val="24"/>
        </w:rPr>
        <w:t>；</w:t>
      </w:r>
    </w:p>
    <w:p w14:paraId="30773FD0">
      <w:pPr>
        <w:spacing w:line="360" w:lineRule="auto"/>
        <w:ind w:firstLine="360" w:firstLineChars="150"/>
        <w:rPr>
          <w:rFonts w:hint="eastAsia" w:ascii="宋体" w:hAnsi="宋体"/>
          <w:sz w:val="24"/>
        </w:rPr>
      </w:pPr>
      <w:r>
        <w:rPr>
          <w:rFonts w:hint="eastAsia" w:ascii="宋体" w:hAnsi="宋体"/>
          <w:sz w:val="24"/>
        </w:rPr>
        <w:t>（5）磋商</w:t>
      </w:r>
      <w:r>
        <w:rPr>
          <w:rFonts w:ascii="宋体" w:hAnsi="宋体"/>
          <w:sz w:val="24"/>
        </w:rPr>
        <w:t>文件中的响应报价表为一次报价，</w:t>
      </w:r>
      <w:r>
        <w:rPr>
          <w:rFonts w:hint="eastAsia" w:ascii="宋体" w:hAnsi="宋体"/>
          <w:sz w:val="24"/>
        </w:rPr>
        <w:t>供应商磋商现场提交的二次报价为最终报价。</w:t>
      </w:r>
    </w:p>
    <w:p w14:paraId="772DBFC5">
      <w:pPr>
        <w:spacing w:line="360" w:lineRule="auto"/>
        <w:ind w:firstLine="360" w:firstLineChars="150"/>
        <w:rPr>
          <w:rFonts w:hint="eastAsia" w:ascii="宋体" w:hAnsi="宋体"/>
          <w:sz w:val="24"/>
        </w:rPr>
      </w:pPr>
      <w:r>
        <w:rPr>
          <w:rFonts w:hint="eastAsia" w:ascii="宋体" w:hAnsi="宋体"/>
          <w:sz w:val="24"/>
        </w:rPr>
        <w:t>（6）合同价格：经磋商小组确认的某一供应商的最终报价，在合同执行过程中是固定不变的，不受外汇汇率及市场价格变化的影响；</w:t>
      </w:r>
    </w:p>
    <w:p w14:paraId="293C7169">
      <w:pPr>
        <w:spacing w:line="360" w:lineRule="auto"/>
        <w:ind w:firstLine="360" w:firstLineChars="150"/>
        <w:rPr>
          <w:rFonts w:hint="eastAsia" w:ascii="宋体" w:hAnsi="宋体"/>
          <w:sz w:val="24"/>
        </w:rPr>
      </w:pPr>
      <w:r>
        <w:rPr>
          <w:rFonts w:hint="eastAsia" w:ascii="宋体" w:hAnsi="宋体"/>
          <w:sz w:val="24"/>
        </w:rPr>
        <w:t>（7）凡因供应商对磋商文件阅读不深、理解不透、误解、疏漏、或因市场行情了解不清造成的后果和风险均由供应商自负；</w:t>
      </w:r>
    </w:p>
    <w:p w14:paraId="6C17FCD5">
      <w:pPr>
        <w:spacing w:line="360" w:lineRule="auto"/>
        <w:ind w:firstLine="360" w:firstLineChars="150"/>
        <w:rPr>
          <w:rFonts w:hint="eastAsia" w:ascii="宋体" w:hAnsi="宋体"/>
          <w:sz w:val="24"/>
        </w:rPr>
      </w:pPr>
      <w:r>
        <w:rPr>
          <w:rFonts w:hint="eastAsia" w:ascii="宋体" w:hAnsi="宋体"/>
          <w:sz w:val="24"/>
        </w:rPr>
        <w:t>（8）最低报价不是成交的唯一依据；</w:t>
      </w:r>
    </w:p>
    <w:p w14:paraId="647563F5">
      <w:pPr>
        <w:spacing w:line="360" w:lineRule="auto"/>
        <w:ind w:firstLine="360" w:firstLineChars="150"/>
        <w:rPr>
          <w:rFonts w:hint="eastAsia" w:ascii="宋体" w:hAnsi="宋体"/>
          <w:sz w:val="24"/>
        </w:rPr>
      </w:pPr>
      <w:r>
        <w:rPr>
          <w:rFonts w:hint="eastAsia" w:ascii="宋体" w:hAnsi="宋体"/>
          <w:sz w:val="24"/>
        </w:rPr>
        <w:t>（9）供应商不得以低于成本的报价参加磋商。磋商小组认为供应商的报价明显低于其他通过符合性审查供应商的报价，有可能影响项目质量或者不能诚信履约的，应当要求其在磋商现场合理的时间内提供书面说明，必要时提交相关证明材料；供应商不能证明其报价合理性的，磋商小组应当将其作为无效投标处理。</w:t>
      </w:r>
    </w:p>
    <w:p w14:paraId="7445D25D">
      <w:pPr>
        <w:spacing w:line="360" w:lineRule="auto"/>
        <w:ind w:firstLine="361" w:firstLineChars="150"/>
        <w:rPr>
          <w:rFonts w:ascii="宋体" w:hAnsi="宋体"/>
          <w:b/>
          <w:sz w:val="24"/>
        </w:rPr>
      </w:pPr>
      <w:r>
        <w:rPr>
          <w:rFonts w:hint="eastAsia" w:ascii="宋体" w:hAnsi="宋体"/>
          <w:b/>
          <w:sz w:val="24"/>
        </w:rPr>
        <w:t>（10）供应商对响应项目只允许有一个报价，不接受超过磋商文件中规定的预算金额的报价、可变动性报价、赠送及“零”报价，否则视为无效响应。</w:t>
      </w:r>
    </w:p>
    <w:p w14:paraId="4ADFAEAF">
      <w:pPr>
        <w:spacing w:line="560" w:lineRule="exact"/>
        <w:ind w:firstLine="120" w:firstLineChars="50"/>
        <w:rPr>
          <w:rFonts w:hint="eastAsia" w:ascii="宋体" w:hAnsi="宋体"/>
          <w:b/>
          <w:sz w:val="24"/>
        </w:rPr>
      </w:pPr>
      <w:r>
        <w:rPr>
          <w:rFonts w:hint="eastAsia" w:ascii="宋体" w:hAnsi="宋体"/>
          <w:b/>
          <w:sz w:val="24"/>
        </w:rPr>
        <w:t>5、磋商保证金</w:t>
      </w:r>
    </w:p>
    <w:p w14:paraId="2BF4AB9F">
      <w:pPr>
        <w:spacing w:line="520" w:lineRule="exact"/>
        <w:ind w:firstLine="480" w:firstLineChars="200"/>
        <w:rPr>
          <w:rFonts w:hint="eastAsia" w:ascii="宋体" w:hAnsi="宋体"/>
          <w:b/>
          <w:sz w:val="24"/>
        </w:rPr>
      </w:pPr>
      <w:r>
        <w:rPr>
          <w:rFonts w:hint="eastAsia" w:ascii="宋体" w:hAnsi="宋体"/>
          <w:sz w:val="24"/>
        </w:rPr>
        <w:t>磋商保证金的交纳详见供应商须知前附表中规定的要求。</w:t>
      </w:r>
    </w:p>
    <w:p w14:paraId="0078B5E0">
      <w:pPr>
        <w:spacing w:line="520" w:lineRule="exact"/>
        <w:rPr>
          <w:rFonts w:hint="eastAsia" w:ascii="宋体" w:hAnsi="宋体"/>
          <w:b/>
          <w:sz w:val="24"/>
        </w:rPr>
      </w:pPr>
      <w:r>
        <w:rPr>
          <w:rFonts w:ascii="宋体" w:hAnsi="宋体"/>
          <w:b/>
          <w:sz w:val="24"/>
        </w:rPr>
        <w:t>6</w:t>
      </w:r>
      <w:r>
        <w:rPr>
          <w:rFonts w:hint="eastAsia" w:ascii="宋体" w:hAnsi="宋体"/>
          <w:b/>
          <w:sz w:val="24"/>
        </w:rPr>
        <w:t>、响应文件的有效期</w:t>
      </w:r>
    </w:p>
    <w:p w14:paraId="102545EB">
      <w:pPr>
        <w:pStyle w:val="49"/>
        <w:spacing w:line="360" w:lineRule="auto"/>
        <w:ind w:firstLine="480"/>
        <w:rPr>
          <w:rFonts w:ascii="宋体" w:hAnsi="宋体"/>
          <w:kern w:val="2"/>
          <w:sz w:val="24"/>
          <w:szCs w:val="24"/>
        </w:rPr>
      </w:pPr>
      <w:r>
        <w:rPr>
          <w:rFonts w:hint="eastAsia" w:ascii="宋体" w:hAnsi="宋体"/>
          <w:sz w:val="24"/>
          <w:szCs w:val="24"/>
        </w:rPr>
        <w:t>响应文件有效期为</w:t>
      </w:r>
      <w:r>
        <w:rPr>
          <w:rFonts w:hint="default" w:hAnsi="宋体" w:eastAsia="宋体"/>
          <w:sz w:val="24"/>
          <w:szCs w:val="24"/>
          <w:lang w:val="en-US" w:eastAsia="zh-CN"/>
        </w:rPr>
        <w:t>递交磋商响应文件截止之日起90日历天</w:t>
      </w:r>
      <w:r>
        <w:rPr>
          <w:rFonts w:hint="eastAsia" w:ascii="宋体" w:hAnsi="宋体"/>
          <w:kern w:val="2"/>
          <w:sz w:val="24"/>
          <w:szCs w:val="24"/>
        </w:rPr>
        <w:t>；响应文件</w:t>
      </w:r>
      <w:r>
        <w:rPr>
          <w:rFonts w:hint="eastAsia" w:ascii="宋体" w:hAnsi="宋体"/>
          <w:sz w:val="24"/>
        </w:rPr>
        <w:t>无有效期或</w:t>
      </w:r>
      <w:r>
        <w:rPr>
          <w:rFonts w:hint="eastAsia" w:ascii="宋体" w:hAnsi="宋体"/>
          <w:kern w:val="2"/>
          <w:sz w:val="24"/>
          <w:szCs w:val="24"/>
        </w:rPr>
        <w:t>有效期短于磋商文件规定的有效期，按无效响应文件处理。成交供应商的响应文件有效期延长至合同执行完毕。</w:t>
      </w:r>
    </w:p>
    <w:p w14:paraId="7961E3BA">
      <w:pPr>
        <w:spacing w:line="560" w:lineRule="exact"/>
        <w:ind w:firstLine="120" w:firstLineChars="50"/>
        <w:rPr>
          <w:rFonts w:hint="eastAsia" w:ascii="宋体" w:hAnsi="宋体"/>
          <w:b/>
          <w:sz w:val="24"/>
        </w:rPr>
      </w:pPr>
      <w:r>
        <w:rPr>
          <w:rFonts w:hint="eastAsia" w:ascii="宋体" w:hAnsi="宋体"/>
          <w:b/>
          <w:sz w:val="24"/>
        </w:rPr>
        <w:t>7、响应文件的签署及规定</w:t>
      </w:r>
    </w:p>
    <w:p w14:paraId="1FA316B0">
      <w:pPr>
        <w:spacing w:line="360" w:lineRule="auto"/>
        <w:ind w:firstLine="240" w:firstLineChars="100"/>
        <w:rPr>
          <w:rFonts w:hint="eastAsia" w:ascii="宋体" w:hAnsi="宋体"/>
          <w:sz w:val="24"/>
        </w:rPr>
      </w:pPr>
      <w:r>
        <w:rPr>
          <w:rFonts w:hint="eastAsia" w:ascii="宋体" w:hAnsi="宋体"/>
          <w:sz w:val="24"/>
        </w:rPr>
        <w:t xml:space="preserve"> （1）供应商须依据磋商文件内容和响应文件格式的要求编制响应文件；</w:t>
      </w:r>
    </w:p>
    <w:p w14:paraId="1DF69AE2">
      <w:pPr>
        <w:spacing w:line="360" w:lineRule="auto"/>
        <w:ind w:firstLine="240" w:firstLineChars="100"/>
        <w:rPr>
          <w:rFonts w:hint="eastAsia" w:ascii="宋体" w:hAnsi="宋体"/>
          <w:sz w:val="24"/>
        </w:rPr>
      </w:pPr>
      <w:r>
        <w:rPr>
          <w:rFonts w:hint="eastAsia" w:ascii="宋体" w:hAnsi="宋体"/>
          <w:sz w:val="24"/>
        </w:rPr>
        <w:t xml:space="preserve"> （2）本次磋商需提交的响应文件详见供应商须知前附表中规定的要求</w:t>
      </w:r>
      <w:r>
        <w:rPr>
          <w:rFonts w:hint="eastAsia" w:hAnsi="宋体"/>
          <w:sz w:val="24"/>
        </w:rPr>
        <w:t>。</w:t>
      </w:r>
    </w:p>
    <w:p w14:paraId="524D3461">
      <w:pPr>
        <w:spacing w:line="360" w:lineRule="auto"/>
        <w:ind w:firstLine="360" w:firstLineChars="150"/>
        <w:rPr>
          <w:rFonts w:hint="eastAsia" w:ascii="宋体" w:hAnsi="宋体"/>
          <w:sz w:val="24"/>
        </w:rPr>
      </w:pPr>
      <w:r>
        <w:rPr>
          <w:rFonts w:hint="eastAsia" w:ascii="宋体" w:hAnsi="宋体"/>
          <w:sz w:val="24"/>
        </w:rPr>
        <w:t>（3）供应商在响应文件中指定的页面落款处，必须按磋商文件要求加盖公章或签字；</w:t>
      </w:r>
    </w:p>
    <w:p w14:paraId="6BA816C0">
      <w:pPr>
        <w:spacing w:line="360" w:lineRule="auto"/>
        <w:ind w:firstLine="240" w:firstLineChars="100"/>
        <w:rPr>
          <w:rFonts w:hint="eastAsia" w:ascii="宋体" w:hAnsi="宋体"/>
          <w:sz w:val="24"/>
        </w:rPr>
      </w:pPr>
      <w:r>
        <w:rPr>
          <w:rFonts w:hint="eastAsia" w:ascii="宋体" w:hAnsi="宋体"/>
          <w:sz w:val="24"/>
        </w:rPr>
        <w:t xml:space="preserve"> （4）供应商名称应填写全称，同时加盖公章；</w:t>
      </w:r>
    </w:p>
    <w:p w14:paraId="52B21D24">
      <w:pPr>
        <w:spacing w:line="360" w:lineRule="auto"/>
        <w:ind w:firstLine="240" w:firstLineChars="100"/>
        <w:rPr>
          <w:rFonts w:hint="eastAsia" w:ascii="宋体" w:hAnsi="宋体"/>
          <w:sz w:val="24"/>
        </w:rPr>
      </w:pPr>
      <w:r>
        <w:rPr>
          <w:rFonts w:hint="eastAsia" w:ascii="宋体" w:hAnsi="宋体"/>
          <w:sz w:val="24"/>
        </w:rPr>
        <w:t xml:space="preserve"> （5）响应文件的任何行间插字、涂改和增删，必须由法定代表人或被授权人在改动处旁签字方为有效；</w:t>
      </w:r>
    </w:p>
    <w:p w14:paraId="36923F42">
      <w:pPr>
        <w:spacing w:line="360" w:lineRule="auto"/>
        <w:ind w:firstLine="240" w:firstLineChars="100"/>
        <w:rPr>
          <w:rFonts w:hint="eastAsia" w:ascii="宋体" w:hAnsi="宋体"/>
          <w:sz w:val="24"/>
        </w:rPr>
      </w:pPr>
      <w:r>
        <w:rPr>
          <w:rFonts w:hint="eastAsia" w:ascii="宋体" w:hAnsi="宋体"/>
          <w:sz w:val="24"/>
        </w:rPr>
        <w:t xml:space="preserve"> （6）响应文件因字迹潦草或表达不清所引起的后果由供应商负责。</w:t>
      </w:r>
    </w:p>
    <w:p w14:paraId="483C58BB">
      <w:pPr>
        <w:spacing w:line="360" w:lineRule="auto"/>
        <w:ind w:firstLine="361" w:firstLineChars="150"/>
        <w:rPr>
          <w:rFonts w:hint="eastAsia" w:ascii="宋体" w:hAnsi="宋体"/>
          <w:b/>
          <w:sz w:val="24"/>
        </w:rPr>
      </w:pPr>
      <w:r>
        <w:rPr>
          <w:rFonts w:hint="eastAsia" w:ascii="宋体" w:hAnsi="宋体"/>
          <w:b/>
          <w:sz w:val="24"/>
        </w:rPr>
        <w:t>（7）为响应国家环保号召，响应文件建议采用双面打印。</w:t>
      </w:r>
    </w:p>
    <w:p w14:paraId="060A9D41">
      <w:pPr>
        <w:spacing w:line="560" w:lineRule="exact"/>
        <w:ind w:firstLine="120" w:firstLineChars="50"/>
        <w:rPr>
          <w:rFonts w:hint="eastAsia" w:ascii="宋体" w:hAnsi="宋体"/>
          <w:b/>
          <w:sz w:val="24"/>
        </w:rPr>
      </w:pPr>
      <w:r>
        <w:rPr>
          <w:rFonts w:hint="eastAsia" w:ascii="宋体" w:hAnsi="宋体"/>
          <w:b/>
          <w:sz w:val="24"/>
        </w:rPr>
        <w:t>8、文字要求</w:t>
      </w:r>
    </w:p>
    <w:p w14:paraId="129E700D">
      <w:pPr>
        <w:spacing w:line="360" w:lineRule="auto"/>
        <w:ind w:firstLine="480" w:firstLineChars="200"/>
        <w:rPr>
          <w:rFonts w:hint="eastAsia" w:ascii="宋体" w:hAnsi="宋体"/>
          <w:sz w:val="24"/>
        </w:rPr>
      </w:pPr>
      <w:r>
        <w:rPr>
          <w:rFonts w:hint="eastAsia" w:ascii="宋体" w:hAnsi="宋体"/>
          <w:sz w:val="24"/>
        </w:rPr>
        <w:t>本次磋商只接受简体中文文字的响应文件。</w:t>
      </w:r>
    </w:p>
    <w:p w14:paraId="105AC795">
      <w:pPr>
        <w:spacing w:line="560" w:lineRule="exact"/>
        <w:ind w:firstLine="120" w:firstLineChars="50"/>
        <w:rPr>
          <w:rFonts w:hint="eastAsia" w:ascii="宋体" w:hAnsi="宋体"/>
          <w:b/>
          <w:color w:val="FF0000"/>
          <w:sz w:val="24"/>
        </w:rPr>
      </w:pPr>
      <w:r>
        <w:rPr>
          <w:rFonts w:hint="eastAsia" w:ascii="宋体" w:hAnsi="宋体"/>
          <w:b/>
          <w:sz w:val="24"/>
        </w:rPr>
        <w:t>9、本项目不接受联合体磋商</w:t>
      </w:r>
    </w:p>
    <w:p w14:paraId="6B6EC4F1">
      <w:pPr>
        <w:jc w:val="center"/>
        <w:rPr>
          <w:rFonts w:hint="eastAsia" w:ascii="宋体" w:hAnsi="宋体"/>
          <w:sz w:val="30"/>
          <w:szCs w:val="30"/>
        </w:rPr>
      </w:pPr>
      <w:r>
        <w:rPr>
          <w:rFonts w:hint="eastAsia" w:ascii="宋体" w:hAnsi="宋体"/>
          <w:b/>
          <w:sz w:val="30"/>
          <w:szCs w:val="30"/>
        </w:rPr>
        <w:t>五．响应文件封装、递交</w:t>
      </w:r>
    </w:p>
    <w:p w14:paraId="596AFAB7">
      <w:pPr>
        <w:spacing w:line="560" w:lineRule="exact"/>
        <w:ind w:firstLine="120" w:firstLineChars="50"/>
        <w:rPr>
          <w:rFonts w:hint="eastAsia" w:ascii="宋体" w:hAnsi="宋体"/>
          <w:b/>
          <w:sz w:val="24"/>
        </w:rPr>
      </w:pPr>
      <w:r>
        <w:rPr>
          <w:rFonts w:hint="eastAsia" w:ascii="宋体" w:hAnsi="宋体"/>
          <w:b/>
          <w:sz w:val="24"/>
        </w:rPr>
        <w:t>1、响应文件的封装及标记</w:t>
      </w:r>
    </w:p>
    <w:p w14:paraId="40852BF3">
      <w:pPr>
        <w:spacing w:line="360" w:lineRule="auto"/>
        <w:ind w:firstLine="240" w:firstLineChars="100"/>
        <w:rPr>
          <w:rFonts w:hint="eastAsia" w:ascii="宋体" w:hAnsi="宋体"/>
          <w:sz w:val="24"/>
        </w:rPr>
      </w:pPr>
      <w:r>
        <w:rPr>
          <w:rFonts w:hint="eastAsia" w:ascii="宋体" w:hAnsi="宋体"/>
          <w:sz w:val="24"/>
        </w:rPr>
        <w:t xml:space="preserve"> （1）</w:t>
      </w:r>
      <w:r>
        <w:rPr>
          <w:rFonts w:hint="eastAsia" w:ascii="宋体" w:hAnsi="宋体"/>
          <w:spacing w:val="6"/>
          <w:sz w:val="24"/>
        </w:rPr>
        <w:t>响应文件</w:t>
      </w:r>
      <w:r>
        <w:rPr>
          <w:rFonts w:hint="eastAsia" w:ascii="宋体" w:hAnsi="宋体"/>
          <w:sz w:val="24"/>
        </w:rPr>
        <w:t>封装：</w:t>
      </w:r>
    </w:p>
    <w:p w14:paraId="58C5156B">
      <w:pPr>
        <w:spacing w:line="360" w:lineRule="auto"/>
        <w:ind w:firstLine="480" w:firstLineChars="200"/>
        <w:rPr>
          <w:rFonts w:hint="eastAsia" w:ascii="宋体" w:hAnsi="宋体"/>
          <w:sz w:val="24"/>
        </w:rPr>
      </w:pPr>
      <w:r>
        <w:rPr>
          <w:rFonts w:hint="eastAsia" w:ascii="宋体" w:hAnsi="宋体"/>
          <w:sz w:val="24"/>
        </w:rPr>
        <w:t>A、供应商</w:t>
      </w:r>
      <w:r>
        <w:rPr>
          <w:rFonts w:ascii="宋体" w:hAnsi="宋体"/>
          <w:sz w:val="24"/>
        </w:rPr>
        <w:t>应将</w:t>
      </w:r>
      <w:r>
        <w:rPr>
          <w:rFonts w:hint="eastAsia" w:ascii="宋体" w:hAnsi="宋体"/>
          <w:sz w:val="24"/>
        </w:rPr>
        <w:t>响应</w:t>
      </w:r>
      <w:r>
        <w:rPr>
          <w:rFonts w:ascii="宋体" w:hAnsi="宋体"/>
          <w:sz w:val="24"/>
        </w:rPr>
        <w:t>文件的正本、副本、</w:t>
      </w:r>
      <w:r>
        <w:rPr>
          <w:rFonts w:hint="eastAsia" w:hAnsi="宋体"/>
          <w:sz w:val="24"/>
        </w:rPr>
        <w:t>电子版响应文件</w:t>
      </w:r>
      <w:r>
        <w:rPr>
          <w:rFonts w:hint="eastAsia" w:ascii="宋体" w:hAnsi="宋体"/>
          <w:sz w:val="24"/>
        </w:rPr>
        <w:t>，</w:t>
      </w:r>
      <w:r>
        <w:rPr>
          <w:rFonts w:ascii="宋体" w:hAnsi="宋体"/>
          <w:sz w:val="24"/>
        </w:rPr>
        <w:t>用单独的封袋分装密封（封袋不得有破损），在封袋上标明“正本”、“副本”及“电子版</w:t>
      </w:r>
      <w:r>
        <w:rPr>
          <w:rFonts w:hint="eastAsia" w:ascii="宋体" w:hAnsi="宋体"/>
          <w:sz w:val="24"/>
        </w:rPr>
        <w:t>响应</w:t>
      </w:r>
      <w:r>
        <w:rPr>
          <w:rFonts w:ascii="宋体" w:hAnsi="宋体"/>
          <w:sz w:val="24"/>
        </w:rPr>
        <w:t>文件”字样，</w:t>
      </w:r>
      <w:r>
        <w:rPr>
          <w:rFonts w:hint="eastAsia" w:ascii="宋体" w:hAnsi="宋体"/>
          <w:sz w:val="24"/>
        </w:rPr>
        <w:t xml:space="preserve">封袋正面要粘贴标识并加盖供应商公章。响应文件正本中的法人授权书须为原件，其他资格条件证明文件为复印件加盖供应商公章；响应文件副本中的资格条件证明文件为复印件加盖供应商公章； </w:t>
      </w:r>
    </w:p>
    <w:p w14:paraId="21664D20">
      <w:pPr>
        <w:spacing w:line="360" w:lineRule="auto"/>
        <w:ind w:firstLine="480" w:firstLineChars="200"/>
        <w:rPr>
          <w:rFonts w:hint="eastAsia" w:ascii="宋体" w:hAnsi="宋体"/>
          <w:sz w:val="24"/>
        </w:rPr>
      </w:pPr>
      <w:r>
        <w:rPr>
          <w:rFonts w:hint="eastAsia" w:ascii="宋体" w:hAnsi="宋体"/>
          <w:sz w:val="24"/>
        </w:rPr>
        <w:t>B、封袋正面标识式样（参见格式）。</w:t>
      </w:r>
    </w:p>
    <w:p w14:paraId="09F9EB39">
      <w:pPr>
        <w:spacing w:line="360" w:lineRule="auto"/>
        <w:rPr>
          <w:rFonts w:hint="eastAsia" w:ascii="宋体" w:hAnsi="宋体"/>
          <w:sz w:val="24"/>
        </w:rPr>
      </w:pPr>
      <w:r>
        <w:rPr>
          <w:rFonts w:hint="eastAsia" w:ascii="宋体" w:hAnsi="宋体"/>
          <w:sz w:val="24"/>
        </w:rPr>
        <w:t xml:space="preserve">   （2）如果供应商未按上述要求密封及加写标记的响应文件、误投、过早启封的响应文件，采购代理机构将拒绝接收，并退回供应商。采购代理机构对响应文件的误投和提前启封概不负责。</w:t>
      </w:r>
    </w:p>
    <w:p w14:paraId="53DD1605">
      <w:pPr>
        <w:spacing w:line="560" w:lineRule="exact"/>
        <w:ind w:firstLine="120" w:firstLineChars="50"/>
        <w:rPr>
          <w:rFonts w:hint="eastAsia" w:ascii="宋体" w:hAnsi="宋体"/>
          <w:b/>
          <w:sz w:val="24"/>
        </w:rPr>
      </w:pPr>
      <w:r>
        <w:rPr>
          <w:rFonts w:hint="eastAsia" w:ascii="宋体" w:hAnsi="宋体"/>
          <w:b/>
          <w:sz w:val="24"/>
        </w:rPr>
        <w:t>2、响应文件递交</w:t>
      </w:r>
    </w:p>
    <w:p w14:paraId="0267D19F">
      <w:pPr>
        <w:spacing w:line="360" w:lineRule="auto"/>
        <w:ind w:firstLine="240" w:firstLineChars="100"/>
        <w:rPr>
          <w:rFonts w:hint="eastAsia" w:ascii="宋体" w:hAnsi="宋体"/>
          <w:sz w:val="24"/>
        </w:rPr>
      </w:pPr>
      <w:r>
        <w:rPr>
          <w:rFonts w:hint="eastAsia" w:ascii="宋体" w:hAnsi="宋体"/>
          <w:sz w:val="24"/>
        </w:rPr>
        <w:t xml:space="preserve"> （1）供应商必须在磋商文件规定的时间和地点，将全部响应文件递交至磋商现场；</w:t>
      </w:r>
    </w:p>
    <w:p w14:paraId="24C85842">
      <w:pPr>
        <w:spacing w:line="360" w:lineRule="auto"/>
        <w:ind w:firstLine="240" w:firstLineChars="100"/>
        <w:rPr>
          <w:rFonts w:hint="eastAsia" w:ascii="宋体" w:hAnsi="宋体"/>
          <w:sz w:val="24"/>
        </w:rPr>
      </w:pPr>
      <w:r>
        <w:rPr>
          <w:rFonts w:hint="eastAsia" w:ascii="宋体" w:hAnsi="宋体"/>
          <w:sz w:val="24"/>
        </w:rPr>
        <w:t xml:space="preserve"> （2）采购代理机构项目负责人在磋商文件规定的响应文件递交截止时间前，只负责响应文件的接收、清点、造册登记工作，并请法定代表人或被授权人签字确认，对其有效性不负任何责任；</w:t>
      </w:r>
    </w:p>
    <w:p w14:paraId="34C9117F">
      <w:pPr>
        <w:spacing w:line="360" w:lineRule="auto"/>
        <w:ind w:firstLine="240" w:firstLineChars="100"/>
        <w:rPr>
          <w:rFonts w:hint="eastAsia" w:ascii="宋体" w:hAnsi="宋体"/>
          <w:sz w:val="24"/>
        </w:rPr>
      </w:pPr>
      <w:r>
        <w:rPr>
          <w:rFonts w:hint="eastAsia" w:ascii="宋体" w:hAnsi="宋体"/>
          <w:sz w:val="24"/>
        </w:rPr>
        <w:t xml:space="preserve"> （3）采购代理机构在宣布递交响应文件时间截止之后，拒绝接收任何人送达、递交的响应文件；</w:t>
      </w:r>
    </w:p>
    <w:p w14:paraId="6299B67B">
      <w:pPr>
        <w:spacing w:line="360" w:lineRule="auto"/>
        <w:ind w:firstLine="240" w:firstLineChars="100"/>
        <w:rPr>
          <w:rFonts w:hint="eastAsia" w:ascii="宋体" w:hAnsi="宋体"/>
          <w:sz w:val="24"/>
        </w:rPr>
      </w:pPr>
      <w:r>
        <w:rPr>
          <w:rFonts w:hint="eastAsia" w:ascii="宋体" w:hAnsi="宋体"/>
          <w:sz w:val="24"/>
        </w:rPr>
        <w:t xml:space="preserve"> （4）无论供应商成交与否或者废标，其响应文件恕不退还。</w:t>
      </w:r>
    </w:p>
    <w:p w14:paraId="7C04A80A">
      <w:pPr>
        <w:spacing w:line="560" w:lineRule="exact"/>
        <w:ind w:firstLine="120" w:firstLineChars="50"/>
        <w:rPr>
          <w:rFonts w:hint="eastAsia" w:ascii="宋体" w:hAnsi="宋体"/>
          <w:b/>
          <w:sz w:val="24"/>
        </w:rPr>
      </w:pPr>
      <w:r>
        <w:rPr>
          <w:rFonts w:hint="eastAsia" w:ascii="宋体" w:hAnsi="宋体"/>
          <w:b/>
          <w:sz w:val="24"/>
        </w:rPr>
        <w:t>3、响应文件截止时间</w:t>
      </w:r>
    </w:p>
    <w:p w14:paraId="1E719D5B">
      <w:pPr>
        <w:kinsoku w:val="0"/>
        <w:spacing w:line="500" w:lineRule="exact"/>
        <w:ind w:firstLine="240" w:firstLineChars="100"/>
        <w:rPr>
          <w:rFonts w:hint="eastAsia" w:ascii="宋体" w:hAnsi="宋体"/>
          <w:sz w:val="24"/>
        </w:rPr>
      </w:pPr>
      <w:r>
        <w:rPr>
          <w:rFonts w:hint="eastAsia" w:ascii="宋体" w:hAnsi="宋体"/>
          <w:sz w:val="24"/>
        </w:rPr>
        <w:t xml:space="preserve"> （1）供应商</w:t>
      </w:r>
      <w:r>
        <w:rPr>
          <w:rFonts w:hint="eastAsia" w:ascii="宋体" w:hAnsi="宋体"/>
          <w:spacing w:val="6"/>
          <w:sz w:val="24"/>
        </w:rPr>
        <w:t>必须在</w:t>
      </w:r>
      <w:r>
        <w:rPr>
          <w:rFonts w:hint="eastAsia" w:ascii="宋体" w:hAnsi="宋体"/>
          <w:sz w:val="24"/>
        </w:rPr>
        <w:t>磋商</w:t>
      </w:r>
      <w:r>
        <w:rPr>
          <w:rFonts w:hint="eastAsia" w:ascii="宋体" w:hAnsi="宋体"/>
          <w:spacing w:val="6"/>
          <w:sz w:val="24"/>
        </w:rPr>
        <w:t>文件规定的递交截止时间之前递交响应文件，</w:t>
      </w:r>
      <w:r>
        <w:rPr>
          <w:rFonts w:hint="eastAsia" w:ascii="宋体" w:hAnsi="宋体"/>
          <w:sz w:val="24"/>
        </w:rPr>
        <w:t>采购代理机构在截止时间后拒绝接收任何响应文件。</w:t>
      </w:r>
    </w:p>
    <w:p w14:paraId="2E226DB8">
      <w:pPr>
        <w:kinsoku w:val="0"/>
        <w:spacing w:line="500" w:lineRule="exact"/>
        <w:ind w:firstLine="240" w:firstLineChars="100"/>
        <w:rPr>
          <w:rFonts w:hint="eastAsia" w:ascii="宋体" w:hAnsi="宋体"/>
          <w:sz w:val="24"/>
        </w:rPr>
      </w:pPr>
      <w:r>
        <w:rPr>
          <w:rFonts w:hint="eastAsia" w:ascii="宋体" w:hAnsi="宋体"/>
          <w:sz w:val="24"/>
        </w:rPr>
        <w:t xml:space="preserve"> （2）采购代理机构因采购人推迟磋商截止时间时，应以书面的形式，通知所有供应商；在这种情况下，采购代理机构和供应商的权利和义务将受到新的截止期的约束。</w:t>
      </w:r>
    </w:p>
    <w:p w14:paraId="1D8C672A">
      <w:pPr>
        <w:spacing w:line="560" w:lineRule="exact"/>
        <w:ind w:firstLine="120" w:firstLineChars="50"/>
        <w:rPr>
          <w:rFonts w:hint="eastAsia" w:ascii="宋体" w:hAnsi="宋体"/>
          <w:b/>
          <w:sz w:val="24"/>
        </w:rPr>
      </w:pPr>
      <w:r>
        <w:rPr>
          <w:rFonts w:hint="eastAsia" w:ascii="宋体" w:hAnsi="宋体"/>
          <w:b/>
          <w:sz w:val="24"/>
        </w:rPr>
        <w:t>4、响应文件的修改和撤回</w:t>
      </w:r>
    </w:p>
    <w:p w14:paraId="16715F68">
      <w:pPr>
        <w:spacing w:line="360" w:lineRule="auto"/>
        <w:ind w:firstLine="240" w:firstLineChars="100"/>
        <w:rPr>
          <w:rFonts w:hint="eastAsia" w:ascii="宋体" w:hAnsi="宋体"/>
          <w:sz w:val="24"/>
        </w:rPr>
      </w:pPr>
      <w:r>
        <w:rPr>
          <w:rFonts w:hint="eastAsia" w:ascii="宋体" w:hAnsi="宋体"/>
          <w:sz w:val="24"/>
        </w:rPr>
        <w:t xml:space="preserve"> （1）响应文件递交后，如果供应商提出书面修改和撤回响应文件要求，在截止时间前以书面形式送达采购代理机构；</w:t>
      </w:r>
    </w:p>
    <w:p w14:paraId="61CF7A48">
      <w:pPr>
        <w:spacing w:line="360" w:lineRule="auto"/>
        <w:ind w:firstLine="240" w:firstLineChars="100"/>
        <w:rPr>
          <w:rFonts w:hint="eastAsia" w:ascii="宋体" w:hAnsi="宋体"/>
          <w:sz w:val="24"/>
        </w:rPr>
      </w:pPr>
      <w:r>
        <w:rPr>
          <w:rFonts w:hint="eastAsia" w:ascii="宋体" w:hAnsi="宋体"/>
          <w:sz w:val="24"/>
        </w:rPr>
        <w:t xml:space="preserve"> （2）供应商修改响应文件的书面材料，须密封送达采购代理机构，修改或补充的内容应按磋商文件要求签署、盖章、密封、标记，并作为响应文件的组成部分；</w:t>
      </w:r>
    </w:p>
    <w:p w14:paraId="10B75D64">
      <w:pPr>
        <w:spacing w:line="360" w:lineRule="auto"/>
        <w:ind w:firstLine="240" w:firstLineChars="100"/>
        <w:rPr>
          <w:rFonts w:hint="eastAsia" w:ascii="宋体" w:hAnsi="宋体"/>
          <w:sz w:val="24"/>
        </w:rPr>
      </w:pPr>
      <w:r>
        <w:rPr>
          <w:rFonts w:hint="eastAsia" w:ascii="宋体" w:hAnsi="宋体"/>
          <w:sz w:val="24"/>
        </w:rPr>
        <w:t xml:space="preserve"> （3）撤回响应文件应以书面的形式通知采购代理机构。采取书面形式撤回磋商响应文件，随后必须补充有法定代表人或被授权人签署的要求撤回磋商响应文件的正式文件；撤回磋商响应文件的时间以送达采购代理机构到达日期为准；</w:t>
      </w:r>
    </w:p>
    <w:p w14:paraId="4BF83F4B">
      <w:pPr>
        <w:spacing w:line="360" w:lineRule="auto"/>
        <w:ind w:firstLine="240" w:firstLineChars="100"/>
        <w:rPr>
          <w:rFonts w:hint="eastAsia" w:ascii="宋体" w:hAnsi="宋体"/>
          <w:sz w:val="24"/>
        </w:rPr>
      </w:pPr>
      <w:r>
        <w:rPr>
          <w:rFonts w:hint="eastAsia" w:ascii="宋体" w:hAnsi="宋体"/>
          <w:sz w:val="24"/>
        </w:rPr>
        <w:t xml:space="preserve"> （4）在磋商截止时间后到磋商文件规定的磋商有效期满之间的这段时间内，供应商不得撤回其响应文件；</w:t>
      </w:r>
    </w:p>
    <w:p w14:paraId="53408820">
      <w:pPr>
        <w:spacing w:line="360" w:lineRule="auto"/>
        <w:ind w:firstLine="240" w:firstLineChars="100"/>
        <w:rPr>
          <w:rFonts w:ascii="宋体" w:hAnsi="宋体"/>
          <w:sz w:val="24"/>
        </w:rPr>
      </w:pPr>
      <w:r>
        <w:rPr>
          <w:rFonts w:hint="eastAsia" w:ascii="宋体" w:hAnsi="宋体"/>
          <w:sz w:val="24"/>
        </w:rPr>
        <w:t xml:space="preserve"> （5）供应商在响应文件递交截止时间后，不得对其响应文件做任何修改。</w:t>
      </w:r>
    </w:p>
    <w:p w14:paraId="71E5CA1A">
      <w:pPr>
        <w:jc w:val="center"/>
        <w:rPr>
          <w:rFonts w:hint="eastAsia" w:ascii="宋体" w:hAnsi="宋体"/>
          <w:b/>
          <w:sz w:val="30"/>
          <w:szCs w:val="30"/>
        </w:rPr>
      </w:pPr>
      <w:r>
        <w:rPr>
          <w:rFonts w:hint="eastAsia" w:ascii="宋体" w:hAnsi="宋体"/>
          <w:b/>
          <w:sz w:val="30"/>
          <w:szCs w:val="30"/>
        </w:rPr>
        <w:t>六．磋商、澄清、成交</w:t>
      </w:r>
    </w:p>
    <w:p w14:paraId="4CAAE8D7">
      <w:pPr>
        <w:tabs>
          <w:tab w:val="left" w:pos="1478"/>
        </w:tabs>
        <w:spacing w:line="360" w:lineRule="auto"/>
        <w:ind w:firstLine="120" w:firstLineChars="50"/>
        <w:rPr>
          <w:rFonts w:hint="eastAsia" w:ascii="宋体" w:hAnsi="宋体"/>
          <w:b/>
          <w:sz w:val="24"/>
        </w:rPr>
      </w:pPr>
      <w:r>
        <w:rPr>
          <w:rFonts w:hint="eastAsia" w:ascii="宋体" w:hAnsi="宋体"/>
          <w:b/>
          <w:sz w:val="24"/>
        </w:rPr>
        <w:t>1、磋商</w:t>
      </w:r>
      <w:r>
        <w:rPr>
          <w:rFonts w:ascii="宋体" w:hAnsi="宋体"/>
          <w:b/>
          <w:sz w:val="24"/>
        </w:rPr>
        <w:tab/>
      </w:r>
    </w:p>
    <w:p w14:paraId="752AD0A8">
      <w:pPr>
        <w:spacing w:line="360" w:lineRule="auto"/>
        <w:ind w:firstLine="240" w:firstLineChars="100"/>
        <w:rPr>
          <w:rFonts w:hint="eastAsia" w:ascii="宋体" w:hAnsi="宋体"/>
          <w:sz w:val="24"/>
        </w:rPr>
      </w:pPr>
      <w:r>
        <w:rPr>
          <w:rFonts w:hint="eastAsia" w:ascii="宋体" w:hAnsi="宋体"/>
          <w:sz w:val="24"/>
        </w:rPr>
        <w:t xml:space="preserve"> （1）采购代理机构按磋商文件规定的时间、地点组织磋商会议。</w:t>
      </w:r>
    </w:p>
    <w:p w14:paraId="1D49DFB8">
      <w:pPr>
        <w:spacing w:line="360" w:lineRule="auto"/>
        <w:ind w:firstLine="360" w:firstLineChars="150"/>
        <w:rPr>
          <w:rFonts w:hint="eastAsia" w:ascii="宋体" w:hAnsi="宋体"/>
          <w:sz w:val="24"/>
        </w:rPr>
      </w:pPr>
      <w:r>
        <w:rPr>
          <w:rFonts w:hint="eastAsia" w:ascii="宋体" w:hAnsi="宋体"/>
          <w:sz w:val="24"/>
        </w:rPr>
        <w:t>（2）磋商大会由采购代理机构主持，采购人参会</w:t>
      </w:r>
      <w:r>
        <w:rPr>
          <w:rFonts w:ascii="宋体" w:hAnsi="宋体"/>
          <w:sz w:val="24"/>
        </w:rPr>
        <w:t>人员</w:t>
      </w:r>
      <w:r>
        <w:rPr>
          <w:rFonts w:hint="eastAsia" w:ascii="宋体" w:hAnsi="宋体"/>
          <w:sz w:val="24"/>
        </w:rPr>
        <w:t>、</w:t>
      </w:r>
      <w:r>
        <w:rPr>
          <w:rFonts w:ascii="宋体" w:hAnsi="宋体"/>
          <w:sz w:val="24"/>
        </w:rPr>
        <w:t>供应商代表</w:t>
      </w:r>
      <w:r>
        <w:rPr>
          <w:rFonts w:hint="eastAsia" w:ascii="宋体" w:hAnsi="宋体"/>
          <w:sz w:val="24"/>
        </w:rPr>
        <w:t>及有关工作人员参加，参加磋商的人员应签名报到，以证明其出席。</w:t>
      </w:r>
    </w:p>
    <w:p w14:paraId="6DF8A535">
      <w:pPr>
        <w:spacing w:line="360" w:lineRule="auto"/>
        <w:ind w:firstLine="360" w:firstLineChars="150"/>
        <w:rPr>
          <w:rFonts w:hint="eastAsia" w:ascii="宋体" w:hAnsi="宋体"/>
          <w:sz w:val="24"/>
        </w:rPr>
      </w:pPr>
      <w:r>
        <w:rPr>
          <w:rFonts w:hint="eastAsia" w:ascii="宋体" w:hAnsi="宋体"/>
          <w:sz w:val="24"/>
        </w:rPr>
        <w:t>（3）由供应商或者其推选的代表检查响应文件的密封情况。</w:t>
      </w:r>
    </w:p>
    <w:p w14:paraId="530765E6">
      <w:pPr>
        <w:spacing w:line="360" w:lineRule="auto"/>
        <w:ind w:firstLine="360" w:firstLineChars="150"/>
        <w:rPr>
          <w:rFonts w:hint="eastAsia" w:ascii="宋体" w:hAnsi="宋体"/>
          <w:sz w:val="24"/>
        </w:rPr>
      </w:pPr>
      <w:r>
        <w:rPr>
          <w:rFonts w:hint="eastAsia" w:ascii="宋体" w:hAnsi="宋体"/>
          <w:sz w:val="24"/>
        </w:rPr>
        <w:t>（4）查验响应文件密封情况，确认无误后拆封，由采购代理机构工作人员负责将供应商的名称、磋商价格和磋商文件中规定的其他内容进行记录，签字确认后并存档备案。</w:t>
      </w:r>
    </w:p>
    <w:p w14:paraId="46A4BB0C">
      <w:pPr>
        <w:tabs>
          <w:tab w:val="left" w:pos="1478"/>
        </w:tabs>
        <w:spacing w:line="360" w:lineRule="auto"/>
        <w:ind w:firstLine="120" w:firstLineChars="50"/>
        <w:rPr>
          <w:rFonts w:hint="eastAsia" w:ascii="宋体" w:hAnsi="宋体"/>
          <w:b/>
          <w:sz w:val="24"/>
        </w:rPr>
      </w:pPr>
      <w:r>
        <w:rPr>
          <w:rFonts w:hint="eastAsia" w:ascii="宋体" w:hAnsi="宋体"/>
          <w:b/>
          <w:sz w:val="24"/>
        </w:rPr>
        <w:t>2、磋商小组组成与职责</w:t>
      </w:r>
    </w:p>
    <w:p w14:paraId="6F912EDF">
      <w:pPr>
        <w:spacing w:line="360" w:lineRule="auto"/>
        <w:ind w:firstLine="480" w:firstLineChars="200"/>
        <w:rPr>
          <w:rFonts w:hint="eastAsia" w:ascii="宋体" w:hAnsi="宋体"/>
          <w:sz w:val="24"/>
        </w:rPr>
      </w:pPr>
      <w:r>
        <w:rPr>
          <w:rFonts w:hint="eastAsia" w:ascii="宋体" w:hAnsi="宋体"/>
          <w:sz w:val="24"/>
        </w:rPr>
        <w:t>为确保磋商工作公开、公平、公正，依法成立磋商小组。磋商小组由采购人代表及评审专家组成，成员人数为</w:t>
      </w:r>
      <w:r>
        <w:rPr>
          <w:rFonts w:ascii="宋体" w:hAnsi="宋体"/>
          <w:sz w:val="24"/>
        </w:rPr>
        <w:t>三</w:t>
      </w:r>
      <w:r>
        <w:rPr>
          <w:rFonts w:hint="eastAsia" w:ascii="宋体" w:hAnsi="宋体"/>
          <w:sz w:val="24"/>
        </w:rPr>
        <w:t>人及以上单数，其中评审专家不少于磋商小组成员总数的</w:t>
      </w:r>
      <w:r>
        <w:rPr>
          <w:rFonts w:hint="eastAsia" w:ascii="宋体" w:hAnsi="宋体"/>
          <w:sz w:val="24"/>
          <w:highlight w:val="none"/>
        </w:rPr>
        <w:t>三分之二，专家名单由有关人员在</w:t>
      </w:r>
      <w:r>
        <w:rPr>
          <w:rFonts w:hint="eastAsia" w:ascii="宋体" w:hAnsi="宋体"/>
          <w:sz w:val="24"/>
          <w:highlight w:val="none"/>
          <w:lang w:val="en-US" w:eastAsia="zh-CN"/>
        </w:rPr>
        <w:t>陕西省政府采购网</w:t>
      </w:r>
      <w:r>
        <w:rPr>
          <w:rFonts w:hint="eastAsia" w:ascii="宋体" w:hAnsi="宋体"/>
          <w:sz w:val="24"/>
          <w:highlight w:val="none"/>
          <w:lang w:eastAsia="zh-CN"/>
        </w:rPr>
        <w:t>专家库</w:t>
      </w:r>
      <w:r>
        <w:rPr>
          <w:rFonts w:hint="eastAsia" w:ascii="宋体" w:hAnsi="宋体"/>
          <w:sz w:val="24"/>
          <w:highlight w:val="none"/>
        </w:rPr>
        <w:t>中随机抽取，磋</w:t>
      </w:r>
      <w:r>
        <w:rPr>
          <w:rFonts w:hint="eastAsia" w:ascii="宋体" w:hAnsi="宋体"/>
          <w:sz w:val="24"/>
        </w:rPr>
        <w:t>商小组成员应当遵守并履行下列责任和义务：</w:t>
      </w:r>
    </w:p>
    <w:p w14:paraId="71B52849">
      <w:pPr>
        <w:spacing w:line="360" w:lineRule="auto"/>
        <w:ind w:firstLine="600" w:firstLineChars="250"/>
        <w:rPr>
          <w:rFonts w:hint="eastAsia" w:ascii="宋体" w:hAnsi="宋体"/>
          <w:sz w:val="24"/>
        </w:rPr>
      </w:pPr>
      <w:r>
        <w:rPr>
          <w:rFonts w:hint="eastAsia" w:ascii="宋体" w:hAnsi="宋体"/>
          <w:sz w:val="24"/>
        </w:rPr>
        <w:t>A、要严格遵守政府采购相关法律制度，依法履行各自职责，公正、客观、审慎地组织和参与评审工作；</w:t>
      </w:r>
    </w:p>
    <w:p w14:paraId="2D4F3930">
      <w:pPr>
        <w:spacing w:line="360" w:lineRule="auto"/>
        <w:ind w:firstLine="600" w:firstLineChars="250"/>
        <w:rPr>
          <w:rFonts w:hint="eastAsia" w:ascii="宋体" w:hAnsi="宋体"/>
          <w:sz w:val="24"/>
        </w:rPr>
      </w:pPr>
      <w:r>
        <w:rPr>
          <w:rFonts w:hint="eastAsia" w:ascii="宋体" w:hAnsi="宋体"/>
          <w:sz w:val="24"/>
        </w:rPr>
        <w:t>B、审查、评价响应文件是否符合磋商文件的商务、技术等实质性要求；</w:t>
      </w:r>
    </w:p>
    <w:p w14:paraId="5DB99FCD">
      <w:pPr>
        <w:spacing w:line="360" w:lineRule="auto"/>
        <w:ind w:firstLine="600" w:firstLineChars="250"/>
        <w:rPr>
          <w:rFonts w:hint="eastAsia" w:ascii="宋体" w:hAnsi="宋体"/>
          <w:sz w:val="24"/>
        </w:rPr>
      </w:pPr>
      <w:r>
        <w:rPr>
          <w:rFonts w:hint="eastAsia" w:ascii="宋体" w:hAnsi="宋体"/>
          <w:sz w:val="24"/>
        </w:rPr>
        <w:t>C、要求供应商对响应文件有关事项作出澄清或说明；</w:t>
      </w:r>
    </w:p>
    <w:p w14:paraId="6E387FA7">
      <w:pPr>
        <w:spacing w:line="360" w:lineRule="auto"/>
        <w:ind w:firstLine="600" w:firstLineChars="250"/>
        <w:rPr>
          <w:rFonts w:hint="eastAsia" w:ascii="宋体" w:hAnsi="宋体"/>
          <w:sz w:val="24"/>
        </w:rPr>
      </w:pPr>
      <w:r>
        <w:rPr>
          <w:rFonts w:hint="eastAsia" w:ascii="宋体" w:hAnsi="宋体"/>
          <w:sz w:val="24"/>
        </w:rPr>
        <w:t>D、按磋商文件规定的评审方法和标准，对响应文件进行比较和评价；对供应商的客观评分项的评分应当一致；</w:t>
      </w:r>
    </w:p>
    <w:p w14:paraId="6E545E7D">
      <w:pPr>
        <w:spacing w:line="360" w:lineRule="auto"/>
        <w:ind w:firstLine="600" w:firstLineChars="250"/>
        <w:rPr>
          <w:rFonts w:hint="eastAsia" w:ascii="宋体" w:hAnsi="宋体"/>
          <w:sz w:val="24"/>
        </w:rPr>
      </w:pPr>
      <w:r>
        <w:rPr>
          <w:rFonts w:hint="eastAsia" w:ascii="宋体" w:hAnsi="宋体"/>
          <w:sz w:val="24"/>
        </w:rPr>
        <w:t>E、要依法独立评审，按照磋商文件的要求和评标标准进行评标，推荐成交候选人名单，对评审意见承担个人责任；</w:t>
      </w:r>
    </w:p>
    <w:p w14:paraId="24079036">
      <w:pPr>
        <w:spacing w:line="360" w:lineRule="auto"/>
        <w:ind w:firstLine="600" w:firstLineChars="250"/>
        <w:rPr>
          <w:rFonts w:ascii="宋体" w:hAnsi="宋体"/>
          <w:sz w:val="24"/>
        </w:rPr>
      </w:pPr>
      <w:r>
        <w:rPr>
          <w:rFonts w:hint="eastAsia" w:ascii="宋体" w:hAnsi="宋体"/>
          <w:sz w:val="24"/>
        </w:rPr>
        <w:t>F、对需要共同认定的事项存在争议的，按照少数服从多数的原则做出结论。持不同意见的磋商小组成员应当在评审报告上签署不同意见并说明理由，否则视为同意；</w:t>
      </w:r>
      <w:r>
        <w:rPr>
          <w:rFonts w:ascii="宋体" w:hAnsi="宋体"/>
          <w:sz w:val="24"/>
        </w:rPr>
        <w:t xml:space="preserve"> </w:t>
      </w:r>
    </w:p>
    <w:p w14:paraId="76910AFB">
      <w:pPr>
        <w:spacing w:line="360" w:lineRule="auto"/>
        <w:ind w:firstLine="600" w:firstLineChars="250"/>
        <w:rPr>
          <w:rFonts w:hint="eastAsia" w:ascii="宋体" w:hAnsi="宋体"/>
          <w:sz w:val="24"/>
        </w:rPr>
      </w:pPr>
      <w:r>
        <w:rPr>
          <w:rFonts w:hint="eastAsia" w:ascii="宋体" w:hAnsi="宋体"/>
          <w:sz w:val="24"/>
        </w:rPr>
        <w:t>G、对评审情况以及在评审过程中获悉的国家秘密、商业秘密负有保密责任；</w:t>
      </w:r>
    </w:p>
    <w:p w14:paraId="41E44766">
      <w:pPr>
        <w:spacing w:line="360" w:lineRule="auto"/>
        <w:ind w:firstLine="600" w:firstLineChars="250"/>
        <w:rPr>
          <w:rFonts w:hint="eastAsia" w:ascii="宋体" w:hAnsi="宋体"/>
          <w:sz w:val="24"/>
        </w:rPr>
      </w:pPr>
      <w:r>
        <w:rPr>
          <w:rFonts w:hint="eastAsia" w:ascii="宋体" w:hAnsi="宋体"/>
          <w:sz w:val="24"/>
        </w:rPr>
        <w:t>H、向采购人、采购代理机构或者有关部门报告评审中发现的违法行为；</w:t>
      </w:r>
    </w:p>
    <w:p w14:paraId="1F50179C">
      <w:pPr>
        <w:spacing w:line="360" w:lineRule="auto"/>
        <w:ind w:firstLine="600" w:firstLineChars="250"/>
        <w:rPr>
          <w:rFonts w:hint="eastAsia" w:ascii="宋体" w:hAnsi="宋体"/>
          <w:sz w:val="24"/>
        </w:rPr>
      </w:pPr>
      <w:r>
        <w:rPr>
          <w:rFonts w:hint="eastAsia" w:ascii="宋体" w:hAnsi="宋体"/>
          <w:sz w:val="24"/>
        </w:rPr>
        <w:t>I、配合采购人、采购代理机构答复供应商提出的质疑；</w:t>
      </w:r>
    </w:p>
    <w:p w14:paraId="71AA7982">
      <w:pPr>
        <w:spacing w:line="360" w:lineRule="auto"/>
        <w:ind w:firstLine="600" w:firstLineChars="250"/>
        <w:rPr>
          <w:rFonts w:hint="eastAsia" w:ascii="宋体" w:hAnsi="宋体"/>
          <w:sz w:val="24"/>
        </w:rPr>
      </w:pPr>
      <w:r>
        <w:rPr>
          <w:rFonts w:hint="eastAsia" w:ascii="宋体" w:hAnsi="宋体"/>
          <w:sz w:val="24"/>
        </w:rPr>
        <w:t>J、配合财政部门处理投诉工作。</w:t>
      </w:r>
    </w:p>
    <w:p w14:paraId="667A0FC4">
      <w:pPr>
        <w:spacing w:line="360" w:lineRule="auto"/>
        <w:ind w:firstLine="120" w:firstLineChars="50"/>
        <w:rPr>
          <w:rFonts w:hint="eastAsia" w:ascii="宋体" w:hAnsi="宋体"/>
          <w:b/>
          <w:sz w:val="24"/>
        </w:rPr>
      </w:pPr>
      <w:r>
        <w:rPr>
          <w:rFonts w:hint="eastAsia" w:ascii="宋体" w:hAnsi="宋体"/>
          <w:b/>
          <w:sz w:val="24"/>
        </w:rPr>
        <w:t>3、响应文件的初审</w:t>
      </w:r>
    </w:p>
    <w:p w14:paraId="5D0BF02D">
      <w:pPr>
        <w:spacing w:line="336" w:lineRule="auto"/>
        <w:ind w:firstLine="360" w:firstLineChars="150"/>
        <w:rPr>
          <w:rFonts w:hint="eastAsia" w:ascii="宋体" w:hAnsi="宋体"/>
          <w:sz w:val="24"/>
        </w:rPr>
      </w:pPr>
      <w:r>
        <w:rPr>
          <w:rFonts w:hint="eastAsia" w:ascii="宋体" w:hAnsi="宋体"/>
          <w:sz w:val="24"/>
        </w:rPr>
        <w:t>（1）初审分为资格性审查和符合性审查。</w:t>
      </w:r>
    </w:p>
    <w:p w14:paraId="7A698780">
      <w:pPr>
        <w:spacing w:line="336" w:lineRule="auto"/>
        <w:ind w:firstLine="360" w:firstLineChars="150"/>
        <w:rPr>
          <w:rFonts w:hint="eastAsia" w:ascii="宋体" w:hAnsi="宋体"/>
          <w:sz w:val="24"/>
        </w:rPr>
      </w:pPr>
      <w:r>
        <w:rPr>
          <w:rFonts w:hint="eastAsia" w:ascii="宋体" w:hAnsi="宋体"/>
          <w:sz w:val="24"/>
        </w:rPr>
        <w:t>（2）资格性审查：依据磋商文件的规定，</w:t>
      </w:r>
      <w:r>
        <w:rPr>
          <w:rFonts w:hint="eastAsia" w:ascii="宋体" w:hAnsi="宋体"/>
          <w:sz w:val="24"/>
          <w:lang w:eastAsia="zh-CN"/>
        </w:rPr>
        <w:t>采购人</w:t>
      </w:r>
      <w:r>
        <w:rPr>
          <w:rFonts w:hint="eastAsia" w:ascii="宋体" w:hAnsi="宋体"/>
          <w:sz w:val="24"/>
        </w:rPr>
        <w:t>对供应商的资格证明文件进行审查，以确定供应商是否具备磋商资格。</w:t>
      </w:r>
    </w:p>
    <w:tbl>
      <w:tblPr>
        <w:tblStyle w:val="3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
        <w:gridCol w:w="2383"/>
        <w:gridCol w:w="6274"/>
      </w:tblGrid>
      <w:tr w14:paraId="3C908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335" w:type="pct"/>
            <w:tcBorders>
              <w:top w:val="single" w:color="auto" w:sz="4" w:space="0"/>
            </w:tcBorders>
            <w:noWrap w:val="0"/>
            <w:vAlign w:val="center"/>
          </w:tcPr>
          <w:p w14:paraId="6AC0F12A">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序号</w:t>
            </w:r>
          </w:p>
        </w:tc>
        <w:tc>
          <w:tcPr>
            <w:tcW w:w="1284" w:type="pct"/>
            <w:tcBorders>
              <w:top w:val="single" w:color="auto" w:sz="4" w:space="0"/>
            </w:tcBorders>
            <w:noWrap w:val="0"/>
            <w:vAlign w:val="center"/>
          </w:tcPr>
          <w:p w14:paraId="68F3C77E">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rPr>
              <w:t>审查内容</w:t>
            </w:r>
          </w:p>
        </w:tc>
        <w:tc>
          <w:tcPr>
            <w:tcW w:w="3380" w:type="pct"/>
            <w:tcBorders>
              <w:top w:val="single" w:color="auto" w:sz="4" w:space="0"/>
            </w:tcBorders>
            <w:noWrap w:val="0"/>
            <w:vAlign w:val="center"/>
          </w:tcPr>
          <w:p w14:paraId="2426F589">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合格条件</w:t>
            </w:r>
          </w:p>
        </w:tc>
      </w:tr>
      <w:tr w14:paraId="2DAB6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335" w:type="pct"/>
            <w:noWrap w:val="0"/>
            <w:vAlign w:val="center"/>
          </w:tcPr>
          <w:p w14:paraId="30523FDE">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1</w:t>
            </w:r>
          </w:p>
        </w:tc>
        <w:tc>
          <w:tcPr>
            <w:tcW w:w="1284" w:type="pct"/>
            <w:noWrap w:val="0"/>
            <w:vAlign w:val="center"/>
          </w:tcPr>
          <w:p w14:paraId="29C3118C">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default" w:asciiTheme="minorEastAsia" w:hAnsiTheme="minorEastAsia" w:eastAsiaTheme="minorEastAsia" w:cstheme="minorEastAsia"/>
                <w:b w:val="0"/>
                <w:bCs w:val="0"/>
                <w:color w:val="auto"/>
                <w:sz w:val="24"/>
                <w:szCs w:val="24"/>
                <w:highlight w:val="none"/>
                <w:lang w:val="en-US" w:eastAsia="zh-CN"/>
              </w:rPr>
            </w:pPr>
            <w:r>
              <w:rPr>
                <w:rFonts w:hint="eastAsia"/>
                <w:sz w:val="24"/>
                <w:szCs w:val="24"/>
              </w:rPr>
              <w:t>营业执照</w:t>
            </w:r>
          </w:p>
        </w:tc>
        <w:tc>
          <w:tcPr>
            <w:tcW w:w="3380" w:type="pct"/>
            <w:noWrap w:val="0"/>
            <w:vAlign w:val="center"/>
          </w:tcPr>
          <w:p w14:paraId="0F3FFD17">
            <w:pPr>
              <w:keepNext w:val="0"/>
              <w:keepLines w:val="0"/>
              <w:pageBreakBefore w:val="0"/>
              <w:widowControl w:val="0"/>
              <w:kinsoku/>
              <w:wordWrap/>
              <w:overflowPunct/>
              <w:topLinePunct w:val="0"/>
              <w:autoSpaceDE/>
              <w:autoSpaceDN/>
              <w:bidi w:val="0"/>
              <w:adjustRightInd/>
              <w:snapToGrid w:val="0"/>
              <w:spacing w:line="360" w:lineRule="exact"/>
              <w:jc w:val="left"/>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sz w:val="24"/>
                <w:szCs w:val="24"/>
              </w:rPr>
              <w:t>供应商须具有独立承担民事责任能力的法人、其他组织或自然人，并出具合法有效的营业执照或事业单位法人证书等国家规定的相关证明，自然人参与的提供其身份证明；</w:t>
            </w:r>
          </w:p>
        </w:tc>
      </w:tr>
      <w:tr w14:paraId="27B43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335" w:type="pct"/>
            <w:noWrap w:val="0"/>
            <w:vAlign w:val="center"/>
          </w:tcPr>
          <w:p w14:paraId="4299C2EF">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2</w:t>
            </w:r>
          </w:p>
        </w:tc>
        <w:tc>
          <w:tcPr>
            <w:tcW w:w="1284" w:type="pct"/>
            <w:noWrap w:val="0"/>
            <w:vAlign w:val="center"/>
          </w:tcPr>
          <w:p w14:paraId="272A732C">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default" w:asciiTheme="minorEastAsia" w:hAnsiTheme="minorEastAsia" w:eastAsiaTheme="minorEastAsia" w:cstheme="minorEastAsia"/>
                <w:b w:val="0"/>
                <w:bCs w:val="0"/>
                <w:color w:val="auto"/>
                <w:sz w:val="24"/>
                <w:szCs w:val="24"/>
                <w:highlight w:val="none"/>
                <w:lang w:val="en-US" w:eastAsia="zh-CN"/>
              </w:rPr>
            </w:pPr>
            <w:r>
              <w:rPr>
                <w:rFonts w:hint="eastAsia"/>
                <w:sz w:val="24"/>
                <w:szCs w:val="24"/>
              </w:rPr>
              <w:t>法定代表人身份证明或法定代表人授权委托书</w:t>
            </w:r>
          </w:p>
        </w:tc>
        <w:tc>
          <w:tcPr>
            <w:tcW w:w="3380" w:type="pct"/>
            <w:noWrap w:val="0"/>
            <w:vAlign w:val="center"/>
          </w:tcPr>
          <w:p w14:paraId="32899E7C">
            <w:pPr>
              <w:keepNext w:val="0"/>
              <w:keepLines w:val="0"/>
              <w:pageBreakBefore w:val="0"/>
              <w:widowControl w:val="0"/>
              <w:kinsoku/>
              <w:wordWrap/>
              <w:overflowPunct/>
              <w:topLinePunct w:val="0"/>
              <w:autoSpaceDE/>
              <w:autoSpaceDN/>
              <w:bidi w:val="0"/>
              <w:adjustRightInd/>
              <w:snapToGrid w:val="0"/>
              <w:spacing w:line="360" w:lineRule="exact"/>
              <w:jc w:val="left"/>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sz w:val="24"/>
                <w:szCs w:val="24"/>
              </w:rPr>
              <w:t>供应商法定代表人直接参与磋商的，须出具法定代表人身份证明（附法定代表人身份证复印件）；法定代表人授权代表参与磋商的，须出具法定代表人授权委托书（附法定代表人及授权代表身份证复印件)；</w:t>
            </w:r>
          </w:p>
        </w:tc>
      </w:tr>
      <w:tr w14:paraId="1879E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335" w:type="pct"/>
            <w:noWrap w:val="0"/>
            <w:vAlign w:val="center"/>
          </w:tcPr>
          <w:p w14:paraId="35C83703">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3</w:t>
            </w:r>
          </w:p>
        </w:tc>
        <w:tc>
          <w:tcPr>
            <w:tcW w:w="1284" w:type="pct"/>
            <w:noWrap w:val="0"/>
            <w:vAlign w:val="center"/>
          </w:tcPr>
          <w:p w14:paraId="23C1E230">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default" w:asciiTheme="minorEastAsia" w:hAnsiTheme="minorEastAsia" w:eastAsiaTheme="minorEastAsia" w:cstheme="minorEastAsia"/>
                <w:b w:val="0"/>
                <w:bCs w:val="0"/>
                <w:color w:val="auto"/>
                <w:sz w:val="24"/>
                <w:szCs w:val="24"/>
                <w:highlight w:val="none"/>
                <w:lang w:val="en-US" w:eastAsia="zh-CN"/>
              </w:rPr>
            </w:pPr>
            <w:r>
              <w:rPr>
                <w:rFonts w:hint="eastAsia"/>
                <w:sz w:val="24"/>
                <w:szCs w:val="24"/>
              </w:rPr>
              <w:t>财务状况报告</w:t>
            </w:r>
          </w:p>
        </w:tc>
        <w:tc>
          <w:tcPr>
            <w:tcW w:w="3380" w:type="pct"/>
            <w:noWrap w:val="0"/>
            <w:vAlign w:val="center"/>
          </w:tcPr>
          <w:p w14:paraId="6F633276">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sz w:val="24"/>
                <w:szCs w:val="24"/>
                <w:lang w:eastAsia="zh-CN"/>
              </w:rPr>
              <w:t>供应商须提供2025年度的财务审计报告（至少包括资产负债表、利润表、现金流量表，成立时间至提交磋商响应文件截止时间不足一年的可提供成立后任意时段的资产负债表、利润表、现金流量表），或其基本存款账户开户银行出具的资信证明及基本存款账户开户许可证（或存款信息）</w:t>
            </w:r>
            <w:r>
              <w:rPr>
                <w:rFonts w:hint="eastAsia"/>
                <w:sz w:val="24"/>
                <w:szCs w:val="24"/>
              </w:rPr>
              <w:t>；</w:t>
            </w:r>
          </w:p>
        </w:tc>
      </w:tr>
      <w:tr w14:paraId="4CD46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335" w:type="pct"/>
            <w:noWrap w:val="0"/>
            <w:vAlign w:val="center"/>
          </w:tcPr>
          <w:p w14:paraId="7D5BB0B8">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4</w:t>
            </w:r>
          </w:p>
        </w:tc>
        <w:tc>
          <w:tcPr>
            <w:tcW w:w="1284" w:type="pct"/>
            <w:noWrap w:val="0"/>
            <w:vAlign w:val="center"/>
          </w:tcPr>
          <w:p w14:paraId="3664A938">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default" w:asciiTheme="minorEastAsia" w:hAnsiTheme="minorEastAsia" w:eastAsiaTheme="minorEastAsia" w:cstheme="minorEastAsia"/>
                <w:b w:val="0"/>
                <w:bCs w:val="0"/>
                <w:color w:val="auto"/>
                <w:sz w:val="24"/>
                <w:szCs w:val="24"/>
                <w:highlight w:val="none"/>
                <w:lang w:val="en-US" w:eastAsia="zh-CN"/>
              </w:rPr>
            </w:pPr>
            <w:r>
              <w:rPr>
                <w:rFonts w:hint="eastAsia"/>
                <w:sz w:val="24"/>
                <w:szCs w:val="24"/>
              </w:rPr>
              <w:t>税收缴纳证明</w:t>
            </w:r>
          </w:p>
        </w:tc>
        <w:tc>
          <w:tcPr>
            <w:tcW w:w="3380" w:type="pct"/>
            <w:noWrap w:val="0"/>
            <w:vAlign w:val="center"/>
          </w:tcPr>
          <w:p w14:paraId="1B01763C">
            <w:pPr>
              <w:keepNext w:val="0"/>
              <w:keepLines w:val="0"/>
              <w:pageBreakBefore w:val="0"/>
              <w:widowControl w:val="0"/>
              <w:kinsoku/>
              <w:wordWrap/>
              <w:overflowPunct/>
              <w:topLinePunct w:val="0"/>
              <w:autoSpaceDE/>
              <w:autoSpaceDN/>
              <w:bidi w:val="0"/>
              <w:adjustRightInd/>
              <w:snapToGrid w:val="0"/>
              <w:spacing w:line="360" w:lineRule="exact"/>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sz w:val="24"/>
                <w:szCs w:val="24"/>
              </w:rPr>
              <w:t>供应商须提供磋商截止日前六个月已缴纳的至少一个月的纳税证明或完税证明，依法免税的单位应提供相关证明材料；</w:t>
            </w:r>
          </w:p>
        </w:tc>
      </w:tr>
      <w:tr w14:paraId="4019B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2" w:hRule="atLeast"/>
        </w:trPr>
        <w:tc>
          <w:tcPr>
            <w:tcW w:w="335" w:type="pct"/>
            <w:noWrap w:val="0"/>
            <w:vAlign w:val="center"/>
          </w:tcPr>
          <w:p w14:paraId="719E1E6E">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5</w:t>
            </w:r>
          </w:p>
        </w:tc>
        <w:tc>
          <w:tcPr>
            <w:tcW w:w="1284" w:type="pct"/>
            <w:noWrap w:val="0"/>
            <w:vAlign w:val="center"/>
          </w:tcPr>
          <w:p w14:paraId="6B521B39">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Theme="minorEastAsia" w:hAnsiTheme="minorEastAsia" w:eastAsiaTheme="minorEastAsia" w:cstheme="minorEastAsia"/>
                <w:b w:val="0"/>
                <w:bCs w:val="0"/>
                <w:color w:val="auto"/>
                <w:sz w:val="24"/>
                <w:szCs w:val="24"/>
                <w:highlight w:val="none"/>
              </w:rPr>
            </w:pPr>
            <w:r>
              <w:rPr>
                <w:rFonts w:hint="eastAsia"/>
                <w:sz w:val="24"/>
                <w:szCs w:val="24"/>
              </w:rPr>
              <w:t>社会保障资金缴纳证明</w:t>
            </w:r>
          </w:p>
        </w:tc>
        <w:tc>
          <w:tcPr>
            <w:tcW w:w="3380" w:type="pct"/>
            <w:noWrap w:val="0"/>
            <w:vAlign w:val="center"/>
          </w:tcPr>
          <w:p w14:paraId="6190F5EE">
            <w:pPr>
              <w:keepNext w:val="0"/>
              <w:keepLines w:val="0"/>
              <w:pageBreakBefore w:val="0"/>
              <w:widowControl w:val="0"/>
              <w:kinsoku/>
              <w:wordWrap/>
              <w:overflowPunct/>
              <w:topLinePunct w:val="0"/>
              <w:autoSpaceDE/>
              <w:autoSpaceDN/>
              <w:bidi w:val="0"/>
              <w:adjustRightInd/>
              <w:snapToGrid w:val="0"/>
              <w:spacing w:line="360" w:lineRule="exact"/>
              <w:jc w:val="left"/>
              <w:textAlignment w:val="auto"/>
              <w:rPr>
                <w:rFonts w:hint="eastAsia" w:asciiTheme="minorEastAsia" w:hAnsiTheme="minorEastAsia" w:eastAsiaTheme="minorEastAsia" w:cstheme="minorEastAsia"/>
                <w:b w:val="0"/>
                <w:bCs w:val="0"/>
                <w:color w:val="auto"/>
                <w:sz w:val="24"/>
                <w:szCs w:val="24"/>
                <w:highlight w:val="none"/>
              </w:rPr>
            </w:pPr>
            <w:r>
              <w:rPr>
                <w:rFonts w:hint="eastAsia"/>
                <w:sz w:val="24"/>
                <w:szCs w:val="24"/>
              </w:rPr>
              <w:t>供应商须提供磋商截止日前六个月已缴纳的至少一个月的社会保障资金缴存单据或社保机构开具的社会保险参保缴费情况证明，依法不需要缴纳社会保障资金的单位应提供相关证明材料；</w:t>
            </w:r>
          </w:p>
        </w:tc>
      </w:tr>
      <w:tr w14:paraId="307FC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8" w:hRule="atLeast"/>
        </w:trPr>
        <w:tc>
          <w:tcPr>
            <w:tcW w:w="335" w:type="pct"/>
            <w:noWrap w:val="0"/>
            <w:vAlign w:val="center"/>
          </w:tcPr>
          <w:p w14:paraId="40EA59A7">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default"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6</w:t>
            </w:r>
          </w:p>
        </w:tc>
        <w:tc>
          <w:tcPr>
            <w:tcW w:w="1284" w:type="pct"/>
            <w:noWrap w:val="0"/>
            <w:vAlign w:val="center"/>
          </w:tcPr>
          <w:p w14:paraId="0A1A010A">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Theme="minorEastAsia" w:hAnsiTheme="minorEastAsia" w:eastAsiaTheme="minorEastAsia" w:cstheme="minorEastAsia"/>
                <w:b w:val="0"/>
                <w:bCs w:val="0"/>
                <w:color w:val="auto"/>
                <w:sz w:val="24"/>
                <w:szCs w:val="24"/>
                <w:highlight w:val="none"/>
              </w:rPr>
            </w:pPr>
            <w:r>
              <w:rPr>
                <w:rFonts w:hint="eastAsia"/>
                <w:sz w:val="24"/>
                <w:szCs w:val="24"/>
              </w:rPr>
              <w:t>供应商信誉要求</w:t>
            </w:r>
          </w:p>
        </w:tc>
        <w:tc>
          <w:tcPr>
            <w:tcW w:w="3380" w:type="pct"/>
            <w:noWrap w:val="0"/>
            <w:vAlign w:val="center"/>
          </w:tcPr>
          <w:p w14:paraId="1FBF7717">
            <w:pPr>
              <w:keepNext w:val="0"/>
              <w:keepLines w:val="0"/>
              <w:pageBreakBefore w:val="0"/>
              <w:widowControl w:val="0"/>
              <w:kinsoku/>
              <w:wordWrap/>
              <w:overflowPunct/>
              <w:topLinePunct w:val="0"/>
              <w:autoSpaceDE/>
              <w:autoSpaceDN/>
              <w:bidi w:val="0"/>
              <w:adjustRightInd/>
              <w:snapToGrid w:val="0"/>
              <w:spacing w:line="360" w:lineRule="exact"/>
              <w:jc w:val="left"/>
              <w:textAlignment w:val="auto"/>
              <w:rPr>
                <w:rFonts w:hint="eastAsia" w:asciiTheme="minorEastAsia" w:hAnsiTheme="minorEastAsia" w:eastAsiaTheme="minorEastAsia" w:cstheme="minorEastAsia"/>
                <w:b w:val="0"/>
                <w:bCs w:val="0"/>
                <w:color w:val="auto"/>
                <w:sz w:val="24"/>
                <w:szCs w:val="24"/>
                <w:highlight w:val="none"/>
              </w:rPr>
            </w:pPr>
            <w:r>
              <w:rPr>
                <w:rFonts w:hint="eastAsia"/>
                <w:sz w:val="24"/>
                <w:szCs w:val="24"/>
              </w:rPr>
              <w:t>供应商不得为“信用中国”网站（www.creditchina.gov.cn）中列入重大税收违法失信主体的供应商，不得为“中国执行信息公开网”（http://zxgk.court.gov.cn）网站被列为失信被执行人，不得为“中国政府采购网”（www.ccgp.gov.cn）政府采购严重违法失信行为记录名单中被财政部门禁止参加政府采购活动的供应商（提供相关网站查询截图</w:t>
            </w:r>
            <w:r>
              <w:rPr>
                <w:rFonts w:hint="eastAsia"/>
                <w:sz w:val="24"/>
                <w:szCs w:val="24"/>
                <w:lang w:val="en-US" w:eastAsia="zh-CN"/>
              </w:rPr>
              <w:t>或</w:t>
            </w:r>
            <w:r>
              <w:rPr>
                <w:rFonts w:hint="eastAsia"/>
                <w:sz w:val="24"/>
                <w:szCs w:val="24"/>
              </w:rPr>
              <w:t>承诺书）；</w:t>
            </w:r>
          </w:p>
        </w:tc>
      </w:tr>
      <w:tr w14:paraId="1DB27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335" w:type="pct"/>
            <w:noWrap w:val="0"/>
            <w:vAlign w:val="center"/>
          </w:tcPr>
          <w:p w14:paraId="1F744870">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default"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7</w:t>
            </w:r>
          </w:p>
        </w:tc>
        <w:tc>
          <w:tcPr>
            <w:tcW w:w="1284" w:type="pct"/>
            <w:noWrap w:val="0"/>
            <w:vAlign w:val="center"/>
          </w:tcPr>
          <w:p w14:paraId="4160F950">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Theme="minorEastAsia" w:hAnsiTheme="minorEastAsia" w:eastAsiaTheme="minorEastAsia" w:cstheme="minorEastAsia"/>
                <w:b w:val="0"/>
                <w:bCs w:val="0"/>
                <w:color w:val="auto"/>
                <w:sz w:val="24"/>
                <w:szCs w:val="24"/>
                <w:highlight w:val="none"/>
              </w:rPr>
            </w:pPr>
            <w:r>
              <w:rPr>
                <w:rFonts w:hint="eastAsia"/>
                <w:sz w:val="24"/>
                <w:szCs w:val="24"/>
                <w:lang w:val="en-US" w:eastAsia="zh-CN"/>
              </w:rPr>
              <w:t>关联关系</w:t>
            </w:r>
          </w:p>
        </w:tc>
        <w:tc>
          <w:tcPr>
            <w:tcW w:w="3380" w:type="pct"/>
            <w:noWrap w:val="0"/>
            <w:vAlign w:val="center"/>
          </w:tcPr>
          <w:p w14:paraId="794E2960">
            <w:pPr>
              <w:keepNext w:val="0"/>
              <w:keepLines w:val="0"/>
              <w:pageBreakBefore w:val="0"/>
              <w:widowControl w:val="0"/>
              <w:kinsoku/>
              <w:wordWrap/>
              <w:overflowPunct/>
              <w:topLinePunct w:val="0"/>
              <w:autoSpaceDE/>
              <w:autoSpaceDN/>
              <w:bidi w:val="0"/>
              <w:adjustRightInd/>
              <w:snapToGrid w:val="0"/>
              <w:spacing w:line="360" w:lineRule="exact"/>
              <w:jc w:val="left"/>
              <w:textAlignment w:val="auto"/>
              <w:rPr>
                <w:rFonts w:hint="eastAsia" w:asciiTheme="minorEastAsia" w:hAnsiTheme="minorEastAsia" w:eastAsiaTheme="minorEastAsia" w:cstheme="minorEastAsia"/>
                <w:b w:val="0"/>
                <w:bCs w:val="0"/>
                <w:color w:val="auto"/>
                <w:sz w:val="24"/>
                <w:szCs w:val="24"/>
                <w:highlight w:val="none"/>
              </w:rPr>
            </w:pPr>
            <w:r>
              <w:rPr>
                <w:rFonts w:hint="eastAsia"/>
                <w:sz w:val="24"/>
                <w:szCs w:val="24"/>
              </w:rPr>
              <w:t>单位负责人为同一人或者存在直接控股、管理关系的不同供应商，不得参加同一合同项下的政府采购活动（提供承诺书）</w:t>
            </w:r>
            <w:r>
              <w:rPr>
                <w:rFonts w:hint="eastAsia"/>
                <w:sz w:val="24"/>
                <w:szCs w:val="24"/>
                <w:lang w:eastAsia="zh-CN"/>
              </w:rPr>
              <w:t>；</w:t>
            </w:r>
          </w:p>
        </w:tc>
      </w:tr>
      <w:tr w14:paraId="62893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335" w:type="pct"/>
            <w:noWrap w:val="0"/>
            <w:vAlign w:val="center"/>
          </w:tcPr>
          <w:p w14:paraId="09D8529A">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default"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8</w:t>
            </w:r>
          </w:p>
        </w:tc>
        <w:tc>
          <w:tcPr>
            <w:tcW w:w="1284" w:type="pct"/>
            <w:noWrap w:val="0"/>
            <w:vAlign w:val="center"/>
          </w:tcPr>
          <w:p w14:paraId="6BE3B719">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sz w:val="24"/>
                <w:szCs w:val="24"/>
              </w:rPr>
              <w:t>书面声明</w:t>
            </w:r>
          </w:p>
        </w:tc>
        <w:tc>
          <w:tcPr>
            <w:tcW w:w="3380" w:type="pct"/>
            <w:noWrap w:val="0"/>
            <w:vAlign w:val="center"/>
          </w:tcPr>
          <w:p w14:paraId="7125B840">
            <w:pPr>
              <w:keepNext w:val="0"/>
              <w:keepLines w:val="0"/>
              <w:pageBreakBefore w:val="0"/>
              <w:widowControl w:val="0"/>
              <w:kinsoku/>
              <w:wordWrap/>
              <w:overflowPunct/>
              <w:topLinePunct w:val="0"/>
              <w:autoSpaceDE/>
              <w:autoSpaceDN/>
              <w:bidi w:val="0"/>
              <w:adjustRightInd/>
              <w:snapToGrid w:val="0"/>
              <w:spacing w:beforeAutospacing="0" w:afterAutospacing="0" w:line="360" w:lineRule="exact"/>
              <w:jc w:val="left"/>
              <w:textAlignment w:val="auto"/>
              <w:rPr>
                <w:rFonts w:hint="eastAsia"/>
                <w:sz w:val="24"/>
                <w:szCs w:val="24"/>
              </w:rPr>
            </w:pPr>
            <w:r>
              <w:rPr>
                <w:rFonts w:hint="eastAsia"/>
                <w:sz w:val="24"/>
                <w:szCs w:val="24"/>
              </w:rPr>
              <w:t>供应商参加政府采购活动前三年内，在经营活动中没有重大违法记录的书面声明（提供承诺书）；</w:t>
            </w:r>
          </w:p>
        </w:tc>
      </w:tr>
      <w:tr w14:paraId="58778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335" w:type="pct"/>
            <w:noWrap w:val="0"/>
            <w:vAlign w:val="center"/>
          </w:tcPr>
          <w:p w14:paraId="26ED72DC">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default"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9</w:t>
            </w:r>
          </w:p>
        </w:tc>
        <w:tc>
          <w:tcPr>
            <w:tcW w:w="1284" w:type="pct"/>
            <w:noWrap w:val="0"/>
            <w:vAlign w:val="center"/>
          </w:tcPr>
          <w:p w14:paraId="197DFFDE">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sz w:val="24"/>
                <w:szCs w:val="24"/>
              </w:rPr>
              <w:t>承诺书</w:t>
            </w:r>
          </w:p>
        </w:tc>
        <w:tc>
          <w:tcPr>
            <w:tcW w:w="3380" w:type="pct"/>
            <w:noWrap w:val="0"/>
            <w:vAlign w:val="center"/>
          </w:tcPr>
          <w:p w14:paraId="4FDF8AE1">
            <w:pPr>
              <w:keepNext w:val="0"/>
              <w:keepLines w:val="0"/>
              <w:pageBreakBefore w:val="0"/>
              <w:widowControl w:val="0"/>
              <w:kinsoku/>
              <w:wordWrap/>
              <w:overflowPunct/>
              <w:topLinePunct w:val="0"/>
              <w:autoSpaceDE/>
              <w:autoSpaceDN/>
              <w:bidi w:val="0"/>
              <w:adjustRightInd/>
              <w:snapToGrid w:val="0"/>
              <w:spacing w:beforeAutospacing="0" w:afterAutospacing="0" w:line="360" w:lineRule="exact"/>
              <w:jc w:val="left"/>
              <w:textAlignment w:val="auto"/>
              <w:rPr>
                <w:rFonts w:hint="eastAsia" w:asciiTheme="minorEastAsia" w:hAnsiTheme="minorEastAsia" w:eastAsiaTheme="minorEastAsia" w:cstheme="minorEastAsia"/>
                <w:b w:val="0"/>
                <w:bCs w:val="0"/>
                <w:color w:val="auto"/>
                <w:sz w:val="24"/>
                <w:szCs w:val="24"/>
                <w:highlight w:val="none"/>
              </w:rPr>
            </w:pPr>
            <w:r>
              <w:rPr>
                <w:rFonts w:hint="eastAsia"/>
                <w:sz w:val="24"/>
                <w:szCs w:val="24"/>
              </w:rPr>
              <w:t>供应商须提供具有履行合同所必需的设备和专业技术能力的承诺（提供承诺书）</w:t>
            </w:r>
          </w:p>
        </w:tc>
      </w:tr>
      <w:tr w14:paraId="552F7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335" w:type="pct"/>
            <w:noWrap w:val="0"/>
            <w:vAlign w:val="center"/>
          </w:tcPr>
          <w:p w14:paraId="389D1450">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default"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10</w:t>
            </w:r>
          </w:p>
        </w:tc>
        <w:tc>
          <w:tcPr>
            <w:tcW w:w="1284" w:type="pct"/>
            <w:noWrap w:val="0"/>
            <w:vAlign w:val="center"/>
          </w:tcPr>
          <w:p w14:paraId="148D7D74">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sz w:val="24"/>
                <w:szCs w:val="24"/>
              </w:rPr>
              <w:t>非联合体承诺书</w:t>
            </w:r>
          </w:p>
        </w:tc>
        <w:tc>
          <w:tcPr>
            <w:tcW w:w="3380" w:type="pct"/>
            <w:noWrap w:val="0"/>
            <w:vAlign w:val="center"/>
          </w:tcPr>
          <w:p w14:paraId="38B14736">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Theme="minorEastAsia" w:hAnsiTheme="minorEastAsia" w:eastAsiaTheme="minorEastAsia" w:cstheme="minorEastAsia"/>
                <w:b w:val="0"/>
                <w:bCs w:val="0"/>
                <w:color w:val="auto"/>
                <w:sz w:val="24"/>
                <w:szCs w:val="24"/>
                <w:highlight w:val="none"/>
              </w:rPr>
            </w:pPr>
            <w:r>
              <w:rPr>
                <w:rFonts w:hint="eastAsia"/>
                <w:sz w:val="24"/>
                <w:szCs w:val="24"/>
              </w:rPr>
              <w:t>本项目不接受联合体磋商（提供承诺书）</w:t>
            </w:r>
            <w:r>
              <w:rPr>
                <w:rFonts w:hint="eastAsia" w:asciiTheme="minorEastAsia" w:hAnsiTheme="minorEastAsia" w:eastAsiaTheme="minorEastAsia" w:cstheme="minorEastAsia"/>
                <w:b w:val="0"/>
                <w:bCs w:val="0"/>
                <w:color w:val="auto"/>
                <w:sz w:val="24"/>
                <w:szCs w:val="24"/>
                <w:highlight w:val="none"/>
                <w:lang w:val="en-US" w:eastAsia="zh-CN"/>
              </w:rPr>
              <w:t>。</w:t>
            </w:r>
          </w:p>
        </w:tc>
      </w:tr>
      <w:tr w14:paraId="18196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335" w:type="pct"/>
            <w:noWrap w:val="0"/>
            <w:vAlign w:val="center"/>
          </w:tcPr>
          <w:p w14:paraId="5E5508D6">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default"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11</w:t>
            </w:r>
          </w:p>
        </w:tc>
        <w:tc>
          <w:tcPr>
            <w:tcW w:w="1284" w:type="pct"/>
            <w:noWrap w:val="0"/>
            <w:vAlign w:val="center"/>
          </w:tcPr>
          <w:p w14:paraId="58A35B7C">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sz w:val="24"/>
                <w:szCs w:val="24"/>
              </w:rPr>
            </w:pPr>
            <w:r>
              <w:rPr>
                <w:rFonts w:hint="eastAsia"/>
                <w:sz w:val="24"/>
                <w:szCs w:val="24"/>
              </w:rPr>
              <w:t>本采购包专门面向中小企业采购</w:t>
            </w:r>
          </w:p>
        </w:tc>
        <w:tc>
          <w:tcPr>
            <w:tcW w:w="3380" w:type="pct"/>
            <w:noWrap w:val="0"/>
            <w:vAlign w:val="center"/>
          </w:tcPr>
          <w:p w14:paraId="0A5E6EE6">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sz w:val="24"/>
                <w:szCs w:val="24"/>
              </w:rPr>
            </w:pPr>
            <w:r>
              <w:rPr>
                <w:rFonts w:hint="eastAsia"/>
                <w:sz w:val="24"/>
                <w:szCs w:val="24"/>
              </w:rPr>
              <w:t>参与的供应商服务全部由符合政策要求的中小企业承接。</w:t>
            </w:r>
          </w:p>
        </w:tc>
      </w:tr>
    </w:tbl>
    <w:p w14:paraId="1A2FDF72">
      <w:pPr>
        <w:numPr>
          <w:ilvl w:val="0"/>
          <w:numId w:val="2"/>
        </w:numPr>
        <w:spacing w:line="336" w:lineRule="auto"/>
        <w:ind w:firstLine="360" w:firstLineChars="150"/>
        <w:rPr>
          <w:rFonts w:hint="eastAsia" w:ascii="宋体" w:hAnsi="宋体"/>
          <w:sz w:val="24"/>
        </w:rPr>
      </w:pPr>
      <w:r>
        <w:rPr>
          <w:rFonts w:hint="eastAsia" w:ascii="宋体" w:hAnsi="宋体"/>
          <w:sz w:val="24"/>
        </w:rPr>
        <w:t>符合性审查：依据磋商文件规定，从响应文件的有效性、完整性和对磋商文件的响应程度进行审查。下列情况有一项不满足者（但不限于），不进入下一轮评审：</w:t>
      </w:r>
    </w:p>
    <w:tbl>
      <w:tblPr>
        <w:tblStyle w:val="3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1"/>
        <w:gridCol w:w="3649"/>
        <w:gridCol w:w="5019"/>
      </w:tblGrid>
      <w:tr w14:paraId="40C1A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29" w:type="pct"/>
            <w:noWrap w:val="0"/>
            <w:vAlign w:val="center"/>
          </w:tcPr>
          <w:p w14:paraId="1C17F219">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序号</w:t>
            </w:r>
          </w:p>
        </w:tc>
        <w:tc>
          <w:tcPr>
            <w:tcW w:w="1966" w:type="pct"/>
            <w:noWrap w:val="0"/>
            <w:vAlign w:val="center"/>
          </w:tcPr>
          <w:p w14:paraId="3821A43A">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审查内容</w:t>
            </w:r>
          </w:p>
        </w:tc>
        <w:tc>
          <w:tcPr>
            <w:tcW w:w="2704" w:type="pct"/>
            <w:noWrap w:val="0"/>
            <w:vAlign w:val="center"/>
          </w:tcPr>
          <w:p w14:paraId="1024F415">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审查标准</w:t>
            </w:r>
          </w:p>
        </w:tc>
      </w:tr>
      <w:tr w14:paraId="7FF13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29" w:type="pct"/>
            <w:noWrap w:val="0"/>
            <w:vAlign w:val="center"/>
          </w:tcPr>
          <w:p w14:paraId="31217B81">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1</w:t>
            </w:r>
          </w:p>
        </w:tc>
        <w:tc>
          <w:tcPr>
            <w:tcW w:w="1966" w:type="pct"/>
            <w:noWrap w:val="0"/>
            <w:vAlign w:val="center"/>
          </w:tcPr>
          <w:p w14:paraId="5D8AE742">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b w:val="0"/>
                <w:bCs w:val="0"/>
                <w:color w:val="auto"/>
                <w:spacing w:val="4"/>
                <w:sz w:val="24"/>
                <w:szCs w:val="24"/>
                <w:highlight w:val="none"/>
              </w:rPr>
            </w:pPr>
            <w:r>
              <w:rPr>
                <w:rFonts w:hint="eastAsia" w:asciiTheme="minorEastAsia" w:hAnsiTheme="minorEastAsia" w:eastAsiaTheme="minorEastAsia" w:cstheme="minorEastAsia"/>
                <w:b w:val="0"/>
                <w:bCs w:val="0"/>
                <w:color w:val="auto"/>
                <w:spacing w:val="4"/>
                <w:sz w:val="24"/>
                <w:szCs w:val="24"/>
                <w:highlight w:val="none"/>
              </w:rPr>
              <w:t>供应商名称</w:t>
            </w:r>
          </w:p>
        </w:tc>
        <w:tc>
          <w:tcPr>
            <w:tcW w:w="2704" w:type="pct"/>
            <w:noWrap w:val="0"/>
            <w:vAlign w:val="center"/>
          </w:tcPr>
          <w:p w14:paraId="5B3EFB02">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pacing w:val="4"/>
                <w:sz w:val="24"/>
                <w:szCs w:val="24"/>
                <w:highlight w:val="none"/>
              </w:rPr>
              <w:t>与营业执照单位名称一致</w:t>
            </w:r>
          </w:p>
        </w:tc>
      </w:tr>
      <w:tr w14:paraId="6350D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29" w:type="pct"/>
            <w:noWrap w:val="0"/>
            <w:vAlign w:val="center"/>
          </w:tcPr>
          <w:p w14:paraId="17B1B867">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2</w:t>
            </w:r>
          </w:p>
        </w:tc>
        <w:tc>
          <w:tcPr>
            <w:tcW w:w="1966" w:type="pct"/>
            <w:noWrap w:val="0"/>
            <w:vAlign w:val="center"/>
          </w:tcPr>
          <w:p w14:paraId="0A6177FE">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b w:val="0"/>
                <w:bCs w:val="0"/>
                <w:i/>
                <w:iCs/>
                <w:color w:val="auto"/>
                <w:kern w:val="2"/>
                <w:sz w:val="24"/>
                <w:szCs w:val="24"/>
                <w:highlight w:val="none"/>
                <w:lang w:val="en-US" w:eastAsia="zh-CN" w:bidi="ar-SA"/>
              </w:rPr>
            </w:pPr>
            <w:r>
              <w:rPr>
                <w:rFonts w:hint="eastAsia" w:asciiTheme="minorEastAsia" w:hAnsiTheme="minorEastAsia" w:eastAsiaTheme="minorEastAsia" w:cstheme="minorEastAsia"/>
                <w:b w:val="0"/>
                <w:bCs w:val="0"/>
                <w:color w:val="auto"/>
                <w:spacing w:val="4"/>
                <w:sz w:val="24"/>
                <w:szCs w:val="24"/>
                <w:highlight w:val="none"/>
              </w:rPr>
              <w:t>响应文件签署、</w:t>
            </w:r>
            <w:r>
              <w:rPr>
                <w:rFonts w:hint="eastAsia" w:asciiTheme="minorEastAsia" w:hAnsiTheme="minorEastAsia" w:eastAsiaTheme="minorEastAsia" w:cstheme="minorEastAsia"/>
                <w:b w:val="0"/>
                <w:bCs w:val="0"/>
                <w:color w:val="auto"/>
                <w:spacing w:val="4"/>
                <w:sz w:val="24"/>
                <w:szCs w:val="24"/>
                <w:highlight w:val="none"/>
                <w:lang w:eastAsia="zh-CN"/>
              </w:rPr>
              <w:t>盖章、份数</w:t>
            </w:r>
          </w:p>
        </w:tc>
        <w:tc>
          <w:tcPr>
            <w:tcW w:w="2704" w:type="pct"/>
            <w:noWrap w:val="0"/>
            <w:vAlign w:val="center"/>
          </w:tcPr>
          <w:p w14:paraId="099F5148">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符合磋商文件要求</w:t>
            </w:r>
          </w:p>
        </w:tc>
      </w:tr>
      <w:tr w14:paraId="44C3C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29" w:type="pct"/>
            <w:noWrap w:val="0"/>
            <w:vAlign w:val="center"/>
          </w:tcPr>
          <w:p w14:paraId="2CD301E0">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3</w:t>
            </w:r>
          </w:p>
        </w:tc>
        <w:tc>
          <w:tcPr>
            <w:tcW w:w="1966" w:type="pct"/>
            <w:noWrap w:val="0"/>
            <w:vAlign w:val="center"/>
          </w:tcPr>
          <w:p w14:paraId="4E36E430">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b w:val="0"/>
                <w:bCs w:val="0"/>
                <w:color w:val="auto"/>
                <w:kern w:val="2"/>
                <w:sz w:val="24"/>
                <w:szCs w:val="24"/>
                <w:highlight w:val="none"/>
                <w:lang w:val="en-US" w:eastAsia="zh-CN" w:bidi="ar-SA"/>
              </w:rPr>
            </w:pPr>
            <w:r>
              <w:rPr>
                <w:rFonts w:hint="eastAsia" w:asciiTheme="minorEastAsia" w:hAnsiTheme="minorEastAsia" w:eastAsiaTheme="minorEastAsia" w:cstheme="minorEastAsia"/>
                <w:b w:val="0"/>
                <w:bCs w:val="0"/>
                <w:color w:val="auto"/>
                <w:spacing w:val="4"/>
                <w:sz w:val="24"/>
                <w:szCs w:val="24"/>
                <w:highlight w:val="none"/>
                <w:lang w:eastAsia="zh-CN"/>
              </w:rPr>
              <w:t>磋商</w:t>
            </w:r>
            <w:r>
              <w:rPr>
                <w:rFonts w:hint="eastAsia" w:asciiTheme="minorEastAsia" w:hAnsiTheme="minorEastAsia" w:eastAsiaTheme="minorEastAsia" w:cstheme="minorEastAsia"/>
                <w:b w:val="0"/>
                <w:bCs w:val="0"/>
                <w:color w:val="auto"/>
                <w:spacing w:val="4"/>
                <w:sz w:val="24"/>
                <w:szCs w:val="24"/>
                <w:highlight w:val="none"/>
              </w:rPr>
              <w:t>有效期</w:t>
            </w:r>
          </w:p>
        </w:tc>
        <w:tc>
          <w:tcPr>
            <w:tcW w:w="2704" w:type="pct"/>
            <w:noWrap w:val="0"/>
            <w:vAlign w:val="center"/>
          </w:tcPr>
          <w:p w14:paraId="68133035">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符合磋商文件要求</w:t>
            </w:r>
          </w:p>
        </w:tc>
      </w:tr>
      <w:tr w14:paraId="36CFE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29" w:type="pct"/>
            <w:noWrap w:val="0"/>
            <w:vAlign w:val="center"/>
          </w:tcPr>
          <w:p w14:paraId="31294EF5">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4</w:t>
            </w:r>
          </w:p>
        </w:tc>
        <w:tc>
          <w:tcPr>
            <w:tcW w:w="1966" w:type="pct"/>
            <w:noWrap w:val="0"/>
            <w:vAlign w:val="center"/>
          </w:tcPr>
          <w:p w14:paraId="17B8773E">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heme="minorEastAsia" w:hAnsiTheme="minorEastAsia" w:eastAsiaTheme="minorEastAsia" w:cstheme="minorEastAsia"/>
                <w:b w:val="0"/>
                <w:bCs w:val="0"/>
                <w:color w:val="auto"/>
                <w:spacing w:val="4"/>
                <w:sz w:val="24"/>
                <w:szCs w:val="24"/>
                <w:highlight w:val="none"/>
                <w:lang w:val="en-US" w:eastAsia="zh-CN"/>
              </w:rPr>
            </w:pPr>
            <w:r>
              <w:rPr>
                <w:rFonts w:hint="eastAsia" w:asciiTheme="minorEastAsia" w:hAnsiTheme="minorEastAsia" w:eastAsiaTheme="minorEastAsia" w:cstheme="minorEastAsia"/>
                <w:b w:val="0"/>
                <w:bCs w:val="0"/>
                <w:color w:val="auto"/>
                <w:spacing w:val="4"/>
                <w:sz w:val="24"/>
                <w:szCs w:val="24"/>
                <w:highlight w:val="none"/>
                <w:lang w:val="en-US" w:eastAsia="zh-CN"/>
              </w:rPr>
              <w:t>工期</w:t>
            </w:r>
          </w:p>
        </w:tc>
        <w:tc>
          <w:tcPr>
            <w:tcW w:w="2704" w:type="pct"/>
            <w:noWrap w:val="0"/>
            <w:vAlign w:val="center"/>
          </w:tcPr>
          <w:p w14:paraId="0BB31EB2">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符合磋商文件要求</w:t>
            </w:r>
          </w:p>
        </w:tc>
      </w:tr>
      <w:tr w14:paraId="63599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29" w:type="pct"/>
            <w:noWrap w:val="0"/>
            <w:vAlign w:val="center"/>
          </w:tcPr>
          <w:p w14:paraId="20F44DB5">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5</w:t>
            </w:r>
          </w:p>
        </w:tc>
        <w:tc>
          <w:tcPr>
            <w:tcW w:w="1966" w:type="pct"/>
            <w:noWrap w:val="0"/>
            <w:vAlign w:val="center"/>
          </w:tcPr>
          <w:p w14:paraId="4361271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rightChars="0"/>
              <w:jc w:val="center"/>
              <w:textAlignment w:val="auto"/>
              <w:rPr>
                <w:rFonts w:hint="eastAsia" w:asciiTheme="minorEastAsia" w:hAnsiTheme="minorEastAsia" w:eastAsiaTheme="minorEastAsia" w:cstheme="minorEastAsia"/>
                <w:b w:val="0"/>
                <w:bCs w:val="0"/>
                <w:color w:val="auto"/>
                <w:sz w:val="24"/>
                <w:szCs w:val="24"/>
                <w:highlight w:val="none"/>
                <w:lang w:val="en-US"/>
              </w:rPr>
            </w:pPr>
            <w:r>
              <w:rPr>
                <w:rFonts w:hint="eastAsia" w:asciiTheme="minorEastAsia" w:hAnsiTheme="minorEastAsia" w:eastAsiaTheme="minorEastAsia" w:cstheme="minorEastAsia"/>
                <w:b w:val="0"/>
                <w:bCs w:val="0"/>
                <w:color w:val="auto"/>
                <w:sz w:val="24"/>
                <w:szCs w:val="24"/>
                <w:highlight w:val="none"/>
              </w:rPr>
              <w:t>报价</w:t>
            </w:r>
          </w:p>
        </w:tc>
        <w:tc>
          <w:tcPr>
            <w:tcW w:w="2704" w:type="pct"/>
            <w:noWrap w:val="0"/>
            <w:vAlign w:val="center"/>
          </w:tcPr>
          <w:p w14:paraId="7812280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rightChars="0"/>
              <w:jc w:val="center"/>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eastAsia="zh-CN"/>
              </w:rPr>
              <w:t>报价唯一且不</w:t>
            </w:r>
            <w:r>
              <w:rPr>
                <w:rFonts w:hint="eastAsia" w:asciiTheme="minorEastAsia" w:hAnsiTheme="minorEastAsia" w:eastAsiaTheme="minorEastAsia" w:cstheme="minorEastAsia"/>
                <w:b w:val="0"/>
                <w:bCs w:val="0"/>
                <w:color w:val="auto"/>
                <w:sz w:val="24"/>
                <w:szCs w:val="24"/>
                <w:highlight w:val="none"/>
              </w:rPr>
              <w:t>超过采购预算</w:t>
            </w:r>
            <w:r>
              <w:rPr>
                <w:rFonts w:hint="eastAsia" w:asciiTheme="minorEastAsia" w:hAnsiTheme="minorEastAsia" w:eastAsiaTheme="minorEastAsia" w:cstheme="minorEastAsia"/>
                <w:b w:val="0"/>
                <w:bCs w:val="0"/>
                <w:color w:val="auto"/>
                <w:sz w:val="24"/>
                <w:szCs w:val="24"/>
                <w:highlight w:val="none"/>
                <w:lang w:eastAsia="zh-CN"/>
              </w:rPr>
              <w:t>或最高限价</w:t>
            </w:r>
          </w:p>
        </w:tc>
      </w:tr>
      <w:tr w14:paraId="19654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29" w:type="pct"/>
            <w:noWrap w:val="0"/>
            <w:vAlign w:val="center"/>
          </w:tcPr>
          <w:p w14:paraId="266EB271">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6</w:t>
            </w:r>
          </w:p>
        </w:tc>
        <w:tc>
          <w:tcPr>
            <w:tcW w:w="1966" w:type="pct"/>
            <w:noWrap w:val="0"/>
            <w:vAlign w:val="center"/>
          </w:tcPr>
          <w:p w14:paraId="4E80EB3B">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对</w:t>
            </w:r>
            <w:r>
              <w:rPr>
                <w:rFonts w:hint="eastAsia" w:asciiTheme="minorEastAsia" w:hAnsiTheme="minorEastAsia" w:eastAsiaTheme="minorEastAsia" w:cstheme="minorEastAsia"/>
                <w:b w:val="0"/>
                <w:bCs w:val="0"/>
                <w:color w:val="auto"/>
                <w:sz w:val="24"/>
                <w:szCs w:val="24"/>
                <w:highlight w:val="none"/>
                <w:lang w:eastAsia="zh-CN"/>
              </w:rPr>
              <w:t>竞争性</w:t>
            </w:r>
            <w:r>
              <w:rPr>
                <w:rFonts w:hint="eastAsia" w:asciiTheme="minorEastAsia" w:hAnsiTheme="minorEastAsia" w:eastAsiaTheme="minorEastAsia" w:cstheme="minorEastAsia"/>
                <w:b w:val="0"/>
                <w:bCs w:val="0"/>
                <w:color w:val="auto"/>
                <w:sz w:val="24"/>
                <w:szCs w:val="24"/>
                <w:highlight w:val="none"/>
              </w:rPr>
              <w:t>磋商文件</w:t>
            </w:r>
            <w:r>
              <w:rPr>
                <w:rFonts w:hint="eastAsia" w:asciiTheme="minorEastAsia" w:hAnsiTheme="minorEastAsia" w:eastAsiaTheme="minorEastAsia" w:cstheme="minorEastAsia"/>
                <w:b w:val="0"/>
                <w:bCs w:val="0"/>
                <w:color w:val="auto"/>
                <w:sz w:val="24"/>
                <w:szCs w:val="24"/>
                <w:highlight w:val="none"/>
                <w:lang w:eastAsia="zh-CN"/>
              </w:rPr>
              <w:t>的</w:t>
            </w:r>
            <w:r>
              <w:rPr>
                <w:rFonts w:hint="eastAsia" w:asciiTheme="minorEastAsia" w:hAnsiTheme="minorEastAsia" w:eastAsiaTheme="minorEastAsia" w:cstheme="minorEastAsia"/>
                <w:b w:val="0"/>
                <w:bCs w:val="0"/>
                <w:color w:val="auto"/>
                <w:sz w:val="24"/>
                <w:szCs w:val="24"/>
                <w:highlight w:val="none"/>
              </w:rPr>
              <w:t>响应程度</w:t>
            </w:r>
          </w:p>
        </w:tc>
        <w:tc>
          <w:tcPr>
            <w:tcW w:w="2704" w:type="pct"/>
            <w:noWrap w:val="0"/>
            <w:vAlign w:val="center"/>
          </w:tcPr>
          <w:p w14:paraId="462EA199">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rPr>
              <w:t>要求实质性条款全部响应</w:t>
            </w:r>
            <w:r>
              <w:rPr>
                <w:rFonts w:hint="eastAsia" w:asciiTheme="minorEastAsia" w:hAnsiTheme="minorEastAsia" w:eastAsiaTheme="minorEastAsia" w:cstheme="minorEastAsia"/>
                <w:b w:val="0"/>
                <w:bCs w:val="0"/>
                <w:color w:val="auto"/>
                <w:sz w:val="24"/>
                <w:szCs w:val="24"/>
                <w:highlight w:val="none"/>
                <w:lang w:eastAsia="zh-CN"/>
              </w:rPr>
              <w:t>；且</w:t>
            </w:r>
            <w:r>
              <w:rPr>
                <w:rFonts w:hint="eastAsia" w:asciiTheme="minorEastAsia" w:hAnsiTheme="minorEastAsia" w:eastAsiaTheme="minorEastAsia" w:cstheme="minorEastAsia"/>
                <w:b w:val="0"/>
                <w:bCs w:val="0"/>
                <w:color w:val="auto"/>
                <w:sz w:val="24"/>
                <w:szCs w:val="24"/>
                <w:highlight w:val="none"/>
              </w:rPr>
              <w:t>不能有采购人不能接受的附加条件</w:t>
            </w:r>
            <w:r>
              <w:rPr>
                <w:rFonts w:hint="eastAsia" w:asciiTheme="minorEastAsia" w:hAnsiTheme="minorEastAsia" w:eastAsiaTheme="minorEastAsia" w:cstheme="minorEastAsia"/>
                <w:b w:val="0"/>
                <w:bCs w:val="0"/>
                <w:color w:val="auto"/>
                <w:sz w:val="24"/>
                <w:szCs w:val="24"/>
                <w:highlight w:val="none"/>
                <w:lang w:eastAsia="zh-CN"/>
              </w:rPr>
              <w:t>。</w:t>
            </w:r>
          </w:p>
        </w:tc>
      </w:tr>
    </w:tbl>
    <w:p w14:paraId="265BFCE7">
      <w:pPr>
        <w:spacing w:line="360" w:lineRule="auto"/>
        <w:ind w:firstLine="360" w:firstLineChars="150"/>
        <w:rPr>
          <w:rFonts w:hint="eastAsia" w:ascii="宋体" w:hAnsi="宋体"/>
          <w:sz w:val="24"/>
        </w:rPr>
      </w:pPr>
      <w:r>
        <w:rPr>
          <w:rFonts w:hint="eastAsia" w:ascii="宋体" w:hAnsi="宋体"/>
          <w:sz w:val="24"/>
        </w:rPr>
        <w:t>（4）磋商时，响应文件中出现下列情况，修正原则为：</w:t>
      </w:r>
    </w:p>
    <w:p w14:paraId="22DCFBFA">
      <w:pPr>
        <w:spacing w:line="360" w:lineRule="auto"/>
        <w:ind w:firstLine="600" w:firstLineChars="250"/>
        <w:rPr>
          <w:rFonts w:hint="eastAsia" w:ascii="宋体" w:hAnsi="宋体"/>
          <w:sz w:val="24"/>
        </w:rPr>
      </w:pPr>
      <w:r>
        <w:rPr>
          <w:rFonts w:hint="eastAsia" w:ascii="宋体" w:hAnsi="宋体"/>
          <w:color w:val="000000"/>
          <w:sz w:val="24"/>
        </w:rPr>
        <w:t>A、响应文件中响应报价表内容与响应文件</w:t>
      </w:r>
      <w:r>
        <w:rPr>
          <w:rFonts w:hint="eastAsia" w:ascii="宋体" w:hAnsi="宋体"/>
          <w:sz w:val="24"/>
        </w:rPr>
        <w:t>中相应内容不</w:t>
      </w:r>
      <w:r>
        <w:rPr>
          <w:rFonts w:hint="eastAsia" w:ascii="宋体" w:hAnsi="宋体"/>
          <w:color w:val="000000"/>
          <w:sz w:val="24"/>
        </w:rPr>
        <w:t>一致的，以响应报价表为准；</w:t>
      </w:r>
    </w:p>
    <w:p w14:paraId="738CCA7A">
      <w:pPr>
        <w:spacing w:line="360" w:lineRule="auto"/>
        <w:ind w:firstLine="480" w:firstLineChars="200"/>
        <w:rPr>
          <w:rFonts w:hint="eastAsia" w:ascii="宋体" w:hAnsi="宋体"/>
          <w:sz w:val="24"/>
        </w:rPr>
      </w:pPr>
      <w:r>
        <w:rPr>
          <w:rFonts w:hint="eastAsia" w:ascii="宋体" w:hAnsi="宋体"/>
          <w:sz w:val="24"/>
        </w:rPr>
        <w:t xml:space="preserve"> B、大写金额和小写金额不一致的，以大写金额为准；</w:t>
      </w:r>
    </w:p>
    <w:p w14:paraId="3A3B3362">
      <w:pPr>
        <w:spacing w:line="360" w:lineRule="auto"/>
        <w:ind w:firstLine="480" w:firstLineChars="200"/>
        <w:rPr>
          <w:rFonts w:hint="eastAsia" w:ascii="宋体" w:hAnsi="宋体"/>
          <w:sz w:val="24"/>
        </w:rPr>
      </w:pPr>
      <w:r>
        <w:rPr>
          <w:rFonts w:hint="eastAsia" w:ascii="宋体" w:hAnsi="宋体"/>
          <w:sz w:val="24"/>
        </w:rPr>
        <w:t xml:space="preserve"> C、单价金额小数点或者百分比有明显错位的，以</w:t>
      </w:r>
      <w:r>
        <w:rPr>
          <w:rFonts w:hint="eastAsia" w:ascii="宋体" w:hAnsi="宋体"/>
          <w:color w:val="000000"/>
          <w:sz w:val="24"/>
        </w:rPr>
        <w:t>响应报价表</w:t>
      </w:r>
      <w:r>
        <w:rPr>
          <w:rFonts w:hint="eastAsia" w:ascii="宋体" w:hAnsi="宋体"/>
          <w:sz w:val="24"/>
        </w:rPr>
        <w:t>的总价为准，并修改单价；</w:t>
      </w:r>
    </w:p>
    <w:p w14:paraId="44842591">
      <w:pPr>
        <w:spacing w:line="360" w:lineRule="auto"/>
        <w:ind w:firstLine="600" w:firstLineChars="250"/>
        <w:rPr>
          <w:rFonts w:hint="eastAsia" w:ascii="宋体" w:hAnsi="宋体"/>
          <w:sz w:val="24"/>
        </w:rPr>
      </w:pPr>
      <w:r>
        <w:rPr>
          <w:rFonts w:hint="eastAsia" w:ascii="宋体" w:hAnsi="宋体"/>
          <w:sz w:val="24"/>
        </w:rPr>
        <w:t xml:space="preserve">D、总价金额与按单价汇总金额不一致的，以单价金额计算结果为准； </w:t>
      </w:r>
    </w:p>
    <w:p w14:paraId="12F9F5DC">
      <w:pPr>
        <w:spacing w:line="360" w:lineRule="auto"/>
        <w:ind w:firstLine="480" w:firstLineChars="200"/>
        <w:rPr>
          <w:rFonts w:hint="eastAsia" w:ascii="宋体" w:hAnsi="宋体"/>
          <w:sz w:val="24"/>
        </w:rPr>
      </w:pPr>
      <w:r>
        <w:rPr>
          <w:rFonts w:hint="eastAsia" w:ascii="宋体" w:hAnsi="宋体"/>
          <w:sz w:val="24"/>
        </w:rPr>
        <w:t xml:space="preserve"> E、响应文件正本与副本不一致的，以正本为准；</w:t>
      </w:r>
    </w:p>
    <w:p w14:paraId="3E965E0B">
      <w:pPr>
        <w:spacing w:line="360" w:lineRule="auto"/>
        <w:ind w:firstLine="480" w:firstLineChars="200"/>
        <w:rPr>
          <w:rFonts w:hint="eastAsia" w:ascii="宋体" w:hAnsi="宋体"/>
          <w:sz w:val="24"/>
        </w:rPr>
      </w:pPr>
      <w:r>
        <w:rPr>
          <w:rFonts w:hint="eastAsia" w:ascii="宋体" w:hAnsi="宋体"/>
          <w:sz w:val="24"/>
        </w:rPr>
        <w:t xml:space="preserve"> F、多处内容交叉不符的，以磋商小组评审结果为准；</w:t>
      </w:r>
    </w:p>
    <w:p w14:paraId="01FC1A4C">
      <w:pPr>
        <w:spacing w:line="360" w:lineRule="auto"/>
        <w:ind w:firstLine="480" w:firstLineChars="200"/>
        <w:rPr>
          <w:rFonts w:hint="eastAsia" w:ascii="宋体" w:hAnsi="宋体"/>
          <w:sz w:val="24"/>
        </w:rPr>
      </w:pPr>
      <w:r>
        <w:rPr>
          <w:rFonts w:hint="eastAsia" w:ascii="宋体" w:hAnsi="宋体"/>
          <w:sz w:val="24"/>
        </w:rPr>
        <w:t xml:space="preserve"> G、文字与图表不符的，以文字为准。</w:t>
      </w:r>
    </w:p>
    <w:p w14:paraId="63B633B5">
      <w:pPr>
        <w:spacing w:line="360" w:lineRule="auto"/>
        <w:ind w:firstLine="480" w:firstLineChars="200"/>
        <w:rPr>
          <w:rFonts w:hint="eastAsia" w:ascii="宋体" w:hAnsi="宋体"/>
          <w:sz w:val="24"/>
        </w:rPr>
      </w:pPr>
      <w:r>
        <w:rPr>
          <w:rFonts w:hint="eastAsia" w:ascii="宋体" w:hAnsi="宋体"/>
          <w:sz w:val="24"/>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1D7B65E3">
      <w:pPr>
        <w:spacing w:line="360" w:lineRule="auto"/>
        <w:ind w:firstLine="240" w:firstLineChars="100"/>
        <w:rPr>
          <w:rFonts w:hint="eastAsia" w:ascii="宋体" w:hAnsi="宋体"/>
          <w:sz w:val="24"/>
        </w:rPr>
      </w:pPr>
      <w:r>
        <w:rPr>
          <w:rFonts w:hint="eastAsia" w:ascii="宋体" w:hAnsi="宋体"/>
          <w:sz w:val="24"/>
        </w:rPr>
        <w:t xml:space="preserve"> （5）磋商开始后，直到向成交供应商授予合同为止，凡审查、澄清、评价和比较磋商的有关资料及被授标意见等内容，磋商小组成员均不得向供应商及与磋商无关的其他人透露。</w:t>
      </w:r>
    </w:p>
    <w:p w14:paraId="46F3F9F0">
      <w:pPr>
        <w:spacing w:line="360" w:lineRule="auto"/>
        <w:ind w:firstLine="120" w:firstLineChars="50"/>
        <w:rPr>
          <w:rFonts w:hint="eastAsia" w:ascii="宋体" w:hAnsi="宋体"/>
          <w:b/>
          <w:sz w:val="24"/>
        </w:rPr>
      </w:pPr>
      <w:r>
        <w:rPr>
          <w:rFonts w:hint="eastAsia" w:ascii="宋体" w:hAnsi="宋体"/>
          <w:b/>
          <w:sz w:val="24"/>
        </w:rPr>
        <w:t>4、出现下列情况之一者（但不限于），按无效文件处理：</w:t>
      </w:r>
    </w:p>
    <w:p w14:paraId="1D62FF5D">
      <w:pPr>
        <w:kinsoku w:val="0"/>
        <w:spacing w:line="360" w:lineRule="auto"/>
        <w:ind w:firstLine="600" w:firstLineChars="250"/>
        <w:rPr>
          <w:rFonts w:ascii="宋体" w:hAnsi="宋体"/>
          <w:sz w:val="24"/>
        </w:rPr>
      </w:pPr>
      <w:r>
        <w:rPr>
          <w:rFonts w:hint="eastAsia" w:ascii="宋体" w:hAnsi="宋体"/>
          <w:sz w:val="24"/>
        </w:rPr>
        <w:t>A、供应商的响应报价超过采购预算的；</w:t>
      </w:r>
    </w:p>
    <w:p w14:paraId="1F244EB7">
      <w:pPr>
        <w:kinsoku w:val="0"/>
        <w:spacing w:line="360" w:lineRule="auto"/>
        <w:ind w:firstLine="600" w:firstLineChars="250"/>
        <w:rPr>
          <w:rFonts w:hint="eastAsia" w:ascii="宋体" w:hAnsi="宋体"/>
          <w:sz w:val="24"/>
        </w:rPr>
      </w:pPr>
      <w:r>
        <w:rPr>
          <w:rFonts w:hint="eastAsia" w:ascii="宋体" w:hAnsi="宋体"/>
          <w:sz w:val="24"/>
        </w:rPr>
        <w:t>B、供应商未经过正常渠道购买磋商文件，或供应商名称与购买磋商文件时登记的供应商名称不符的；</w:t>
      </w:r>
    </w:p>
    <w:p w14:paraId="0BB03CC6">
      <w:pPr>
        <w:kinsoku w:val="0"/>
        <w:spacing w:line="360" w:lineRule="auto"/>
        <w:ind w:firstLine="600" w:firstLineChars="250"/>
        <w:rPr>
          <w:rFonts w:hint="eastAsia" w:ascii="宋体" w:hAnsi="宋体"/>
          <w:sz w:val="24"/>
        </w:rPr>
      </w:pPr>
      <w:r>
        <w:rPr>
          <w:rFonts w:hint="eastAsia" w:ascii="宋体" w:hAnsi="宋体"/>
          <w:sz w:val="24"/>
        </w:rPr>
        <w:t>C、不同供应商单位负责人为同一人或者存在控股、管理关系的；</w:t>
      </w:r>
    </w:p>
    <w:p w14:paraId="163982AC">
      <w:pPr>
        <w:kinsoku w:val="0"/>
        <w:spacing w:line="360" w:lineRule="auto"/>
        <w:ind w:firstLine="600" w:firstLineChars="250"/>
        <w:rPr>
          <w:rFonts w:hint="eastAsia" w:ascii="宋体" w:hAnsi="宋体"/>
          <w:sz w:val="24"/>
        </w:rPr>
      </w:pPr>
      <w:r>
        <w:rPr>
          <w:rFonts w:hint="eastAsia" w:ascii="宋体" w:hAnsi="宋体"/>
          <w:sz w:val="24"/>
        </w:rPr>
        <w:t>D、响应文件的有效性和符合性不符合要求的；</w:t>
      </w:r>
    </w:p>
    <w:p w14:paraId="6F040650">
      <w:pPr>
        <w:kinsoku w:val="0"/>
        <w:spacing w:line="360" w:lineRule="auto"/>
        <w:ind w:firstLine="600" w:firstLineChars="250"/>
        <w:rPr>
          <w:rFonts w:hint="eastAsia" w:ascii="宋体" w:hAnsi="宋体"/>
          <w:sz w:val="24"/>
        </w:rPr>
      </w:pPr>
      <w:r>
        <w:rPr>
          <w:rFonts w:hint="eastAsia" w:ascii="宋体" w:hAnsi="宋体"/>
          <w:sz w:val="24"/>
        </w:rPr>
        <w:t>E、实质性内容不满足或未响应的；</w:t>
      </w:r>
    </w:p>
    <w:p w14:paraId="0088B987">
      <w:pPr>
        <w:spacing w:line="360" w:lineRule="auto"/>
        <w:ind w:firstLine="600" w:firstLineChars="250"/>
        <w:rPr>
          <w:rFonts w:hint="eastAsia" w:ascii="宋体" w:hAnsi="宋体"/>
          <w:sz w:val="24"/>
        </w:rPr>
      </w:pPr>
      <w:r>
        <w:rPr>
          <w:rFonts w:hint="eastAsia" w:ascii="宋体" w:hAnsi="宋体"/>
          <w:sz w:val="24"/>
        </w:rPr>
        <w:t>F、响应文件未按磋商文件要求的数量、计量单位、报价货币及签字盖章的；</w:t>
      </w:r>
    </w:p>
    <w:p w14:paraId="70D28A7C">
      <w:pPr>
        <w:kinsoku w:val="0"/>
        <w:spacing w:line="360" w:lineRule="auto"/>
        <w:ind w:firstLine="600" w:firstLineChars="250"/>
        <w:rPr>
          <w:rFonts w:hint="eastAsia" w:ascii="宋体" w:hAnsi="宋体"/>
          <w:sz w:val="24"/>
        </w:rPr>
      </w:pPr>
      <w:r>
        <w:rPr>
          <w:rFonts w:hint="eastAsia" w:ascii="宋体" w:hAnsi="宋体"/>
          <w:sz w:val="24"/>
        </w:rPr>
        <w:t>G、无磋商有效期或有效期达不到磋商文件要求的；</w:t>
      </w:r>
    </w:p>
    <w:p w14:paraId="0530EB4A">
      <w:pPr>
        <w:kinsoku w:val="0"/>
        <w:spacing w:line="360" w:lineRule="auto"/>
        <w:ind w:firstLine="600" w:firstLineChars="250"/>
        <w:rPr>
          <w:rFonts w:ascii="宋体" w:hAnsi="宋体"/>
          <w:sz w:val="24"/>
        </w:rPr>
      </w:pPr>
      <w:r>
        <w:rPr>
          <w:rFonts w:hint="eastAsia" w:ascii="宋体" w:hAnsi="宋体"/>
          <w:sz w:val="24"/>
        </w:rPr>
        <w:t>H、供应商针对同一项目递交两份或多份内容不同的响应文件，未书面声明哪一份是有效的或出现选择性报价的；</w:t>
      </w:r>
    </w:p>
    <w:p w14:paraId="0F086D90">
      <w:pPr>
        <w:kinsoku w:val="0"/>
        <w:spacing w:line="360" w:lineRule="auto"/>
        <w:ind w:firstLine="600" w:firstLineChars="250"/>
        <w:rPr>
          <w:rFonts w:hint="eastAsia" w:ascii="宋体" w:hAnsi="宋体"/>
          <w:sz w:val="24"/>
        </w:rPr>
      </w:pPr>
      <w:r>
        <w:rPr>
          <w:rFonts w:hint="eastAsia" w:ascii="宋体" w:hAnsi="宋体"/>
          <w:sz w:val="24"/>
        </w:rPr>
        <w:t>I、供应商有串通投标、弄虚作假（包括但不限于虚假资质、虚假证明、虚假应答等）、行贿等违法行为的；</w:t>
      </w:r>
    </w:p>
    <w:p w14:paraId="3609BB33">
      <w:pPr>
        <w:kinsoku w:val="0"/>
        <w:spacing w:line="360" w:lineRule="auto"/>
        <w:ind w:firstLine="600" w:firstLineChars="250"/>
        <w:rPr>
          <w:rFonts w:hint="eastAsia" w:ascii="宋体" w:hAnsi="宋体"/>
          <w:sz w:val="24"/>
        </w:rPr>
      </w:pPr>
      <w:r>
        <w:rPr>
          <w:rFonts w:hint="eastAsia" w:ascii="宋体" w:hAnsi="宋体"/>
          <w:sz w:val="24"/>
        </w:rPr>
        <w:t>J、响应文件附加了采购人难以接受的条件或条款的；</w:t>
      </w:r>
    </w:p>
    <w:p w14:paraId="1DCD06BF">
      <w:pPr>
        <w:topLinePunct/>
        <w:spacing w:line="360" w:lineRule="auto"/>
        <w:ind w:firstLine="600" w:firstLineChars="250"/>
        <w:rPr>
          <w:rFonts w:hint="eastAsia" w:ascii="宋体" w:hAnsi="宋体"/>
          <w:sz w:val="24"/>
        </w:rPr>
      </w:pPr>
      <w:r>
        <w:rPr>
          <w:rFonts w:hint="eastAsia" w:ascii="宋体" w:hAnsi="宋体"/>
          <w:sz w:val="24"/>
        </w:rPr>
        <w:t>K、在政府采购或其他重大项目履约过程中有不良记录，未能按期履约的；</w:t>
      </w:r>
    </w:p>
    <w:p w14:paraId="5353E2AD">
      <w:pPr>
        <w:topLinePunct/>
        <w:spacing w:line="360" w:lineRule="auto"/>
        <w:ind w:firstLine="600" w:firstLineChars="250"/>
        <w:rPr>
          <w:rFonts w:hint="eastAsia" w:ascii="宋体" w:hAnsi="宋体"/>
          <w:sz w:val="24"/>
        </w:rPr>
      </w:pPr>
      <w:r>
        <w:rPr>
          <w:rFonts w:hint="eastAsia" w:ascii="宋体" w:hAnsi="宋体"/>
          <w:sz w:val="24"/>
        </w:rPr>
        <w:t>L、磋商报价与市场价格偏离较大、低于成本、形成不正当竞争的；</w:t>
      </w:r>
    </w:p>
    <w:p w14:paraId="15BC0A9D">
      <w:pPr>
        <w:spacing w:line="360" w:lineRule="auto"/>
        <w:ind w:firstLine="600" w:firstLineChars="250"/>
        <w:rPr>
          <w:rFonts w:hint="eastAsia" w:ascii="宋体" w:hAnsi="宋体"/>
          <w:sz w:val="24"/>
        </w:rPr>
      </w:pPr>
      <w:r>
        <w:rPr>
          <w:rFonts w:hint="eastAsia" w:ascii="宋体" w:hAnsi="宋体"/>
          <w:sz w:val="24"/>
        </w:rPr>
        <w:t>M、报价子目出现漏项或报价数量与要求不符的；</w:t>
      </w:r>
    </w:p>
    <w:p w14:paraId="61C09EB0">
      <w:pPr>
        <w:kinsoku w:val="0"/>
        <w:spacing w:line="360" w:lineRule="auto"/>
        <w:ind w:firstLine="600" w:firstLineChars="250"/>
        <w:rPr>
          <w:rFonts w:hint="eastAsia" w:ascii="宋体" w:hAnsi="宋体"/>
          <w:sz w:val="24"/>
        </w:rPr>
      </w:pPr>
      <w:r>
        <w:rPr>
          <w:rFonts w:hint="eastAsia" w:ascii="宋体" w:hAnsi="宋体"/>
          <w:sz w:val="24"/>
        </w:rPr>
        <w:t>N、响应产品的技术参数、性能指标与磋商文件要求出现重大负偏差的；</w:t>
      </w:r>
    </w:p>
    <w:p w14:paraId="61DB3538">
      <w:pPr>
        <w:kinsoku w:val="0"/>
        <w:spacing w:line="360" w:lineRule="auto"/>
        <w:ind w:firstLine="600" w:firstLineChars="250"/>
        <w:rPr>
          <w:rFonts w:ascii="宋体" w:hAnsi="宋体"/>
          <w:sz w:val="24"/>
        </w:rPr>
      </w:pPr>
      <w:r>
        <w:rPr>
          <w:rFonts w:hint="eastAsia" w:ascii="宋体" w:hAnsi="宋体"/>
          <w:sz w:val="24"/>
        </w:rPr>
        <w:t>O、响应文件未实质性响应磋商文件要求的；</w:t>
      </w:r>
    </w:p>
    <w:p w14:paraId="42D23FB7">
      <w:pPr>
        <w:kinsoku w:val="0"/>
        <w:spacing w:line="360" w:lineRule="auto"/>
        <w:ind w:firstLine="600" w:firstLineChars="250"/>
        <w:rPr>
          <w:rFonts w:hint="eastAsia" w:ascii="宋体" w:hAnsi="宋体"/>
          <w:sz w:val="24"/>
        </w:rPr>
      </w:pPr>
      <w:r>
        <w:rPr>
          <w:rFonts w:hint="eastAsia" w:ascii="宋体" w:hAnsi="宋体"/>
          <w:sz w:val="24"/>
        </w:rPr>
        <w:t>P、提供虚假技术性能指标的。</w:t>
      </w:r>
    </w:p>
    <w:p w14:paraId="5385620D">
      <w:pPr>
        <w:spacing w:line="360" w:lineRule="auto"/>
        <w:ind w:firstLine="120" w:firstLineChars="50"/>
        <w:rPr>
          <w:rFonts w:hint="eastAsia" w:ascii="宋体" w:hAnsi="宋体"/>
          <w:b/>
          <w:sz w:val="24"/>
        </w:rPr>
      </w:pPr>
      <w:r>
        <w:rPr>
          <w:rFonts w:hint="eastAsia" w:ascii="宋体" w:hAnsi="宋体"/>
          <w:b/>
          <w:sz w:val="24"/>
        </w:rPr>
        <w:t>5、有下列情形之一的，视为供应商串通投标，磋商小组应当认定其响应文件无效：</w:t>
      </w:r>
    </w:p>
    <w:p w14:paraId="4D610029">
      <w:pPr>
        <w:spacing w:line="360" w:lineRule="auto"/>
        <w:ind w:firstLine="600" w:firstLineChars="250"/>
        <w:rPr>
          <w:rFonts w:hint="eastAsia" w:ascii="宋体" w:hAnsi="宋体" w:cs="宋体"/>
          <w:color w:val="000000"/>
          <w:kern w:val="0"/>
          <w:sz w:val="22"/>
          <w:szCs w:val="22"/>
        </w:rPr>
      </w:pPr>
      <w:r>
        <w:rPr>
          <w:rFonts w:hint="eastAsia" w:ascii="宋体" w:hAnsi="宋体"/>
          <w:sz w:val="24"/>
        </w:rPr>
        <w:t>A、不同供应商的响应文件由同一单位或者个人编制；</w:t>
      </w:r>
    </w:p>
    <w:p w14:paraId="4022BB66">
      <w:pPr>
        <w:widowControl/>
        <w:spacing w:line="360" w:lineRule="auto"/>
        <w:ind w:firstLine="600" w:firstLineChars="250"/>
        <w:rPr>
          <w:rFonts w:hint="eastAsia" w:ascii="宋体" w:hAnsi="宋体"/>
          <w:sz w:val="24"/>
        </w:rPr>
      </w:pPr>
      <w:r>
        <w:rPr>
          <w:rFonts w:hint="eastAsia" w:ascii="宋体" w:hAnsi="宋体"/>
          <w:sz w:val="24"/>
        </w:rPr>
        <w:t xml:space="preserve">B、不同供应商委托同一单位或者个人办理磋商事宜； </w:t>
      </w:r>
    </w:p>
    <w:p w14:paraId="7A246927">
      <w:pPr>
        <w:widowControl/>
        <w:spacing w:line="360" w:lineRule="auto"/>
        <w:ind w:firstLine="600" w:firstLineChars="250"/>
        <w:rPr>
          <w:rFonts w:hint="eastAsia" w:ascii="宋体" w:hAnsi="宋体"/>
          <w:sz w:val="24"/>
        </w:rPr>
      </w:pPr>
      <w:r>
        <w:rPr>
          <w:rFonts w:hint="eastAsia" w:ascii="宋体" w:hAnsi="宋体"/>
          <w:sz w:val="24"/>
        </w:rPr>
        <w:t>C、不同供应商的响应文件载明的项目管理成员或者联系人员为同一人；</w:t>
      </w:r>
    </w:p>
    <w:p w14:paraId="4B694009">
      <w:pPr>
        <w:widowControl/>
        <w:spacing w:line="360" w:lineRule="auto"/>
        <w:ind w:firstLine="600" w:firstLineChars="250"/>
        <w:rPr>
          <w:rFonts w:hint="eastAsia" w:ascii="宋体" w:hAnsi="宋体"/>
          <w:sz w:val="24"/>
        </w:rPr>
      </w:pPr>
      <w:r>
        <w:rPr>
          <w:rFonts w:hint="eastAsia" w:ascii="宋体" w:hAnsi="宋体"/>
          <w:sz w:val="24"/>
        </w:rPr>
        <w:t>D、不同供应商的响应文件异常一致或者磋商报价呈规律性差异；</w:t>
      </w:r>
    </w:p>
    <w:p w14:paraId="72A361BC">
      <w:pPr>
        <w:widowControl/>
        <w:spacing w:line="360" w:lineRule="auto"/>
        <w:ind w:firstLine="480" w:firstLineChars="200"/>
        <w:rPr>
          <w:rFonts w:hint="eastAsia" w:ascii="宋体" w:hAnsi="宋体"/>
          <w:sz w:val="24"/>
        </w:rPr>
      </w:pPr>
      <w:r>
        <w:rPr>
          <w:rFonts w:hint="eastAsia" w:ascii="宋体" w:hAnsi="宋体"/>
          <w:sz w:val="24"/>
        </w:rPr>
        <w:t xml:space="preserve"> E、不同供应商的响应文件相互混装；</w:t>
      </w:r>
    </w:p>
    <w:p w14:paraId="19BFC3D2">
      <w:pPr>
        <w:kinsoku w:val="0"/>
        <w:spacing w:line="360" w:lineRule="auto"/>
        <w:ind w:firstLine="600" w:firstLineChars="250"/>
        <w:rPr>
          <w:rFonts w:hint="eastAsia" w:ascii="宋体" w:hAnsi="宋体"/>
          <w:sz w:val="24"/>
        </w:rPr>
      </w:pPr>
      <w:r>
        <w:rPr>
          <w:rFonts w:hint="eastAsia" w:ascii="宋体" w:hAnsi="宋体"/>
          <w:sz w:val="24"/>
        </w:rPr>
        <w:t>F、不同供应商的磋商保证金从同一单位或者个人的账户转出。</w:t>
      </w:r>
    </w:p>
    <w:p w14:paraId="5BF97BA6">
      <w:pPr>
        <w:spacing w:line="360" w:lineRule="auto"/>
        <w:ind w:firstLine="120" w:firstLineChars="50"/>
        <w:rPr>
          <w:rFonts w:hint="eastAsia" w:ascii="宋体" w:hAnsi="宋体"/>
          <w:b/>
          <w:sz w:val="24"/>
        </w:rPr>
      </w:pPr>
      <w:r>
        <w:rPr>
          <w:rFonts w:hint="eastAsia" w:ascii="宋体" w:hAnsi="宋体"/>
          <w:b/>
          <w:sz w:val="24"/>
        </w:rPr>
        <w:t>6、澄清</w:t>
      </w:r>
    </w:p>
    <w:p w14:paraId="61A5BA35">
      <w:pPr>
        <w:widowControl/>
        <w:spacing w:line="360" w:lineRule="auto"/>
        <w:ind w:firstLine="360" w:firstLineChars="150"/>
        <w:rPr>
          <w:rFonts w:hint="eastAsia" w:ascii="宋体" w:hAnsi="宋体"/>
          <w:sz w:val="24"/>
        </w:rPr>
      </w:pPr>
      <w:r>
        <w:rPr>
          <w:rFonts w:hint="eastAsia" w:ascii="宋体" w:hAnsi="宋体"/>
          <w:sz w:val="24"/>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11BBD4F">
      <w:pPr>
        <w:widowControl/>
        <w:spacing w:line="360" w:lineRule="auto"/>
        <w:ind w:firstLine="360" w:firstLineChars="150"/>
        <w:rPr>
          <w:rFonts w:hint="eastAsia" w:ascii="宋体" w:hAnsi="宋体"/>
          <w:color w:val="FF0000"/>
          <w:sz w:val="24"/>
        </w:rPr>
      </w:pPr>
      <w:r>
        <w:rPr>
          <w:rFonts w:hint="eastAsia" w:ascii="宋体" w:hAnsi="宋体"/>
          <w:sz w:val="24"/>
        </w:rPr>
        <w:t>（2）实质性内容包括但不限于：</w:t>
      </w:r>
      <w:r>
        <w:rPr>
          <w:rFonts w:hint="eastAsia" w:ascii="宋体" w:hAnsi="宋体"/>
          <w:sz w:val="24"/>
          <w:lang w:val="en-US" w:eastAsia="zh-CN"/>
        </w:rPr>
        <w:t>工期</w:t>
      </w:r>
      <w:r>
        <w:rPr>
          <w:rFonts w:hint="eastAsia" w:ascii="宋体" w:hAnsi="宋体"/>
          <w:sz w:val="24"/>
        </w:rPr>
        <w:t>、付款方式、主要技术指标等。</w:t>
      </w:r>
    </w:p>
    <w:p w14:paraId="4A052F5E">
      <w:pPr>
        <w:widowControl/>
        <w:spacing w:line="360" w:lineRule="auto"/>
        <w:ind w:firstLine="360" w:firstLineChars="150"/>
        <w:rPr>
          <w:rFonts w:hint="eastAsia" w:ascii="宋体" w:hAnsi="宋体"/>
          <w:sz w:val="24"/>
        </w:rPr>
      </w:pPr>
      <w:r>
        <w:rPr>
          <w:rFonts w:hint="eastAsia" w:ascii="宋体" w:hAnsi="宋体"/>
          <w:sz w:val="24"/>
        </w:rPr>
        <w:t>（3）磋商小组要求供应商澄清、说明或者更正响应文件应当以书面形式作出，并由其法定代表人或被授权人签字。</w:t>
      </w:r>
    </w:p>
    <w:p w14:paraId="641C2D98">
      <w:pPr>
        <w:widowControl/>
        <w:spacing w:line="360" w:lineRule="auto"/>
        <w:ind w:firstLine="360" w:firstLineChars="150"/>
        <w:rPr>
          <w:rFonts w:hint="eastAsia" w:ascii="宋体" w:hAnsi="宋体"/>
          <w:sz w:val="24"/>
        </w:rPr>
      </w:pPr>
      <w:r>
        <w:rPr>
          <w:rFonts w:hint="eastAsia" w:ascii="宋体" w:hAnsi="宋体"/>
          <w:sz w:val="24"/>
        </w:rPr>
        <w:t>（4）在磋商过程中，磋商小组可以根据磋商文件和磋商情况实质性变动采购需求中的技术、服务要求以及合同草案条款，但不得变动磋商文件中的其他内容。实质性变动的内容，须经采购人代表确认。</w:t>
      </w:r>
    </w:p>
    <w:p w14:paraId="41F3994F">
      <w:pPr>
        <w:spacing w:line="360" w:lineRule="auto"/>
        <w:ind w:firstLine="120" w:firstLineChars="50"/>
        <w:rPr>
          <w:rFonts w:hint="eastAsia" w:ascii="宋体" w:hAnsi="宋体"/>
          <w:b/>
          <w:sz w:val="24"/>
        </w:rPr>
      </w:pPr>
      <w:r>
        <w:rPr>
          <w:rFonts w:hint="eastAsia" w:ascii="宋体" w:hAnsi="宋体"/>
          <w:b/>
          <w:sz w:val="24"/>
        </w:rPr>
        <w:t>7、评审方法及内容</w:t>
      </w:r>
    </w:p>
    <w:p w14:paraId="70DBC961">
      <w:pPr>
        <w:spacing w:line="360" w:lineRule="auto"/>
        <w:ind w:firstLine="480" w:firstLineChars="200"/>
        <w:rPr>
          <w:rFonts w:hint="eastAsia" w:ascii="宋体" w:hAnsi="宋体"/>
          <w:sz w:val="24"/>
        </w:rPr>
      </w:pPr>
      <w:r>
        <w:rPr>
          <w:rFonts w:hint="eastAsia" w:ascii="宋体" w:hAnsi="宋体"/>
          <w:sz w:val="24"/>
        </w:rPr>
        <w:t>（1）按照磋商文件规定的评审方法和标准，对资格性审查和符合性审查合格的响应文件进行商务和技术评审，综合比较和评价，最低报价不是成交的唯一依据。</w:t>
      </w:r>
    </w:p>
    <w:p w14:paraId="0E5DBD30">
      <w:pPr>
        <w:tabs>
          <w:tab w:val="left" w:pos="600"/>
        </w:tabs>
        <w:spacing w:line="360" w:lineRule="auto"/>
        <w:ind w:firstLine="480" w:firstLineChars="200"/>
        <w:rPr>
          <w:rFonts w:hint="eastAsia" w:ascii="宋体" w:hAnsi="宋体"/>
          <w:sz w:val="24"/>
        </w:rPr>
      </w:pPr>
      <w:r>
        <w:rPr>
          <w:rFonts w:hint="eastAsia" w:ascii="宋体" w:hAnsi="宋体"/>
          <w:sz w:val="24"/>
        </w:rPr>
        <w:t>（2）采用综合评分法：二次报价为最终报价，在满足磋商文件所有实质性要求前提下，提交最终报价。如采购需求没有实质性变化，各供应商的二次报价不得超过一次报价，否则，按无效文件处理。最终报价后按照磋商文件中规定的各项因素进行综合评审，以磋商总得分最高的供应商作为成交供应商的磋商方法。若有两个或两个以上最高得分相同，推荐其中报价最低的供应商为成交候选供应商。磋商总得分且最后报价相同的，按照技术指标优劣顺序推荐。</w:t>
      </w:r>
    </w:p>
    <w:p w14:paraId="7509C312">
      <w:pPr>
        <w:tabs>
          <w:tab w:val="left" w:pos="600"/>
        </w:tabs>
        <w:spacing w:line="360" w:lineRule="auto"/>
        <w:ind w:firstLine="480" w:firstLineChars="200"/>
        <w:rPr>
          <w:rFonts w:hint="eastAsia" w:ascii="宋体" w:hAnsi="宋体" w:eastAsia="宋体"/>
          <w:sz w:val="24"/>
          <w:lang w:eastAsia="zh-CN"/>
        </w:rPr>
      </w:pPr>
      <w:r>
        <w:rPr>
          <w:rFonts w:hint="eastAsia" w:ascii="宋体" w:hAnsi="宋体"/>
          <w:sz w:val="24"/>
          <w:lang w:eastAsia="zh-CN"/>
        </w:rPr>
        <w:t>（</w:t>
      </w:r>
      <w:r>
        <w:rPr>
          <w:rFonts w:hint="eastAsia" w:ascii="宋体" w:hAnsi="宋体"/>
          <w:sz w:val="24"/>
          <w:lang w:val="en-US" w:eastAsia="zh-CN"/>
        </w:rPr>
        <w:t>3）不正当竞争预防措施（实质性要求）：根据《关于推动解决政府采购异常低价问题的通知》（财库〔2026〕2号）等相关规定，政府采购评审中出现下列情形之一的，评审委员会应当启动异常低价投标（响应）审查程序：（1）投标（响应）报价低于全部通过符合性审查供应商投标（响应）报价平均值50%的，即投标（响应）报价&lt;全部通过符合性审查供应商投标（响应）报价平均值×50%。（2）投标（响应）报价低于通过符合性审查且报价次低供应商投标（响应）报价50%的，即投标（响应）报价&lt;通过符合性审查且报价次低供应商投标（响应）报价×50%。（3）投标（响应）报价低于最高限价45%的，即投标（响应）报价&lt;最高限价×45%。（4）评标委员会认为供应商的报价明显低于其他通过符合性审查供应商的报价（数量报价下，供应商的报价明显高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FB4C7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 w:val="24"/>
        </w:rPr>
      </w:pPr>
      <w:r>
        <w:rPr>
          <w:rFonts w:hint="eastAsia" w:ascii="宋体" w:hAnsi="宋体"/>
          <w:sz w:val="24"/>
        </w:rPr>
        <w:t>（</w:t>
      </w:r>
      <w:r>
        <w:rPr>
          <w:rFonts w:hint="eastAsia" w:ascii="宋体" w:hAnsi="宋体"/>
          <w:sz w:val="24"/>
          <w:lang w:val="en-US" w:eastAsia="zh-CN"/>
        </w:rPr>
        <w:t>4</w:t>
      </w:r>
      <w:r>
        <w:rPr>
          <w:rFonts w:hint="eastAsia" w:ascii="宋体" w:hAnsi="宋体"/>
          <w:sz w:val="24"/>
        </w:rPr>
        <w:t>）磋商小组根据以下内容进行综合比较，独立评审、自主打分，按最后得分由高到低汇总排序，以项目为单位分别推荐三名以上成交候选供应商；磋商小组根据磋商结果写出磋商报告。如果磋商小组出现对磋商结果有不同意见的，应当按照少数服从多数的原则作出结论。持不同意见的磋商小组成员应当在报告上签署不同意见及理由。磋商小组拒绝在磋商意见中签字又不书面说明其不同意见和理由的，视为同意磋商结果。</w:t>
      </w:r>
    </w:p>
    <w:p w14:paraId="71E0B790">
      <w:pPr>
        <w:spacing w:line="360" w:lineRule="auto"/>
        <w:ind w:firstLine="480" w:firstLineChars="200"/>
        <w:rPr>
          <w:rFonts w:ascii="宋体" w:hAnsi="宋体"/>
          <w:sz w:val="24"/>
        </w:rPr>
      </w:pPr>
      <w:r>
        <w:rPr>
          <w:rFonts w:hint="eastAsia" w:ascii="宋体" w:hAnsi="宋体"/>
          <w:sz w:val="24"/>
        </w:rPr>
        <w:t>（</w:t>
      </w:r>
      <w:r>
        <w:rPr>
          <w:rFonts w:hint="eastAsia" w:ascii="宋体" w:hAnsi="宋体"/>
          <w:sz w:val="24"/>
          <w:lang w:val="en-US" w:eastAsia="zh-CN"/>
        </w:rPr>
        <w:t>5</w:t>
      </w:r>
      <w:r>
        <w:rPr>
          <w:rFonts w:hint="eastAsia" w:ascii="宋体" w:hAnsi="宋体"/>
          <w:sz w:val="24"/>
        </w:rPr>
        <w:t>）磋商小组须对畸高、畸低的重大差异评分进行复核或书面说明理由。</w:t>
      </w:r>
    </w:p>
    <w:p w14:paraId="6E82C103">
      <w:pPr>
        <w:spacing w:line="360" w:lineRule="auto"/>
        <w:ind w:firstLine="480" w:firstLineChars="200"/>
        <w:rPr>
          <w:rFonts w:ascii="宋体" w:hAnsi="宋体"/>
          <w:sz w:val="24"/>
        </w:rPr>
      </w:pPr>
      <w:r>
        <w:rPr>
          <w:rFonts w:hint="eastAsia" w:ascii="宋体" w:hAnsi="宋体"/>
          <w:sz w:val="24"/>
        </w:rPr>
        <w:t>（</w:t>
      </w:r>
      <w:r>
        <w:rPr>
          <w:rFonts w:hint="eastAsia" w:ascii="宋体" w:hAnsi="宋体"/>
          <w:sz w:val="24"/>
          <w:lang w:val="en-US" w:eastAsia="zh-CN"/>
        </w:rPr>
        <w:t>6</w:t>
      </w:r>
      <w:r>
        <w:rPr>
          <w:rFonts w:hint="eastAsia" w:ascii="宋体" w:hAnsi="宋体"/>
          <w:sz w:val="24"/>
        </w:rPr>
        <w:t>）评审内容及</w:t>
      </w:r>
      <w:r>
        <w:rPr>
          <w:rFonts w:ascii="宋体" w:hAnsi="宋体"/>
          <w:sz w:val="24"/>
        </w:rPr>
        <w:t>分值构成：</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6"/>
        <w:gridCol w:w="1374"/>
        <w:gridCol w:w="498"/>
        <w:gridCol w:w="6368"/>
      </w:tblGrid>
      <w:tr w14:paraId="4142C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jc w:val="center"/>
        </w:trPr>
        <w:tc>
          <w:tcPr>
            <w:tcW w:w="0" w:type="auto"/>
            <w:noWrap w:val="0"/>
            <w:vAlign w:val="center"/>
          </w:tcPr>
          <w:p w14:paraId="79C6D1AE">
            <w:pPr>
              <w:keepNext w:val="0"/>
              <w:keepLines w:val="0"/>
              <w:pageBreakBefore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评标</w:t>
            </w:r>
          </w:p>
          <w:p w14:paraId="247C0081">
            <w:pPr>
              <w:keepNext w:val="0"/>
              <w:keepLines w:val="0"/>
              <w:pageBreakBefore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内容</w:t>
            </w:r>
          </w:p>
        </w:tc>
        <w:tc>
          <w:tcPr>
            <w:tcW w:w="0" w:type="auto"/>
            <w:noWrap w:val="0"/>
            <w:vAlign w:val="center"/>
          </w:tcPr>
          <w:p w14:paraId="698B8307">
            <w:pPr>
              <w:keepNext w:val="0"/>
              <w:keepLines w:val="0"/>
              <w:pageBreakBefore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kern w:val="0"/>
                <w:sz w:val="24"/>
                <w:szCs w:val="24"/>
              </w:rPr>
            </w:pPr>
            <w:r>
              <w:rPr>
                <w:rFonts w:hint="eastAsia" w:ascii="宋体" w:hAnsi="宋体" w:eastAsia="宋体" w:cs="宋体"/>
                <w:sz w:val="24"/>
                <w:szCs w:val="24"/>
              </w:rPr>
              <w:t>评审内容</w:t>
            </w:r>
          </w:p>
        </w:tc>
        <w:tc>
          <w:tcPr>
            <w:tcW w:w="0" w:type="auto"/>
            <w:noWrap w:val="0"/>
            <w:vAlign w:val="center"/>
          </w:tcPr>
          <w:p w14:paraId="4113019F">
            <w:pPr>
              <w:keepNext w:val="0"/>
              <w:keepLines w:val="0"/>
              <w:pageBreakBefore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分值</w:t>
            </w:r>
          </w:p>
        </w:tc>
        <w:tc>
          <w:tcPr>
            <w:tcW w:w="0" w:type="auto"/>
            <w:noWrap w:val="0"/>
            <w:vAlign w:val="center"/>
          </w:tcPr>
          <w:p w14:paraId="1F5E9DF4">
            <w:pPr>
              <w:keepNext w:val="0"/>
              <w:keepLines w:val="0"/>
              <w:pageBreakBefore w:val="0"/>
              <w:kinsoku/>
              <w:wordWrap/>
              <w:overflowPunct/>
              <w:topLinePunct w:val="0"/>
              <w:autoSpaceDE/>
              <w:autoSpaceDN/>
              <w:bidi w:val="0"/>
              <w:adjustRightInd/>
              <w:snapToGrid w:val="0"/>
              <w:spacing w:line="360" w:lineRule="exact"/>
              <w:ind w:firstLine="48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评标原则与标准</w:t>
            </w:r>
          </w:p>
        </w:tc>
      </w:tr>
      <w:tr w14:paraId="67926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0" w:type="auto"/>
            <w:vMerge w:val="restart"/>
            <w:noWrap w:val="0"/>
            <w:vAlign w:val="center"/>
          </w:tcPr>
          <w:p w14:paraId="29D59B61">
            <w:pPr>
              <w:keepNext w:val="0"/>
              <w:keepLines w:val="0"/>
              <w:pageBreakBefore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技术服务方案</w:t>
            </w: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7</w:t>
            </w:r>
            <w:r>
              <w:rPr>
                <w:rFonts w:hint="eastAsia" w:ascii="宋体" w:hAnsi="宋体" w:eastAsia="宋体" w:cs="宋体"/>
                <w:kern w:val="0"/>
                <w:sz w:val="24"/>
                <w:szCs w:val="24"/>
              </w:rPr>
              <w:t>0分）</w:t>
            </w:r>
          </w:p>
        </w:tc>
        <w:tc>
          <w:tcPr>
            <w:tcW w:w="0" w:type="auto"/>
            <w:noWrap w:val="0"/>
            <w:vAlign w:val="center"/>
          </w:tcPr>
          <w:p w14:paraId="15E57827">
            <w:pPr>
              <w:keepNext w:val="0"/>
              <w:keepLines w:val="0"/>
              <w:pageBreakBefore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施工及绿化养护、苗木成活率方案</w:t>
            </w:r>
          </w:p>
        </w:tc>
        <w:tc>
          <w:tcPr>
            <w:tcW w:w="0" w:type="auto"/>
            <w:noWrap w:val="0"/>
            <w:vAlign w:val="center"/>
          </w:tcPr>
          <w:p w14:paraId="01E781E9">
            <w:pPr>
              <w:keepNext w:val="0"/>
              <w:keepLines w:val="0"/>
              <w:pageBreakBefore w:val="0"/>
              <w:kinsoku/>
              <w:wordWrap/>
              <w:overflowPunct/>
              <w:topLinePunct w:val="0"/>
              <w:autoSpaceDE/>
              <w:autoSpaceDN/>
              <w:bidi w:val="0"/>
              <w:adjustRightInd/>
              <w:snapToGrid w:val="0"/>
              <w:spacing w:line="360" w:lineRule="exact"/>
              <w:jc w:val="center"/>
              <w:textAlignment w:val="auto"/>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18</w:t>
            </w:r>
          </w:p>
        </w:tc>
        <w:tc>
          <w:tcPr>
            <w:tcW w:w="0" w:type="auto"/>
            <w:noWrap w:val="0"/>
            <w:vAlign w:val="center"/>
          </w:tcPr>
          <w:p w14:paraId="57958FBE">
            <w:pPr>
              <w:pStyle w:val="28"/>
              <w:keepNext w:val="0"/>
              <w:keepLines w:val="0"/>
              <w:pageBreakBefore w:val="0"/>
              <w:numPr>
                <w:ilvl w:val="0"/>
                <w:numId w:val="3"/>
              </w:numPr>
              <w:kinsoku/>
              <w:wordWrap/>
              <w:overflowPunct/>
              <w:topLinePunct w:val="0"/>
              <w:autoSpaceDE/>
              <w:autoSpaceDN/>
              <w:bidi w:val="0"/>
              <w:adjustRightInd/>
              <w:snapToGrid w:val="0"/>
              <w:spacing w:line="360" w:lineRule="exact"/>
              <w:ind w:left="0" w:leftChars="0" w:firstLine="0" w:firstLineChars="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评审内容</w:t>
            </w:r>
            <w:r>
              <w:rPr>
                <w:rFonts w:hint="eastAsia" w:ascii="宋体" w:hAnsi="宋体" w:cs="宋体"/>
                <w:color w:val="auto"/>
                <w:kern w:val="2"/>
                <w:sz w:val="24"/>
                <w:szCs w:val="24"/>
                <w:lang w:val="en-US" w:eastAsia="zh-CN" w:bidi="ar-SA"/>
              </w:rPr>
              <w:t>：</w:t>
            </w:r>
            <w:r>
              <w:rPr>
                <w:rFonts w:hint="eastAsia" w:ascii="宋体" w:hAnsi="宋体" w:eastAsia="宋体" w:cs="宋体"/>
                <w:color w:val="auto"/>
                <w:kern w:val="2"/>
                <w:sz w:val="24"/>
                <w:szCs w:val="24"/>
                <w:lang w:val="en-US" w:eastAsia="zh-CN" w:bidi="ar-SA"/>
              </w:rPr>
              <w:t>供应商针对本项目提供施工及绿化养护、苗木成活率方案。内容包括①具体实施方案；②绿化养护方案；③工作计划；④栽培技术（包括但不限于保证成活率为的技术、工艺以及防病虫害、风冻害等措施）；⑤保证成活率的承诺书；⑥绿化垃圾清理方案。</w:t>
            </w:r>
          </w:p>
          <w:p w14:paraId="4CD67971">
            <w:pPr>
              <w:pStyle w:val="28"/>
              <w:keepNext w:val="0"/>
              <w:keepLines w:val="0"/>
              <w:pageBreakBefore w:val="0"/>
              <w:numPr>
                <w:ilvl w:val="0"/>
                <w:numId w:val="3"/>
              </w:numPr>
              <w:kinsoku/>
              <w:wordWrap/>
              <w:overflowPunct/>
              <w:topLinePunct w:val="0"/>
              <w:autoSpaceDE/>
              <w:autoSpaceDN/>
              <w:bidi w:val="0"/>
              <w:adjustRightInd/>
              <w:snapToGrid w:val="0"/>
              <w:spacing w:line="360" w:lineRule="exact"/>
              <w:ind w:left="0" w:leftChars="0" w:firstLine="0" w:firstLineChars="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评审标准</w:t>
            </w:r>
            <w:r>
              <w:rPr>
                <w:rFonts w:hint="eastAsia" w:ascii="宋体" w:hAnsi="宋体" w:cs="宋体"/>
                <w:color w:val="auto"/>
                <w:kern w:val="2"/>
                <w:sz w:val="24"/>
                <w:szCs w:val="24"/>
                <w:lang w:val="en-US" w:eastAsia="zh-CN" w:bidi="ar-SA"/>
              </w:rPr>
              <w:t>：</w:t>
            </w:r>
            <w:r>
              <w:rPr>
                <w:rFonts w:hint="eastAsia" w:ascii="宋体" w:hAnsi="宋体" w:eastAsia="宋体" w:cs="宋体"/>
                <w:color w:val="auto"/>
                <w:kern w:val="2"/>
                <w:sz w:val="24"/>
                <w:szCs w:val="24"/>
                <w:lang w:val="en-US" w:eastAsia="zh-CN" w:bidi="ar-SA"/>
              </w:rPr>
              <w:t>1.完整性：方案须全面，对评审内容中的各项要求描述详细；2.可实施性：切合本项目实际情况，实施步骤清晰、合理；3.针对性：方案能够紧扣项目实际情况，内容科学合理。</w:t>
            </w:r>
          </w:p>
          <w:p w14:paraId="58B99419">
            <w:pPr>
              <w:pStyle w:val="28"/>
              <w:keepNext w:val="0"/>
              <w:keepLines w:val="0"/>
              <w:pageBreakBefore w:val="0"/>
              <w:numPr>
                <w:ilvl w:val="0"/>
                <w:numId w:val="0"/>
              </w:numPr>
              <w:kinsoku/>
              <w:wordWrap/>
              <w:overflowPunct/>
              <w:topLinePunct w:val="0"/>
              <w:autoSpaceDE/>
              <w:autoSpaceDN/>
              <w:bidi w:val="0"/>
              <w:adjustRightInd/>
              <w:snapToGrid w:val="0"/>
              <w:spacing w:line="360" w:lineRule="exact"/>
              <w:ind w:leftChars="0"/>
              <w:textAlignment w:val="auto"/>
              <w:rPr>
                <w:rFonts w:hint="eastAsia" w:ascii="宋体" w:hAnsi="宋体" w:eastAsia="宋体" w:cs="宋体"/>
                <w:sz w:val="24"/>
                <w:szCs w:val="24"/>
              </w:rPr>
            </w:pPr>
            <w:r>
              <w:rPr>
                <w:rFonts w:hint="eastAsia" w:ascii="宋体" w:hAnsi="宋体" w:eastAsia="宋体" w:cs="宋体"/>
                <w:color w:val="auto"/>
                <w:kern w:val="2"/>
                <w:sz w:val="24"/>
                <w:szCs w:val="24"/>
                <w:lang w:val="en-US" w:eastAsia="zh-CN" w:bidi="ar-SA"/>
              </w:rPr>
              <w:t>三、赋分依据①具体实施方案：每完全满足一个评审标准得1分，基本满足得0.5分，不能满足或未提供的不得分，满分3分。②绿化养护方案：每完全满足一个评审标准得1分，基本满足得0.5分，不能满足或未提供的不得分，满分3分。③工作计划：每完全满足一个评审标准得1分，基本满足得0.5分，不能满足或未提供的不得分，满分3分。 ④栽培技术（包括但不限于保证成活率为的技术、工艺以及防病虫害、风冻害等措施）：每完全满足一个评审标准得1分，基本满足得0.5分，不能满足或未提供的不得分，满分3分。⑤保证成活率的承诺书：每完全满足一个评审标准得1分，基本满足得0.5分，不能满足或未提供的不得分，满分3分。 ⑥绿化垃圾清理方案：每完全满足一个评审标准得1分，基本满足得0.5分，不能满足或未提供的不得分，满分3分。</w:t>
            </w:r>
          </w:p>
        </w:tc>
      </w:tr>
      <w:tr w14:paraId="522F2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0" w:type="auto"/>
            <w:vMerge w:val="continue"/>
            <w:noWrap w:val="0"/>
            <w:vAlign w:val="center"/>
          </w:tcPr>
          <w:p w14:paraId="29A1A419">
            <w:pPr>
              <w:keepNext w:val="0"/>
              <w:keepLines w:val="0"/>
              <w:pageBreakBefore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kern w:val="0"/>
                <w:sz w:val="24"/>
                <w:szCs w:val="24"/>
              </w:rPr>
            </w:pPr>
          </w:p>
        </w:tc>
        <w:tc>
          <w:tcPr>
            <w:tcW w:w="0" w:type="auto"/>
            <w:noWrap w:val="0"/>
            <w:vAlign w:val="center"/>
          </w:tcPr>
          <w:p w14:paraId="2C1E6EA3">
            <w:pPr>
              <w:keepNext w:val="0"/>
              <w:keepLines w:val="0"/>
              <w:pageBreakBefore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确保工程质量的技术组织措施</w:t>
            </w:r>
          </w:p>
        </w:tc>
        <w:tc>
          <w:tcPr>
            <w:tcW w:w="0" w:type="auto"/>
            <w:noWrap w:val="0"/>
            <w:vAlign w:val="center"/>
          </w:tcPr>
          <w:p w14:paraId="5A7FFB06">
            <w:pPr>
              <w:keepNext w:val="0"/>
              <w:keepLines w:val="0"/>
              <w:pageBreakBefore w:val="0"/>
              <w:kinsoku/>
              <w:wordWrap/>
              <w:overflowPunct/>
              <w:topLinePunct w:val="0"/>
              <w:autoSpaceDE/>
              <w:autoSpaceDN/>
              <w:bidi w:val="0"/>
              <w:adjustRightInd/>
              <w:snapToGrid w:val="0"/>
              <w:spacing w:line="360" w:lineRule="exact"/>
              <w:jc w:val="center"/>
              <w:textAlignment w:val="auto"/>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6</w:t>
            </w:r>
          </w:p>
        </w:tc>
        <w:tc>
          <w:tcPr>
            <w:tcW w:w="0" w:type="auto"/>
            <w:noWrap w:val="0"/>
            <w:vAlign w:val="center"/>
          </w:tcPr>
          <w:p w14:paraId="3A97FDA2">
            <w:pPr>
              <w:pStyle w:val="28"/>
              <w:keepNext w:val="0"/>
              <w:keepLines w:val="0"/>
              <w:pageBreakBefore w:val="0"/>
              <w:numPr>
                <w:ilvl w:val="0"/>
                <w:numId w:val="4"/>
              </w:numPr>
              <w:kinsoku/>
              <w:wordWrap/>
              <w:overflowPunct/>
              <w:topLinePunct w:val="0"/>
              <w:autoSpaceDE/>
              <w:autoSpaceDN/>
              <w:bidi w:val="0"/>
              <w:adjustRightInd/>
              <w:snapToGrid w:val="0"/>
              <w:spacing w:line="360" w:lineRule="exact"/>
              <w:ind w:left="0" w:leftChars="0" w:firstLine="0" w:firstLineChars="0"/>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评审内容</w:t>
            </w: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供应商针对本项目提供确保工程质量的技术组织措施。内容包括①对施工进行全过程的质量检查措施；②对施工材料、施工方法及实体质量的措施。</w:t>
            </w:r>
          </w:p>
          <w:p w14:paraId="3FF5434C">
            <w:pPr>
              <w:pStyle w:val="28"/>
              <w:keepNext w:val="0"/>
              <w:keepLines w:val="0"/>
              <w:pageBreakBefore w:val="0"/>
              <w:numPr>
                <w:ilvl w:val="0"/>
                <w:numId w:val="4"/>
              </w:numPr>
              <w:kinsoku/>
              <w:wordWrap/>
              <w:overflowPunct/>
              <w:topLinePunct w:val="0"/>
              <w:autoSpaceDE/>
              <w:autoSpaceDN/>
              <w:bidi w:val="0"/>
              <w:adjustRightInd/>
              <w:snapToGrid w:val="0"/>
              <w:spacing w:line="360" w:lineRule="exact"/>
              <w:ind w:left="0" w:leftChars="0" w:firstLine="0" w:firstLineChars="0"/>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评审标准</w:t>
            </w: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1.完整性：方案须全面，对评审内容中的各项要求描述详细；2.可实施性：切合本项目实际情况，实施步骤清晰、合理；3.针对性：方案能够紧扣项目实际情况，内容科学合理。</w:t>
            </w:r>
          </w:p>
          <w:p w14:paraId="5243D778">
            <w:pPr>
              <w:pStyle w:val="28"/>
              <w:keepNext w:val="0"/>
              <w:keepLines w:val="0"/>
              <w:pageBreakBefore w:val="0"/>
              <w:numPr>
                <w:ilvl w:val="0"/>
                <w:numId w:val="0"/>
              </w:numPr>
              <w:kinsoku/>
              <w:wordWrap/>
              <w:overflowPunct/>
              <w:topLinePunct w:val="0"/>
              <w:autoSpaceDE/>
              <w:autoSpaceDN/>
              <w:bidi w:val="0"/>
              <w:adjustRightInd/>
              <w:snapToGrid w:val="0"/>
              <w:spacing w:line="360" w:lineRule="exact"/>
              <w:ind w:leftChars="0"/>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三、赋分依据 ①对施工进行全过程的质量检查措施：每完全满足一个评审标准得1分，基本满足得0.5分，不能满足或未提供的不得分，满分3分。②对施工材料、施工方法及实体质量的措施：每完全满足一个评审标准得1分，基本满足得0.5分，不能满足或未提供的不得分，满分3分。</w:t>
            </w:r>
          </w:p>
        </w:tc>
      </w:tr>
      <w:tr w14:paraId="397DF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0" w:type="auto"/>
            <w:vMerge w:val="continue"/>
            <w:noWrap w:val="0"/>
            <w:vAlign w:val="center"/>
          </w:tcPr>
          <w:p w14:paraId="7AA9A865">
            <w:pPr>
              <w:keepNext w:val="0"/>
              <w:keepLines w:val="0"/>
              <w:pageBreakBefore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kern w:val="0"/>
                <w:sz w:val="24"/>
                <w:szCs w:val="24"/>
              </w:rPr>
            </w:pPr>
          </w:p>
        </w:tc>
        <w:tc>
          <w:tcPr>
            <w:tcW w:w="0" w:type="auto"/>
            <w:noWrap w:val="0"/>
            <w:vAlign w:val="center"/>
          </w:tcPr>
          <w:p w14:paraId="038F6504">
            <w:pPr>
              <w:keepNext w:val="0"/>
              <w:keepLines w:val="0"/>
              <w:pageBreakBefore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确保工期的技术组织措施</w:t>
            </w:r>
          </w:p>
        </w:tc>
        <w:tc>
          <w:tcPr>
            <w:tcW w:w="0" w:type="auto"/>
            <w:noWrap w:val="0"/>
            <w:vAlign w:val="center"/>
          </w:tcPr>
          <w:p w14:paraId="3F29EE1F">
            <w:pPr>
              <w:keepNext w:val="0"/>
              <w:keepLines w:val="0"/>
              <w:pageBreakBefore w:val="0"/>
              <w:kinsoku/>
              <w:wordWrap/>
              <w:overflowPunct/>
              <w:topLinePunct w:val="0"/>
              <w:autoSpaceDE/>
              <w:autoSpaceDN/>
              <w:bidi w:val="0"/>
              <w:adjustRightInd/>
              <w:snapToGrid w:val="0"/>
              <w:spacing w:line="360" w:lineRule="exact"/>
              <w:jc w:val="center"/>
              <w:textAlignment w:val="auto"/>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9</w:t>
            </w:r>
          </w:p>
        </w:tc>
        <w:tc>
          <w:tcPr>
            <w:tcW w:w="0" w:type="auto"/>
            <w:noWrap w:val="0"/>
            <w:vAlign w:val="center"/>
          </w:tcPr>
          <w:p w14:paraId="24CCC87B">
            <w:pPr>
              <w:keepNext w:val="0"/>
              <w:keepLines w:val="0"/>
              <w:pageBreakBefore w:val="0"/>
              <w:numPr>
                <w:ilvl w:val="0"/>
                <w:numId w:val="5"/>
              </w:numPr>
              <w:kinsoku/>
              <w:wordWrap/>
              <w:overflowPunct/>
              <w:topLinePunct w:val="0"/>
              <w:autoSpaceDE/>
              <w:autoSpaceDN/>
              <w:bidi w:val="0"/>
              <w:adjustRightInd/>
              <w:snapToGrid w:val="0"/>
              <w:spacing w:line="360" w:lineRule="exact"/>
              <w:ind w:lef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评审内容</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供应商针对本项目提供确保工期的技术组织措施（施工计划网络图或横道图）。内容包括①施工准备保证；②划分各节点工期；③分析确定重点工程工期。</w:t>
            </w:r>
          </w:p>
          <w:p w14:paraId="59A5CA63">
            <w:pPr>
              <w:keepNext w:val="0"/>
              <w:keepLines w:val="0"/>
              <w:pageBreakBefore w:val="0"/>
              <w:numPr>
                <w:ilvl w:val="0"/>
                <w:numId w:val="5"/>
              </w:numPr>
              <w:kinsoku/>
              <w:wordWrap/>
              <w:overflowPunct/>
              <w:topLinePunct w:val="0"/>
              <w:autoSpaceDE/>
              <w:autoSpaceDN/>
              <w:bidi w:val="0"/>
              <w:adjustRightInd/>
              <w:snapToGrid w:val="0"/>
              <w:spacing w:line="360" w:lineRule="exact"/>
              <w:ind w:left="0" w:leftChars="0" w:firstLine="0" w:firstLine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评审标准</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1.完整性：方案须全面，对评审内容中的各项要求描述详细；2.可实施性：切合本项目实际情况，实施步骤清晰、合理；3.针对性：方案能够紧扣项目实际情况，内容科学合理。</w:t>
            </w:r>
          </w:p>
          <w:p w14:paraId="2B4136E3">
            <w:pPr>
              <w:keepNext w:val="0"/>
              <w:keepLines w:val="0"/>
              <w:pageBreakBefore w:val="0"/>
              <w:numPr>
                <w:ilvl w:val="0"/>
                <w:numId w:val="0"/>
              </w:numPr>
              <w:kinsoku/>
              <w:wordWrap/>
              <w:overflowPunct/>
              <w:topLinePunct w:val="0"/>
              <w:autoSpaceDE/>
              <w:autoSpaceDN/>
              <w:bidi w:val="0"/>
              <w:adjustRightInd/>
              <w:snapToGrid w:val="0"/>
              <w:spacing w:line="360" w:lineRule="exact"/>
              <w:ind w:lef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三、赋分依据</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①施工准备保证：每完全满足一个评审标准得1分，基本满足得0.5分，不能满足或未提供的不得分，满分3分。②划分各节点工期：每完全满足一个评审标准得1分，基本满足得0.5分，不能满足或未提供的不得分，满分3分。③分析确定重点工程工期：每完全满足一个评审标准得1分，基本满足得0.5分，不能满足或未提供的不得分，满分3分。</w:t>
            </w:r>
          </w:p>
        </w:tc>
      </w:tr>
      <w:tr w14:paraId="30C47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jc w:val="center"/>
        </w:trPr>
        <w:tc>
          <w:tcPr>
            <w:tcW w:w="0" w:type="auto"/>
            <w:vMerge w:val="continue"/>
            <w:noWrap w:val="0"/>
            <w:vAlign w:val="center"/>
          </w:tcPr>
          <w:p w14:paraId="6C05E76D">
            <w:pPr>
              <w:keepNext w:val="0"/>
              <w:keepLines w:val="0"/>
              <w:pageBreakBefore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kern w:val="0"/>
                <w:sz w:val="24"/>
                <w:szCs w:val="24"/>
              </w:rPr>
            </w:pPr>
          </w:p>
        </w:tc>
        <w:tc>
          <w:tcPr>
            <w:tcW w:w="0" w:type="auto"/>
            <w:noWrap w:val="0"/>
            <w:vAlign w:val="center"/>
          </w:tcPr>
          <w:p w14:paraId="5F2351A1">
            <w:pPr>
              <w:keepNext w:val="0"/>
              <w:keepLines w:val="0"/>
              <w:pageBreakBefore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安全、文明施工措施及环境保护措施</w:t>
            </w:r>
          </w:p>
        </w:tc>
        <w:tc>
          <w:tcPr>
            <w:tcW w:w="0" w:type="auto"/>
            <w:noWrap w:val="0"/>
            <w:vAlign w:val="center"/>
          </w:tcPr>
          <w:p w14:paraId="3905F9DD">
            <w:pPr>
              <w:keepNext w:val="0"/>
              <w:keepLines w:val="0"/>
              <w:pageBreakBefore w:val="0"/>
              <w:kinsoku/>
              <w:wordWrap/>
              <w:overflowPunct/>
              <w:topLinePunct w:val="0"/>
              <w:autoSpaceDE/>
              <w:autoSpaceDN/>
              <w:bidi w:val="0"/>
              <w:adjustRightInd/>
              <w:snapToGrid w:val="0"/>
              <w:spacing w:line="360" w:lineRule="exact"/>
              <w:jc w:val="center"/>
              <w:textAlignment w:val="auto"/>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9</w:t>
            </w:r>
          </w:p>
        </w:tc>
        <w:tc>
          <w:tcPr>
            <w:tcW w:w="0" w:type="auto"/>
            <w:noWrap w:val="0"/>
            <w:vAlign w:val="center"/>
          </w:tcPr>
          <w:p w14:paraId="4E9F9635">
            <w:pPr>
              <w:pStyle w:val="28"/>
              <w:keepNext w:val="0"/>
              <w:keepLines w:val="0"/>
              <w:pageBreakBefore w:val="0"/>
              <w:numPr>
                <w:ilvl w:val="0"/>
                <w:numId w:val="6"/>
              </w:numPr>
              <w:kinsoku/>
              <w:wordWrap/>
              <w:overflowPunct/>
              <w:topLinePunct w:val="0"/>
              <w:autoSpaceDE/>
              <w:autoSpaceDN/>
              <w:bidi w:val="0"/>
              <w:adjustRightInd/>
              <w:snapToGrid w:val="0"/>
              <w:spacing w:line="360" w:lineRule="exact"/>
              <w:ind w:left="0" w:leftChars="0" w:firstLine="0" w:firstLine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评审内容</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供应商针对本项目提供安全、文明施工措施及环境保护措施。内容包括①安全施工保证措施；②文明施工措施；③环境保护措施。</w:t>
            </w:r>
          </w:p>
          <w:p w14:paraId="1AB029C3">
            <w:pPr>
              <w:pStyle w:val="28"/>
              <w:keepNext w:val="0"/>
              <w:keepLines w:val="0"/>
              <w:pageBreakBefore w:val="0"/>
              <w:numPr>
                <w:ilvl w:val="0"/>
                <w:numId w:val="6"/>
              </w:numPr>
              <w:kinsoku/>
              <w:wordWrap/>
              <w:overflowPunct/>
              <w:topLinePunct w:val="0"/>
              <w:autoSpaceDE/>
              <w:autoSpaceDN/>
              <w:bidi w:val="0"/>
              <w:adjustRightInd/>
              <w:snapToGrid w:val="0"/>
              <w:spacing w:line="360" w:lineRule="exact"/>
              <w:ind w:left="0" w:leftChars="0" w:firstLine="0" w:firstLine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评审标准</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1.完整性：方案须全面，对评审内容中的各项要求描述详细；2.可实施性：切合本项目实际情况，实施步骤清晰、合理；3.针对性：方案能够紧扣项目实际情况，内容科学合理。</w:t>
            </w:r>
          </w:p>
          <w:p w14:paraId="7F5884BA">
            <w:pPr>
              <w:pStyle w:val="28"/>
              <w:keepNext w:val="0"/>
              <w:keepLines w:val="0"/>
              <w:pageBreakBefore w:val="0"/>
              <w:numPr>
                <w:ilvl w:val="0"/>
                <w:numId w:val="0"/>
              </w:numPr>
              <w:kinsoku/>
              <w:wordWrap/>
              <w:overflowPunct/>
              <w:topLinePunct w:val="0"/>
              <w:autoSpaceDE/>
              <w:autoSpaceDN/>
              <w:bidi w:val="0"/>
              <w:adjustRightInd/>
              <w:snapToGrid w:val="0"/>
              <w:spacing w:line="360" w:lineRule="exact"/>
              <w:ind w:left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三、赋分依据</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①安全施工保证措施：每完全满足一个评审标准得1分，基本满足得0.5分，不能满足或未提供的不得分，满分3分。②文明施工措施：每完全满足一个评审标准得1分，基本满足得0.5分，不能满足或未提供的不得分，满分3分。③环境保护措施：每完全满足一个评审标准得1分，基本满足得0.5分，不能满足或未提供的不得分，满分3分。</w:t>
            </w:r>
          </w:p>
        </w:tc>
      </w:tr>
      <w:tr w14:paraId="1568A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0" w:type="auto"/>
            <w:vMerge w:val="continue"/>
            <w:noWrap w:val="0"/>
            <w:vAlign w:val="center"/>
          </w:tcPr>
          <w:p w14:paraId="049C7E27">
            <w:pPr>
              <w:keepNext w:val="0"/>
              <w:keepLines w:val="0"/>
              <w:pageBreakBefore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kern w:val="0"/>
                <w:sz w:val="24"/>
                <w:szCs w:val="24"/>
              </w:rPr>
            </w:pPr>
          </w:p>
        </w:tc>
        <w:tc>
          <w:tcPr>
            <w:tcW w:w="0" w:type="auto"/>
            <w:noWrap w:val="0"/>
            <w:vAlign w:val="center"/>
          </w:tcPr>
          <w:p w14:paraId="5387E1CD">
            <w:pPr>
              <w:keepNext w:val="0"/>
              <w:keepLines w:val="0"/>
              <w:pageBreakBefore w:val="0"/>
              <w:tabs>
                <w:tab w:val="left" w:pos="46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kern w:val="0"/>
                <w:sz w:val="24"/>
                <w:szCs w:val="24"/>
                <w:lang w:eastAsia="zh-CN"/>
              </w:rPr>
            </w:pPr>
            <w:r>
              <w:rPr>
                <w:rFonts w:hint="eastAsia" w:ascii="宋体" w:hAnsi="宋体" w:cs="宋体"/>
                <w:kern w:val="0"/>
                <w:sz w:val="24"/>
                <w:szCs w:val="24"/>
                <w:lang w:eastAsia="zh-CN"/>
              </w:rPr>
              <w:t>项目管理机构劳动力安排及施工机械配备</w:t>
            </w:r>
          </w:p>
        </w:tc>
        <w:tc>
          <w:tcPr>
            <w:tcW w:w="0" w:type="auto"/>
            <w:noWrap w:val="0"/>
            <w:vAlign w:val="center"/>
          </w:tcPr>
          <w:p w14:paraId="42DC602F">
            <w:pPr>
              <w:keepNext w:val="0"/>
              <w:keepLines w:val="0"/>
              <w:pageBreakBefore w:val="0"/>
              <w:kinsoku/>
              <w:wordWrap/>
              <w:overflowPunct/>
              <w:topLinePunct w:val="0"/>
              <w:autoSpaceDE/>
              <w:autoSpaceDN/>
              <w:bidi w:val="0"/>
              <w:adjustRightInd/>
              <w:snapToGrid w:val="0"/>
              <w:spacing w:line="360" w:lineRule="exact"/>
              <w:jc w:val="center"/>
              <w:textAlignment w:val="auto"/>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6</w:t>
            </w:r>
          </w:p>
        </w:tc>
        <w:tc>
          <w:tcPr>
            <w:tcW w:w="0" w:type="auto"/>
            <w:noWrap w:val="0"/>
            <w:vAlign w:val="center"/>
          </w:tcPr>
          <w:p w14:paraId="559141C6">
            <w:pPr>
              <w:keepNext w:val="0"/>
              <w:keepLines w:val="0"/>
              <w:pageBreakBefore w:val="0"/>
              <w:numPr>
                <w:ilvl w:val="0"/>
                <w:numId w:val="7"/>
              </w:numPr>
              <w:kinsoku/>
              <w:wordWrap/>
              <w:overflowPunct/>
              <w:topLinePunct w:val="0"/>
              <w:autoSpaceDE/>
              <w:autoSpaceDN/>
              <w:bidi w:val="0"/>
              <w:adjustRightInd/>
              <w:snapToGrid w:val="0"/>
              <w:spacing w:line="360" w:lineRule="exact"/>
              <w:ind w:left="0" w:leftChars="0" w:firstLine="0" w:firstLineChars="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评审内容</w:t>
            </w:r>
            <w:r>
              <w:rPr>
                <w:rFonts w:hint="eastAsia" w:ascii="宋体" w:hAnsi="宋体" w:cs="宋体"/>
                <w:color w:val="auto"/>
                <w:kern w:val="2"/>
                <w:sz w:val="24"/>
                <w:szCs w:val="24"/>
                <w:lang w:val="en-US" w:eastAsia="zh-CN" w:bidi="ar-SA"/>
              </w:rPr>
              <w:t>：</w:t>
            </w:r>
            <w:r>
              <w:rPr>
                <w:rFonts w:hint="eastAsia" w:ascii="宋体" w:hAnsi="宋体" w:eastAsia="宋体" w:cs="宋体"/>
                <w:color w:val="auto"/>
                <w:kern w:val="2"/>
                <w:sz w:val="24"/>
                <w:szCs w:val="24"/>
                <w:lang w:val="en-US" w:eastAsia="zh-CN" w:bidi="ar-SA"/>
              </w:rPr>
              <w:t>供应商针对本项目提供项目管理机构劳动力安排及施工机械配备。内容包括①项目管理团队、技术工人队伍及其他辅助工人安排配备及职责(含专业）；②施工机械配备投入计划。</w:t>
            </w:r>
          </w:p>
          <w:p w14:paraId="3637D737">
            <w:pPr>
              <w:keepNext w:val="0"/>
              <w:keepLines w:val="0"/>
              <w:pageBreakBefore w:val="0"/>
              <w:numPr>
                <w:ilvl w:val="0"/>
                <w:numId w:val="7"/>
              </w:numPr>
              <w:kinsoku/>
              <w:wordWrap/>
              <w:overflowPunct/>
              <w:topLinePunct w:val="0"/>
              <w:autoSpaceDE/>
              <w:autoSpaceDN/>
              <w:bidi w:val="0"/>
              <w:adjustRightInd/>
              <w:snapToGrid w:val="0"/>
              <w:spacing w:line="360" w:lineRule="exact"/>
              <w:ind w:left="0" w:leftChars="0" w:firstLine="0" w:firstLineChars="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评审标准</w:t>
            </w:r>
            <w:r>
              <w:rPr>
                <w:rFonts w:hint="eastAsia" w:ascii="宋体" w:hAnsi="宋体" w:cs="宋体"/>
                <w:color w:val="auto"/>
                <w:kern w:val="2"/>
                <w:sz w:val="24"/>
                <w:szCs w:val="24"/>
                <w:lang w:val="en-US" w:eastAsia="zh-CN" w:bidi="ar-SA"/>
              </w:rPr>
              <w:t>：</w:t>
            </w:r>
            <w:r>
              <w:rPr>
                <w:rFonts w:hint="eastAsia" w:ascii="宋体" w:hAnsi="宋体" w:eastAsia="宋体" w:cs="宋体"/>
                <w:color w:val="auto"/>
                <w:kern w:val="2"/>
                <w:sz w:val="24"/>
                <w:szCs w:val="24"/>
                <w:lang w:val="en-US" w:eastAsia="zh-CN" w:bidi="ar-SA"/>
              </w:rPr>
              <w:t>1.完整性：方案须全面，对评审内容中的各项要求描述详细；2.可实施性：切合本项目实际情况，实施步骤清晰、合理；3.针对性：方案能够紧扣项目实际情况，内容科学合理。</w:t>
            </w:r>
          </w:p>
          <w:p w14:paraId="47FADE94">
            <w:pPr>
              <w:keepNext w:val="0"/>
              <w:keepLines w:val="0"/>
              <w:pageBreakBefore w:val="0"/>
              <w:numPr>
                <w:ilvl w:val="0"/>
                <w:numId w:val="0"/>
              </w:numPr>
              <w:kinsoku/>
              <w:wordWrap/>
              <w:overflowPunct/>
              <w:topLinePunct w:val="0"/>
              <w:autoSpaceDE/>
              <w:autoSpaceDN/>
              <w:bidi w:val="0"/>
              <w:adjustRightInd/>
              <w:snapToGrid w:val="0"/>
              <w:spacing w:line="360" w:lineRule="exact"/>
              <w:ind w:leftChars="0"/>
              <w:textAlignment w:val="auto"/>
              <w:rPr>
                <w:rFonts w:hint="eastAsia" w:ascii="宋体" w:hAnsi="宋体" w:eastAsia="宋体" w:cs="宋体"/>
                <w:b/>
                <w:bCs/>
                <w:color w:val="000000"/>
                <w:kern w:val="0"/>
                <w:sz w:val="24"/>
                <w:szCs w:val="24"/>
              </w:rPr>
            </w:pPr>
            <w:r>
              <w:rPr>
                <w:rFonts w:hint="eastAsia" w:ascii="宋体" w:hAnsi="宋体" w:eastAsia="宋体" w:cs="宋体"/>
                <w:color w:val="auto"/>
                <w:kern w:val="2"/>
                <w:sz w:val="24"/>
                <w:szCs w:val="24"/>
                <w:lang w:val="en-US" w:eastAsia="zh-CN" w:bidi="ar-SA"/>
              </w:rPr>
              <w:t>三、赋分依据</w:t>
            </w:r>
            <w:r>
              <w:rPr>
                <w:rFonts w:hint="eastAsia" w:ascii="宋体" w:hAnsi="宋体" w:cs="宋体"/>
                <w:color w:val="auto"/>
                <w:kern w:val="2"/>
                <w:sz w:val="24"/>
                <w:szCs w:val="24"/>
                <w:lang w:val="en-US" w:eastAsia="zh-CN" w:bidi="ar-SA"/>
              </w:rPr>
              <w:t>：</w:t>
            </w:r>
            <w:r>
              <w:rPr>
                <w:rFonts w:hint="eastAsia" w:ascii="宋体" w:hAnsi="宋体" w:eastAsia="宋体" w:cs="宋体"/>
                <w:color w:val="auto"/>
                <w:kern w:val="2"/>
                <w:sz w:val="24"/>
                <w:szCs w:val="24"/>
                <w:lang w:val="en-US" w:eastAsia="zh-CN" w:bidi="ar-SA"/>
              </w:rPr>
              <w:t>①项目管理团队、技术工人队伍及其他辅助工人安排配备及职责(含专业）：每完全满足一个评审标准得1分，基本满足得0.5分，不能满足或未提供的不得分，满分3分。②施工机械配备投入计划：每完全满足一个评审标准得1分，基本满足得0.5分，不能满足或未提供的不得分，满分3分。</w:t>
            </w:r>
          </w:p>
        </w:tc>
      </w:tr>
      <w:tr w14:paraId="62E14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0" w:type="auto"/>
            <w:vMerge w:val="continue"/>
            <w:noWrap w:val="0"/>
            <w:vAlign w:val="center"/>
          </w:tcPr>
          <w:p w14:paraId="49902895">
            <w:pPr>
              <w:keepNext w:val="0"/>
              <w:keepLines w:val="0"/>
              <w:pageBreakBefore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kern w:val="0"/>
                <w:sz w:val="24"/>
                <w:szCs w:val="24"/>
              </w:rPr>
            </w:pPr>
          </w:p>
        </w:tc>
        <w:tc>
          <w:tcPr>
            <w:tcW w:w="0" w:type="auto"/>
            <w:noWrap w:val="0"/>
            <w:vAlign w:val="center"/>
          </w:tcPr>
          <w:p w14:paraId="783D2FCD">
            <w:pPr>
              <w:keepNext w:val="0"/>
              <w:keepLines w:val="0"/>
              <w:pageBreakBefore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应急预案</w:t>
            </w:r>
          </w:p>
        </w:tc>
        <w:tc>
          <w:tcPr>
            <w:tcW w:w="0" w:type="auto"/>
            <w:noWrap w:val="0"/>
            <w:vAlign w:val="center"/>
          </w:tcPr>
          <w:p w14:paraId="0A7501C0">
            <w:pPr>
              <w:keepNext w:val="0"/>
              <w:keepLines w:val="0"/>
              <w:pageBreakBefore w:val="0"/>
              <w:kinsoku/>
              <w:wordWrap/>
              <w:overflowPunct/>
              <w:topLinePunct w:val="0"/>
              <w:autoSpaceDE/>
              <w:autoSpaceDN/>
              <w:bidi w:val="0"/>
              <w:adjustRightInd/>
              <w:snapToGrid w:val="0"/>
              <w:spacing w:line="360" w:lineRule="exact"/>
              <w:jc w:val="center"/>
              <w:textAlignment w:val="auto"/>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9</w:t>
            </w:r>
          </w:p>
        </w:tc>
        <w:tc>
          <w:tcPr>
            <w:tcW w:w="0" w:type="auto"/>
            <w:noWrap w:val="0"/>
            <w:vAlign w:val="center"/>
          </w:tcPr>
          <w:p w14:paraId="7F1C9308">
            <w:pPr>
              <w:keepNext w:val="0"/>
              <w:keepLines w:val="0"/>
              <w:pageBreakBefore w:val="0"/>
              <w:numPr>
                <w:ilvl w:val="0"/>
                <w:numId w:val="8"/>
              </w:numPr>
              <w:kinsoku/>
              <w:wordWrap/>
              <w:overflowPunct/>
              <w:topLinePunct w:val="0"/>
              <w:autoSpaceDE/>
              <w:autoSpaceDN/>
              <w:bidi w:val="0"/>
              <w:adjustRightInd/>
              <w:snapToGrid w:val="0"/>
              <w:spacing w:line="360" w:lineRule="exact"/>
              <w:ind w:left="0" w:leftChars="0" w:firstLine="0" w:firstLineChars="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评审内容</w:t>
            </w:r>
            <w:r>
              <w:rPr>
                <w:rFonts w:hint="eastAsia" w:ascii="宋体" w:hAnsi="宋体" w:cs="宋体"/>
                <w:color w:val="auto"/>
                <w:kern w:val="2"/>
                <w:sz w:val="24"/>
                <w:szCs w:val="24"/>
                <w:lang w:val="en-US" w:eastAsia="zh-CN" w:bidi="ar-SA"/>
              </w:rPr>
              <w:t>：</w:t>
            </w:r>
            <w:r>
              <w:rPr>
                <w:rFonts w:hint="eastAsia" w:ascii="宋体" w:hAnsi="宋体" w:eastAsia="宋体" w:cs="宋体"/>
                <w:color w:val="auto"/>
                <w:kern w:val="2"/>
                <w:sz w:val="24"/>
                <w:szCs w:val="24"/>
                <w:lang w:val="en-US" w:eastAsia="zh-CN" w:bidi="ar-SA"/>
              </w:rPr>
              <w:t>供应商针对本项目提供应急预案。内容包括①绿化补栽方案；②案例说明（包括但不限于因天气或气候原因导致枯枝、老旧及长势欠佳苗木增更换等问题，或人为原因，及时补换措施）；③补货需求方案。</w:t>
            </w:r>
          </w:p>
          <w:p w14:paraId="04BD0273">
            <w:pPr>
              <w:keepNext w:val="0"/>
              <w:keepLines w:val="0"/>
              <w:pageBreakBefore w:val="0"/>
              <w:numPr>
                <w:ilvl w:val="0"/>
                <w:numId w:val="8"/>
              </w:numPr>
              <w:kinsoku/>
              <w:wordWrap/>
              <w:overflowPunct/>
              <w:topLinePunct w:val="0"/>
              <w:autoSpaceDE/>
              <w:autoSpaceDN/>
              <w:bidi w:val="0"/>
              <w:adjustRightInd/>
              <w:snapToGrid w:val="0"/>
              <w:spacing w:line="360" w:lineRule="exact"/>
              <w:ind w:left="0" w:leftChars="0" w:firstLine="0" w:firstLineChars="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评审标准</w:t>
            </w:r>
            <w:r>
              <w:rPr>
                <w:rFonts w:hint="eastAsia" w:ascii="宋体" w:hAnsi="宋体" w:cs="宋体"/>
                <w:color w:val="auto"/>
                <w:kern w:val="2"/>
                <w:sz w:val="24"/>
                <w:szCs w:val="24"/>
                <w:lang w:val="en-US" w:eastAsia="zh-CN" w:bidi="ar-SA"/>
              </w:rPr>
              <w:t>：</w:t>
            </w:r>
            <w:r>
              <w:rPr>
                <w:rFonts w:hint="eastAsia" w:ascii="宋体" w:hAnsi="宋体" w:eastAsia="宋体" w:cs="宋体"/>
                <w:color w:val="auto"/>
                <w:kern w:val="2"/>
                <w:sz w:val="24"/>
                <w:szCs w:val="24"/>
                <w:lang w:val="en-US" w:eastAsia="zh-CN" w:bidi="ar-SA"/>
              </w:rPr>
              <w:t>1.完整性：方案须全面，对评审内容中的各项要求描述详细；2.可实施性：切合本项目实际情况，实施步骤清晰、合理；3.针对性：方案能够紧扣项目实际情况，内容科学合理。</w:t>
            </w:r>
          </w:p>
          <w:p w14:paraId="237F686F">
            <w:pPr>
              <w:keepNext w:val="0"/>
              <w:keepLines w:val="0"/>
              <w:pageBreakBefore w:val="0"/>
              <w:numPr>
                <w:ilvl w:val="0"/>
                <w:numId w:val="0"/>
              </w:numPr>
              <w:kinsoku/>
              <w:wordWrap/>
              <w:overflowPunct/>
              <w:topLinePunct w:val="0"/>
              <w:autoSpaceDE/>
              <w:autoSpaceDN/>
              <w:bidi w:val="0"/>
              <w:adjustRightInd/>
              <w:snapToGrid w:val="0"/>
              <w:spacing w:line="360" w:lineRule="exact"/>
              <w:ind w:leftChars="0"/>
              <w:textAlignment w:val="auto"/>
              <w:rPr>
                <w:rFonts w:hint="eastAsia" w:ascii="宋体" w:hAnsi="宋体" w:eastAsia="宋体" w:cs="宋体"/>
                <w:b/>
                <w:bCs/>
                <w:color w:val="000000"/>
                <w:kern w:val="0"/>
                <w:sz w:val="24"/>
                <w:szCs w:val="24"/>
              </w:rPr>
            </w:pPr>
            <w:r>
              <w:rPr>
                <w:rFonts w:hint="eastAsia" w:ascii="宋体" w:hAnsi="宋体" w:eastAsia="宋体" w:cs="宋体"/>
                <w:color w:val="auto"/>
                <w:kern w:val="2"/>
                <w:sz w:val="24"/>
                <w:szCs w:val="24"/>
                <w:lang w:val="en-US" w:eastAsia="zh-CN" w:bidi="ar-SA"/>
              </w:rPr>
              <w:t>三、赋分依据</w:t>
            </w:r>
            <w:r>
              <w:rPr>
                <w:rFonts w:hint="eastAsia" w:ascii="宋体" w:hAnsi="宋体" w:cs="宋体"/>
                <w:color w:val="auto"/>
                <w:kern w:val="2"/>
                <w:sz w:val="24"/>
                <w:szCs w:val="24"/>
                <w:lang w:val="en-US" w:eastAsia="zh-CN" w:bidi="ar-SA"/>
              </w:rPr>
              <w:t>：</w:t>
            </w:r>
            <w:r>
              <w:rPr>
                <w:rFonts w:hint="eastAsia" w:ascii="宋体" w:hAnsi="宋体" w:eastAsia="宋体" w:cs="宋体"/>
                <w:color w:val="auto"/>
                <w:kern w:val="2"/>
                <w:sz w:val="24"/>
                <w:szCs w:val="24"/>
                <w:lang w:val="en-US" w:eastAsia="zh-CN" w:bidi="ar-SA"/>
              </w:rPr>
              <w:t>①绿化补栽方案：每完全满足一个评审标准得1分，基本满足得0.5分，不能满足或未提供的不得分，满分3分。②案例说明（包括但不限于因天气或气候原因导致枯枝、老旧及长势欠佳苗木增更换等问题，或人为原因，及时补换措施）：每完全满足一个评审标准得1分，基本满足得0.5分，不能满足或未提供的不得分，满分3分。 ③补货需求方案：每完全满足一个评审标准得1分，基本满足得0.5分，不能满足或未提供的不得分，满分3分。</w:t>
            </w:r>
          </w:p>
        </w:tc>
      </w:tr>
      <w:tr w14:paraId="74F13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0" w:type="auto"/>
            <w:vMerge w:val="continue"/>
            <w:noWrap w:val="0"/>
            <w:vAlign w:val="center"/>
          </w:tcPr>
          <w:p w14:paraId="7EDE14E3">
            <w:pPr>
              <w:keepNext w:val="0"/>
              <w:keepLines w:val="0"/>
              <w:pageBreakBefore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kern w:val="0"/>
                <w:sz w:val="24"/>
                <w:szCs w:val="24"/>
              </w:rPr>
            </w:pPr>
          </w:p>
        </w:tc>
        <w:tc>
          <w:tcPr>
            <w:tcW w:w="0" w:type="auto"/>
            <w:noWrap w:val="0"/>
            <w:vAlign w:val="center"/>
          </w:tcPr>
          <w:p w14:paraId="0BE234E3">
            <w:pPr>
              <w:keepNext w:val="0"/>
              <w:keepLines w:val="0"/>
              <w:pageBreakBefore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服务承诺</w:t>
            </w:r>
          </w:p>
        </w:tc>
        <w:tc>
          <w:tcPr>
            <w:tcW w:w="0" w:type="auto"/>
            <w:noWrap w:val="0"/>
            <w:vAlign w:val="center"/>
          </w:tcPr>
          <w:p w14:paraId="1B23FD54">
            <w:pPr>
              <w:keepNext w:val="0"/>
              <w:keepLines w:val="0"/>
              <w:pageBreakBefore w:val="0"/>
              <w:kinsoku/>
              <w:wordWrap/>
              <w:overflowPunct/>
              <w:topLinePunct w:val="0"/>
              <w:autoSpaceDE/>
              <w:autoSpaceDN/>
              <w:bidi w:val="0"/>
              <w:adjustRightInd/>
              <w:snapToGrid w:val="0"/>
              <w:spacing w:line="360" w:lineRule="exact"/>
              <w:jc w:val="center"/>
              <w:textAlignment w:val="auto"/>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6</w:t>
            </w:r>
          </w:p>
        </w:tc>
        <w:tc>
          <w:tcPr>
            <w:tcW w:w="0" w:type="auto"/>
            <w:noWrap w:val="0"/>
            <w:vAlign w:val="center"/>
          </w:tcPr>
          <w:p w14:paraId="77AF0ABE">
            <w:pPr>
              <w:keepNext w:val="0"/>
              <w:keepLines w:val="0"/>
              <w:pageBreakBefore w:val="0"/>
              <w:numPr>
                <w:ilvl w:val="0"/>
                <w:numId w:val="9"/>
              </w:numPr>
              <w:kinsoku/>
              <w:wordWrap/>
              <w:overflowPunct/>
              <w:topLinePunct w:val="0"/>
              <w:autoSpaceDE/>
              <w:autoSpaceDN/>
              <w:bidi w:val="0"/>
              <w:adjustRightInd/>
              <w:snapToGrid w:val="0"/>
              <w:spacing w:line="360" w:lineRule="exact"/>
              <w:ind w:left="0" w:leftChars="0" w:firstLine="0" w:firstLineChars="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评审内容</w:t>
            </w:r>
            <w:r>
              <w:rPr>
                <w:rFonts w:hint="eastAsia" w:ascii="宋体" w:hAnsi="宋体" w:cs="宋体"/>
                <w:color w:val="auto"/>
                <w:kern w:val="2"/>
                <w:sz w:val="24"/>
                <w:szCs w:val="24"/>
                <w:lang w:val="en-US" w:eastAsia="zh-CN" w:bidi="ar-SA"/>
              </w:rPr>
              <w:t>：</w:t>
            </w:r>
            <w:r>
              <w:rPr>
                <w:rFonts w:hint="eastAsia" w:ascii="宋体" w:hAnsi="宋体" w:eastAsia="宋体" w:cs="宋体"/>
                <w:color w:val="auto"/>
                <w:kern w:val="2"/>
                <w:sz w:val="24"/>
                <w:szCs w:val="24"/>
                <w:lang w:val="en-US" w:eastAsia="zh-CN" w:bidi="ar-SA"/>
              </w:rPr>
              <w:t>供应商针对本项目提供服务承诺。内容包括①后期服务配合的承诺；②后期服务具体措施。</w:t>
            </w:r>
          </w:p>
          <w:p w14:paraId="46C3D9FB">
            <w:pPr>
              <w:keepNext w:val="0"/>
              <w:keepLines w:val="0"/>
              <w:pageBreakBefore w:val="0"/>
              <w:numPr>
                <w:ilvl w:val="0"/>
                <w:numId w:val="9"/>
              </w:numPr>
              <w:kinsoku/>
              <w:wordWrap/>
              <w:overflowPunct/>
              <w:topLinePunct w:val="0"/>
              <w:autoSpaceDE/>
              <w:autoSpaceDN/>
              <w:bidi w:val="0"/>
              <w:adjustRightInd/>
              <w:snapToGrid w:val="0"/>
              <w:spacing w:line="360" w:lineRule="exact"/>
              <w:ind w:left="0" w:leftChars="0" w:firstLine="0" w:firstLineChars="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评审标准</w:t>
            </w:r>
            <w:r>
              <w:rPr>
                <w:rFonts w:hint="eastAsia" w:ascii="宋体" w:hAnsi="宋体" w:cs="宋体"/>
                <w:color w:val="auto"/>
                <w:kern w:val="2"/>
                <w:sz w:val="24"/>
                <w:szCs w:val="24"/>
                <w:lang w:val="en-US" w:eastAsia="zh-CN" w:bidi="ar-SA"/>
              </w:rPr>
              <w:t>：</w:t>
            </w:r>
            <w:r>
              <w:rPr>
                <w:rFonts w:hint="eastAsia" w:ascii="宋体" w:hAnsi="宋体" w:eastAsia="宋体" w:cs="宋体"/>
                <w:color w:val="auto"/>
                <w:kern w:val="2"/>
                <w:sz w:val="24"/>
                <w:szCs w:val="24"/>
                <w:lang w:val="en-US" w:eastAsia="zh-CN" w:bidi="ar-SA"/>
              </w:rPr>
              <w:t>1.完整性：方案须全面，对评审内容中的各项要求描述详细；2.可实施性：切合本项目实际情况，实施步骤清晰、合理；3.针对性：方案能够紧扣项目实际情况，内容科学合理。</w:t>
            </w:r>
          </w:p>
          <w:p w14:paraId="64B51573">
            <w:pPr>
              <w:keepNext w:val="0"/>
              <w:keepLines w:val="0"/>
              <w:pageBreakBefore w:val="0"/>
              <w:numPr>
                <w:ilvl w:val="0"/>
                <w:numId w:val="0"/>
              </w:numPr>
              <w:kinsoku/>
              <w:wordWrap/>
              <w:overflowPunct/>
              <w:topLinePunct w:val="0"/>
              <w:autoSpaceDE/>
              <w:autoSpaceDN/>
              <w:bidi w:val="0"/>
              <w:adjustRightInd/>
              <w:snapToGrid w:val="0"/>
              <w:spacing w:line="360" w:lineRule="exact"/>
              <w:ind w:leftChars="0"/>
              <w:textAlignment w:val="auto"/>
              <w:rPr>
                <w:rFonts w:hint="eastAsia" w:ascii="宋体" w:hAnsi="宋体" w:eastAsia="宋体" w:cs="宋体"/>
                <w:b/>
                <w:bCs/>
                <w:color w:val="000000"/>
                <w:kern w:val="0"/>
                <w:sz w:val="24"/>
                <w:szCs w:val="24"/>
              </w:rPr>
            </w:pPr>
            <w:r>
              <w:rPr>
                <w:rFonts w:hint="eastAsia" w:ascii="宋体" w:hAnsi="宋体" w:eastAsia="宋体" w:cs="宋体"/>
                <w:color w:val="auto"/>
                <w:kern w:val="2"/>
                <w:sz w:val="24"/>
                <w:szCs w:val="24"/>
                <w:lang w:val="en-US" w:eastAsia="zh-CN" w:bidi="ar-SA"/>
              </w:rPr>
              <w:t>三、赋分依据</w:t>
            </w:r>
            <w:r>
              <w:rPr>
                <w:rFonts w:hint="eastAsia" w:ascii="宋体" w:hAnsi="宋体" w:cs="宋体"/>
                <w:color w:val="auto"/>
                <w:kern w:val="2"/>
                <w:sz w:val="24"/>
                <w:szCs w:val="24"/>
                <w:lang w:val="en-US" w:eastAsia="zh-CN" w:bidi="ar-SA"/>
              </w:rPr>
              <w:t>：</w:t>
            </w:r>
            <w:r>
              <w:rPr>
                <w:rFonts w:hint="eastAsia" w:ascii="宋体" w:hAnsi="宋体" w:eastAsia="宋体" w:cs="宋体"/>
                <w:color w:val="auto"/>
                <w:kern w:val="2"/>
                <w:sz w:val="24"/>
                <w:szCs w:val="24"/>
                <w:lang w:val="en-US" w:eastAsia="zh-CN" w:bidi="ar-SA"/>
              </w:rPr>
              <w:t>①后期服务配合的承诺：每完全满足一个评审标准得1分，基本满足得0.5分，不能满足或未提供的不得分，满分3分。 ②后期服务具体措施：每完全满足一个评审标准得1分，基本满足得0.5分，不能满足或未提供的不得分，满分3分。</w:t>
            </w:r>
          </w:p>
        </w:tc>
      </w:tr>
      <w:tr w14:paraId="07F5A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0" w:type="auto"/>
            <w:vMerge w:val="continue"/>
            <w:noWrap w:val="0"/>
            <w:vAlign w:val="center"/>
          </w:tcPr>
          <w:p w14:paraId="17B110D6">
            <w:pPr>
              <w:keepNext w:val="0"/>
              <w:keepLines w:val="0"/>
              <w:pageBreakBefore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kern w:val="0"/>
                <w:sz w:val="24"/>
                <w:szCs w:val="24"/>
              </w:rPr>
            </w:pPr>
          </w:p>
        </w:tc>
        <w:tc>
          <w:tcPr>
            <w:tcW w:w="0" w:type="auto"/>
            <w:noWrap w:val="0"/>
            <w:vAlign w:val="center"/>
          </w:tcPr>
          <w:p w14:paraId="3A9BB8B9">
            <w:pPr>
              <w:keepNext w:val="0"/>
              <w:keepLines w:val="0"/>
              <w:pageBreakBefore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项目经理</w:t>
            </w:r>
          </w:p>
        </w:tc>
        <w:tc>
          <w:tcPr>
            <w:tcW w:w="0" w:type="auto"/>
            <w:noWrap w:val="0"/>
            <w:vAlign w:val="center"/>
          </w:tcPr>
          <w:p w14:paraId="47FAC7BE">
            <w:pPr>
              <w:keepNext w:val="0"/>
              <w:keepLines w:val="0"/>
              <w:pageBreakBefore w:val="0"/>
              <w:kinsoku/>
              <w:wordWrap/>
              <w:overflowPunct/>
              <w:topLinePunct w:val="0"/>
              <w:autoSpaceDE/>
              <w:autoSpaceDN/>
              <w:bidi w:val="0"/>
              <w:adjustRightInd/>
              <w:snapToGrid w:val="0"/>
              <w:spacing w:line="360" w:lineRule="exact"/>
              <w:jc w:val="center"/>
              <w:textAlignment w:val="auto"/>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3</w:t>
            </w:r>
          </w:p>
        </w:tc>
        <w:tc>
          <w:tcPr>
            <w:tcW w:w="0" w:type="auto"/>
            <w:noWrap w:val="0"/>
            <w:vAlign w:val="center"/>
          </w:tcPr>
          <w:p w14:paraId="76321501">
            <w:pPr>
              <w:keepNext w:val="0"/>
              <w:keepLines w:val="0"/>
              <w:pageBreakBefore w:val="0"/>
              <w:numPr>
                <w:ilvl w:val="0"/>
                <w:numId w:val="0"/>
              </w:numPr>
              <w:kinsoku/>
              <w:wordWrap/>
              <w:overflowPunct/>
              <w:topLinePunct w:val="0"/>
              <w:autoSpaceDE/>
              <w:autoSpaceDN/>
              <w:bidi w:val="0"/>
              <w:adjustRightInd/>
              <w:snapToGrid w:val="0"/>
              <w:spacing w:line="360" w:lineRule="exact"/>
              <w:ind w:left="0" w:leftChars="0" w:firstLine="0" w:firstLineChars="0"/>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拟派项目经理具有园林绿化相关专业中级及以上职称，计</w:t>
            </w:r>
            <w:r>
              <w:rPr>
                <w:rFonts w:hint="eastAsia" w:ascii="宋体" w:hAnsi="宋体" w:cs="宋体"/>
                <w:color w:val="000000"/>
                <w:kern w:val="0"/>
                <w:sz w:val="24"/>
                <w:szCs w:val="24"/>
                <w:lang w:val="en-US" w:eastAsia="zh-CN"/>
              </w:rPr>
              <w:t>3</w:t>
            </w:r>
            <w:r>
              <w:rPr>
                <w:rFonts w:hint="eastAsia" w:ascii="宋体" w:hAnsi="宋体" w:eastAsia="宋体" w:cs="宋体"/>
                <w:color w:val="000000"/>
                <w:kern w:val="0"/>
                <w:sz w:val="24"/>
                <w:szCs w:val="24"/>
              </w:rPr>
              <w:t>分，不能满足或未提供的不得分。备注：提供职称证书复印件加盖供应商公章。</w:t>
            </w:r>
          </w:p>
        </w:tc>
      </w:tr>
      <w:tr w14:paraId="78A6B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0" w:type="auto"/>
            <w:noWrap w:val="0"/>
            <w:vAlign w:val="center"/>
          </w:tcPr>
          <w:p w14:paraId="18B99D9D">
            <w:pPr>
              <w:keepNext w:val="0"/>
              <w:keepLines w:val="0"/>
              <w:pageBreakBefore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商务</w:t>
            </w:r>
          </w:p>
          <w:p w14:paraId="0CD01A71">
            <w:pPr>
              <w:keepNext w:val="0"/>
              <w:keepLines w:val="0"/>
              <w:pageBreakBefore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响应</w:t>
            </w:r>
          </w:p>
        </w:tc>
        <w:tc>
          <w:tcPr>
            <w:tcW w:w="0" w:type="auto"/>
            <w:noWrap w:val="0"/>
            <w:vAlign w:val="center"/>
          </w:tcPr>
          <w:p w14:paraId="0FA007A3">
            <w:pPr>
              <w:keepNext w:val="0"/>
              <w:keepLines w:val="0"/>
              <w:pageBreakBefore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kern w:val="0"/>
                <w:sz w:val="24"/>
                <w:szCs w:val="24"/>
              </w:rPr>
            </w:pPr>
            <w:r>
              <w:rPr>
                <w:rFonts w:hint="eastAsia" w:ascii="宋体" w:hAnsi="宋体" w:eastAsia="宋体" w:cs="宋体"/>
                <w:sz w:val="24"/>
                <w:szCs w:val="24"/>
              </w:rPr>
              <w:t>业绩</w:t>
            </w:r>
          </w:p>
        </w:tc>
        <w:tc>
          <w:tcPr>
            <w:tcW w:w="0" w:type="auto"/>
            <w:noWrap w:val="0"/>
            <w:vAlign w:val="center"/>
          </w:tcPr>
          <w:p w14:paraId="66930A84">
            <w:pPr>
              <w:keepNext w:val="0"/>
              <w:keepLines w:val="0"/>
              <w:pageBreakBefore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kern w:val="0"/>
                <w:sz w:val="24"/>
                <w:szCs w:val="24"/>
                <w:lang w:val="en-US" w:eastAsia="zh-CN"/>
              </w:rPr>
            </w:pPr>
            <w:r>
              <w:rPr>
                <w:rFonts w:hint="eastAsia" w:ascii="宋体" w:hAnsi="宋体" w:cs="宋体"/>
                <w:kern w:val="0"/>
                <w:sz w:val="24"/>
                <w:szCs w:val="24"/>
                <w:lang w:val="en-US" w:eastAsia="zh-CN"/>
              </w:rPr>
              <w:t>4</w:t>
            </w:r>
          </w:p>
        </w:tc>
        <w:tc>
          <w:tcPr>
            <w:tcW w:w="0" w:type="auto"/>
            <w:noWrap w:val="0"/>
            <w:vAlign w:val="center"/>
          </w:tcPr>
          <w:p w14:paraId="4276834D">
            <w:pPr>
              <w:keepNext w:val="0"/>
              <w:keepLines w:val="0"/>
              <w:pageBreakBefore w:val="0"/>
              <w:kinsoku/>
              <w:wordWrap/>
              <w:overflowPunct/>
              <w:topLinePunct w:val="0"/>
              <w:autoSpaceDE/>
              <w:autoSpaceDN/>
              <w:bidi w:val="0"/>
              <w:adjustRightInd/>
              <w:snapToGrid w:val="0"/>
              <w:spacing w:line="360" w:lineRule="exact"/>
              <w:textAlignment w:val="auto"/>
              <w:rPr>
                <w:rFonts w:hint="eastAsia" w:ascii="宋体" w:hAnsi="宋体" w:eastAsia="宋体" w:cs="宋体"/>
                <w:sz w:val="24"/>
                <w:szCs w:val="24"/>
              </w:rPr>
            </w:pPr>
            <w:r>
              <w:rPr>
                <w:rFonts w:hint="eastAsia" w:ascii="宋体" w:hAnsi="宋体" w:eastAsia="宋体" w:cs="宋体"/>
                <w:sz w:val="24"/>
                <w:szCs w:val="24"/>
              </w:rPr>
              <w:t>近</w:t>
            </w:r>
            <w:r>
              <w:rPr>
                <w:rFonts w:hint="eastAsia" w:ascii="宋体" w:hAnsi="宋体" w:eastAsia="宋体" w:cs="宋体"/>
                <w:sz w:val="24"/>
                <w:szCs w:val="24"/>
                <w:lang w:val="en-US" w:eastAsia="zh-CN"/>
              </w:rPr>
              <w:t>三</w:t>
            </w:r>
            <w:r>
              <w:rPr>
                <w:rFonts w:hint="eastAsia" w:ascii="宋体" w:hAnsi="宋体" w:eastAsia="宋体" w:cs="宋体"/>
                <w:sz w:val="24"/>
                <w:szCs w:val="24"/>
              </w:rPr>
              <w:t>年（202</w:t>
            </w:r>
            <w:r>
              <w:rPr>
                <w:rFonts w:hint="eastAsia" w:ascii="宋体" w:hAnsi="宋体" w:eastAsia="宋体" w:cs="宋体"/>
                <w:sz w:val="24"/>
                <w:szCs w:val="24"/>
                <w:lang w:val="en-US" w:eastAsia="zh-CN"/>
              </w:rPr>
              <w:t>3</w:t>
            </w:r>
            <w:r>
              <w:rPr>
                <w:rFonts w:hint="eastAsia" w:ascii="宋体" w:hAnsi="宋体" w:eastAsia="宋体" w:cs="宋体"/>
                <w:sz w:val="24"/>
                <w:szCs w:val="24"/>
              </w:rPr>
              <w:t>年</w:t>
            </w:r>
            <w:r>
              <w:rPr>
                <w:rFonts w:hint="eastAsia" w:ascii="宋体" w:hAnsi="宋体" w:eastAsia="宋体" w:cs="宋体"/>
                <w:sz w:val="24"/>
                <w:szCs w:val="24"/>
                <w:lang w:val="en-US" w:eastAsia="zh-CN"/>
              </w:rPr>
              <w:t>6</w:t>
            </w:r>
            <w:r>
              <w:rPr>
                <w:rFonts w:hint="eastAsia" w:ascii="宋体" w:hAnsi="宋体" w:eastAsia="宋体" w:cs="宋体"/>
                <w:sz w:val="24"/>
                <w:szCs w:val="24"/>
              </w:rPr>
              <w:t>月</w:t>
            </w:r>
            <w:r>
              <w:rPr>
                <w:rFonts w:hint="eastAsia" w:ascii="宋体" w:hAnsi="宋体" w:cs="宋体"/>
                <w:sz w:val="24"/>
                <w:szCs w:val="24"/>
                <w:lang w:val="en-US" w:eastAsia="zh-CN"/>
              </w:rPr>
              <w:t>1日</w:t>
            </w:r>
            <w:r>
              <w:rPr>
                <w:rFonts w:hint="eastAsia" w:ascii="宋体" w:hAnsi="宋体" w:eastAsia="宋体" w:cs="宋体"/>
                <w:sz w:val="24"/>
                <w:szCs w:val="24"/>
              </w:rPr>
              <w:t>至今，以签订合同时间为准）具有类似项目业绩，每提供一个得</w:t>
            </w:r>
            <w:r>
              <w:rPr>
                <w:rFonts w:hint="eastAsia" w:ascii="宋体" w:hAnsi="宋体" w:eastAsia="宋体" w:cs="宋体"/>
                <w:sz w:val="24"/>
                <w:szCs w:val="24"/>
                <w:lang w:val="en-US" w:eastAsia="zh-CN"/>
              </w:rPr>
              <w:t>2</w:t>
            </w:r>
            <w:r>
              <w:rPr>
                <w:rFonts w:hint="eastAsia" w:ascii="宋体" w:hAnsi="宋体" w:eastAsia="宋体" w:cs="宋体"/>
                <w:sz w:val="24"/>
                <w:szCs w:val="24"/>
              </w:rPr>
              <w:t>分，最高得</w:t>
            </w:r>
            <w:r>
              <w:rPr>
                <w:rFonts w:hint="eastAsia" w:ascii="宋体" w:hAnsi="宋体" w:cs="宋体"/>
                <w:sz w:val="24"/>
                <w:szCs w:val="24"/>
                <w:lang w:val="en-US" w:eastAsia="zh-CN"/>
              </w:rPr>
              <w:t>标准分值</w:t>
            </w:r>
            <w:r>
              <w:rPr>
                <w:rFonts w:hint="eastAsia" w:ascii="宋体" w:hAnsi="宋体" w:eastAsia="宋体" w:cs="宋体"/>
                <w:sz w:val="24"/>
                <w:szCs w:val="24"/>
              </w:rPr>
              <w:t>。</w:t>
            </w:r>
          </w:p>
          <w:p w14:paraId="7730A6EA">
            <w:pPr>
              <w:keepNext w:val="0"/>
              <w:keepLines w:val="0"/>
              <w:pageBreakBefore w:val="0"/>
              <w:kinsoku/>
              <w:wordWrap/>
              <w:overflowPunct/>
              <w:topLinePunct w:val="0"/>
              <w:autoSpaceDE/>
              <w:autoSpaceDN/>
              <w:bidi w:val="0"/>
              <w:adjustRightInd/>
              <w:snapToGrid w:val="0"/>
              <w:spacing w:line="360" w:lineRule="exact"/>
              <w:textAlignment w:val="auto"/>
              <w:rPr>
                <w:rFonts w:hint="eastAsia" w:ascii="宋体" w:hAnsi="宋体" w:eastAsia="宋体" w:cs="宋体"/>
                <w:snapToGrid w:val="0"/>
                <w:kern w:val="0"/>
                <w:sz w:val="24"/>
                <w:szCs w:val="24"/>
                <w:lang w:eastAsia="zh-CN"/>
              </w:rPr>
            </w:pPr>
            <w:r>
              <w:rPr>
                <w:rFonts w:hint="eastAsia" w:ascii="宋体" w:hAnsi="宋体" w:eastAsia="宋体" w:cs="宋体"/>
                <w:snapToGrid w:val="0"/>
                <w:kern w:val="0"/>
                <w:sz w:val="24"/>
                <w:szCs w:val="24"/>
              </w:rPr>
              <w:t>业绩证明材料以供应商提供的合同的复印件为准，业绩所属时间以合同签订时间为准</w:t>
            </w:r>
            <w:r>
              <w:rPr>
                <w:rFonts w:hint="eastAsia" w:ascii="宋体" w:hAnsi="宋体" w:cs="宋体"/>
                <w:snapToGrid w:val="0"/>
                <w:kern w:val="0"/>
                <w:sz w:val="24"/>
                <w:szCs w:val="24"/>
                <w:lang w:eastAsia="zh-CN"/>
              </w:rPr>
              <w:t>。</w:t>
            </w:r>
          </w:p>
        </w:tc>
      </w:tr>
      <w:tr w14:paraId="7EC8F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3" w:hRule="atLeast"/>
          <w:jc w:val="center"/>
        </w:trPr>
        <w:tc>
          <w:tcPr>
            <w:tcW w:w="0" w:type="auto"/>
            <w:noWrap w:val="0"/>
            <w:vAlign w:val="center"/>
          </w:tcPr>
          <w:p w14:paraId="47A36033">
            <w:pPr>
              <w:keepNext w:val="0"/>
              <w:keepLines w:val="0"/>
              <w:pageBreakBefore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磋商</w:t>
            </w:r>
          </w:p>
          <w:p w14:paraId="0B20AFF1">
            <w:pPr>
              <w:keepNext w:val="0"/>
              <w:keepLines w:val="0"/>
              <w:pageBreakBefore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报价</w:t>
            </w:r>
          </w:p>
        </w:tc>
        <w:tc>
          <w:tcPr>
            <w:tcW w:w="0" w:type="auto"/>
            <w:noWrap w:val="0"/>
            <w:vAlign w:val="center"/>
          </w:tcPr>
          <w:p w14:paraId="0C470C3D">
            <w:pPr>
              <w:keepNext w:val="0"/>
              <w:keepLines w:val="0"/>
              <w:pageBreakBefore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价格分</w:t>
            </w:r>
          </w:p>
        </w:tc>
        <w:tc>
          <w:tcPr>
            <w:tcW w:w="0" w:type="auto"/>
            <w:noWrap w:val="0"/>
            <w:vAlign w:val="center"/>
          </w:tcPr>
          <w:p w14:paraId="17049924">
            <w:pPr>
              <w:keepNext w:val="0"/>
              <w:keepLines w:val="0"/>
              <w:pageBreakBefore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kern w:val="0"/>
                <w:sz w:val="24"/>
                <w:szCs w:val="24"/>
                <w:highlight w:val="none"/>
                <w:lang w:val="en-US" w:eastAsia="zh-CN"/>
              </w:rPr>
            </w:pPr>
            <w:r>
              <w:rPr>
                <w:rFonts w:hint="eastAsia" w:ascii="宋体" w:hAnsi="宋体" w:cs="宋体"/>
                <w:kern w:val="0"/>
                <w:sz w:val="24"/>
                <w:szCs w:val="24"/>
                <w:highlight w:val="none"/>
                <w:lang w:val="en-US" w:eastAsia="zh-CN"/>
              </w:rPr>
              <w:t>3</w:t>
            </w:r>
            <w:r>
              <w:rPr>
                <w:rFonts w:hint="eastAsia" w:ascii="宋体" w:hAnsi="宋体" w:eastAsia="宋体" w:cs="宋体"/>
                <w:kern w:val="0"/>
                <w:sz w:val="24"/>
                <w:szCs w:val="24"/>
                <w:highlight w:val="none"/>
                <w:lang w:val="en-US" w:eastAsia="zh-CN"/>
              </w:rPr>
              <w:t>0</w:t>
            </w:r>
          </w:p>
        </w:tc>
        <w:tc>
          <w:tcPr>
            <w:tcW w:w="0" w:type="auto"/>
            <w:noWrap w:val="0"/>
            <w:vAlign w:val="center"/>
          </w:tcPr>
          <w:p w14:paraId="344AF93A">
            <w:pPr>
              <w:pStyle w:val="73"/>
              <w:keepNext w:val="0"/>
              <w:keepLines w:val="0"/>
              <w:pageBreakBefore w:val="0"/>
              <w:kinsoku/>
              <w:wordWrap/>
              <w:overflowPunct/>
              <w:topLinePunct w:val="0"/>
              <w:autoSpaceDE/>
              <w:autoSpaceDN/>
              <w:bidi w:val="0"/>
              <w:adjustRightInd/>
              <w:snapToGrid w:val="0"/>
              <w:spacing w:line="360" w:lineRule="exact"/>
              <w:textAlignment w:val="auto"/>
              <w:rPr>
                <w:rFonts w:hint="eastAsia" w:ascii="宋体" w:hAnsi="宋体" w:eastAsia="宋体" w:cs="宋体"/>
                <w:i w:val="0"/>
                <w:iCs w:val="0"/>
                <w:color w:val="000000"/>
                <w:kern w:val="0"/>
                <w:sz w:val="24"/>
                <w:szCs w:val="24"/>
                <w:highlight w:val="none"/>
              </w:rPr>
            </w:pPr>
            <w:r>
              <w:rPr>
                <w:rFonts w:hint="eastAsia" w:ascii="宋体" w:hAnsi="宋体" w:eastAsia="宋体" w:cs="宋体"/>
                <w:color w:val="000000"/>
                <w:kern w:val="0"/>
                <w:sz w:val="24"/>
                <w:szCs w:val="24"/>
                <w:highlight w:val="none"/>
              </w:rPr>
              <w:t>采用低价优先法计算，即满足磋商文件要求且最终报价最低的磋商总报价为</w:t>
            </w:r>
            <w:r>
              <w:rPr>
                <w:rFonts w:hint="eastAsia" w:ascii="宋体" w:hAnsi="宋体" w:eastAsia="宋体" w:cs="宋体"/>
                <w:i w:val="0"/>
                <w:iCs w:val="0"/>
                <w:color w:val="000000"/>
                <w:kern w:val="0"/>
                <w:sz w:val="24"/>
                <w:szCs w:val="24"/>
                <w:highlight w:val="none"/>
              </w:rPr>
              <w:t>评审基准价，其价格分为满分。</w:t>
            </w:r>
          </w:p>
          <w:p w14:paraId="06030972">
            <w:pPr>
              <w:pStyle w:val="73"/>
              <w:keepNext w:val="0"/>
              <w:keepLines w:val="0"/>
              <w:pageBreakBefore w:val="0"/>
              <w:kinsoku/>
              <w:wordWrap/>
              <w:overflowPunct/>
              <w:topLinePunct w:val="0"/>
              <w:autoSpaceDE/>
              <w:autoSpaceDN/>
              <w:bidi w:val="0"/>
              <w:adjustRightInd/>
              <w:snapToGrid w:val="0"/>
              <w:spacing w:line="360" w:lineRule="exact"/>
              <w:textAlignment w:val="auto"/>
              <w:rPr>
                <w:rFonts w:hint="eastAsia" w:ascii="宋体" w:hAnsi="宋体" w:eastAsia="宋体" w:cs="宋体"/>
                <w:i w:val="0"/>
                <w:iCs w:val="0"/>
                <w:color w:val="000000"/>
                <w:kern w:val="0"/>
                <w:sz w:val="24"/>
                <w:szCs w:val="24"/>
                <w:highlight w:val="none"/>
                <w:lang w:val="en-US" w:eastAsia="zh-CN"/>
              </w:rPr>
            </w:pPr>
            <w:r>
              <w:rPr>
                <w:rFonts w:hint="eastAsia" w:ascii="宋体" w:hAnsi="宋体" w:eastAsia="宋体" w:cs="宋体"/>
                <w:i w:val="0"/>
                <w:iCs w:val="0"/>
                <w:color w:val="000000"/>
                <w:kern w:val="0"/>
                <w:sz w:val="24"/>
                <w:szCs w:val="24"/>
                <w:highlight w:val="none"/>
              </w:rPr>
              <w:t>报价得分＝（评审基准价/磋商总报价）×</w:t>
            </w:r>
            <w:r>
              <w:rPr>
                <w:rFonts w:hint="eastAsia" w:ascii="宋体" w:hAnsi="宋体" w:cs="宋体"/>
                <w:i w:val="0"/>
                <w:iCs w:val="0"/>
                <w:color w:val="000000"/>
                <w:kern w:val="0"/>
                <w:sz w:val="24"/>
                <w:szCs w:val="24"/>
                <w:highlight w:val="none"/>
                <w:lang w:val="en-US" w:eastAsia="zh-CN"/>
              </w:rPr>
              <w:t>3</w:t>
            </w:r>
            <w:r>
              <w:rPr>
                <w:rFonts w:hint="eastAsia" w:ascii="宋体" w:hAnsi="宋体" w:eastAsia="宋体" w:cs="宋体"/>
                <w:i w:val="0"/>
                <w:iCs w:val="0"/>
                <w:color w:val="000000"/>
                <w:kern w:val="0"/>
                <w:sz w:val="24"/>
                <w:szCs w:val="24"/>
                <w:highlight w:val="none"/>
                <w:lang w:val="en-US" w:eastAsia="zh-CN"/>
              </w:rPr>
              <w:t>0</w:t>
            </w:r>
          </w:p>
          <w:p w14:paraId="2765E129">
            <w:pPr>
              <w:keepNext w:val="0"/>
              <w:keepLines w:val="0"/>
              <w:pageBreakBefore w:val="0"/>
              <w:kinsoku/>
              <w:wordWrap/>
              <w:overflowPunct/>
              <w:topLinePunct w:val="0"/>
              <w:autoSpaceDE/>
              <w:autoSpaceDN/>
              <w:bidi w:val="0"/>
              <w:adjustRightInd/>
              <w:snapToGrid w:val="0"/>
              <w:spacing w:line="360" w:lineRule="exac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rPr>
              <w:t>注：磋商小组认为供应商的报价明显低于其他通过符合性审查供应商的报价，有可能影响服务质量或者不能诚信履约的，应当要求其在磋商现场合理的时间内提供书面说明，必要时提交相关证明材料；供应商不能证明其报价合理性的，磋商小组应当将其作为无效处理。</w:t>
            </w:r>
          </w:p>
        </w:tc>
      </w:tr>
    </w:tbl>
    <w:p w14:paraId="34355796">
      <w:pPr>
        <w:pStyle w:val="119"/>
        <w:rPr>
          <w:rFonts w:hint="default" w:ascii="宋体" w:hAnsi="宋体" w:eastAsia="宋体" w:cs="Times New Roman"/>
          <w:kern w:val="2"/>
          <w:sz w:val="24"/>
          <w:szCs w:val="24"/>
          <w:lang w:val="en-US" w:eastAsia="zh-CN" w:bidi="ar-SA"/>
        </w:rPr>
      </w:pPr>
      <w:r>
        <w:rPr>
          <w:rFonts w:hint="default" w:ascii="宋体" w:hAnsi="宋体" w:eastAsia="宋体" w:cs="Times New Roman"/>
          <w:kern w:val="2"/>
          <w:sz w:val="24"/>
          <w:szCs w:val="24"/>
          <w:lang w:val="en-US" w:eastAsia="zh-CN" w:bidi="ar-SA"/>
        </w:rPr>
        <w:t>价格扣除</w:t>
      </w:r>
      <w:r>
        <w:rPr>
          <w:rFonts w:hint="eastAsia" w:ascii="宋体" w:hAnsi="宋体" w:eastAsia="宋体" w:cs="Times New Roman"/>
          <w:kern w:val="2"/>
          <w:sz w:val="24"/>
          <w:szCs w:val="24"/>
          <w:lang w:val="en-US" w:eastAsia="zh-CN" w:bidi="ar-SA"/>
        </w:rPr>
        <w:t>：</w:t>
      </w:r>
    </w:p>
    <w:tbl>
      <w:tblPr>
        <w:tblStyle w:val="30"/>
        <w:tblW w:w="4998"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21"/>
        <w:gridCol w:w="1504"/>
        <w:gridCol w:w="1385"/>
        <w:gridCol w:w="1109"/>
        <w:gridCol w:w="4463"/>
      </w:tblGrid>
      <w:tr w14:paraId="185394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22" w:hRule="atLeast"/>
        </w:trPr>
        <w:tc>
          <w:tcPr>
            <w:tcW w:w="442" w:type="pct"/>
            <w:vAlign w:val="center"/>
          </w:tcPr>
          <w:p w14:paraId="03BDDBC8">
            <w:pPr>
              <w:pStyle w:val="119"/>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810" w:type="pct"/>
            <w:vAlign w:val="center"/>
          </w:tcPr>
          <w:p w14:paraId="2C46D87A">
            <w:pPr>
              <w:pStyle w:val="119"/>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情形</w:t>
            </w:r>
          </w:p>
        </w:tc>
        <w:tc>
          <w:tcPr>
            <w:tcW w:w="746" w:type="pct"/>
            <w:vAlign w:val="center"/>
          </w:tcPr>
          <w:p w14:paraId="3E659BBB">
            <w:pPr>
              <w:pStyle w:val="119"/>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适用对象</w:t>
            </w:r>
          </w:p>
        </w:tc>
        <w:tc>
          <w:tcPr>
            <w:tcW w:w="597" w:type="pct"/>
            <w:vAlign w:val="center"/>
          </w:tcPr>
          <w:p w14:paraId="455C29D5">
            <w:pPr>
              <w:pStyle w:val="119"/>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比例</w:t>
            </w:r>
          </w:p>
        </w:tc>
        <w:tc>
          <w:tcPr>
            <w:tcW w:w="2403" w:type="pct"/>
            <w:vAlign w:val="center"/>
          </w:tcPr>
          <w:p w14:paraId="3B17E59B">
            <w:pPr>
              <w:pStyle w:val="119"/>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说明</w:t>
            </w:r>
          </w:p>
        </w:tc>
      </w:tr>
      <w:tr w14:paraId="4E0A27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04" w:hRule="atLeast"/>
        </w:trPr>
        <w:tc>
          <w:tcPr>
            <w:tcW w:w="442" w:type="pct"/>
            <w:vAlign w:val="center"/>
          </w:tcPr>
          <w:p w14:paraId="1D61574F">
            <w:pPr>
              <w:pStyle w:val="119"/>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810" w:type="pct"/>
            <w:vAlign w:val="center"/>
          </w:tcPr>
          <w:p w14:paraId="23C1F904">
            <w:pPr>
              <w:pStyle w:val="119"/>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无</w:t>
            </w:r>
          </w:p>
        </w:tc>
        <w:tc>
          <w:tcPr>
            <w:tcW w:w="746" w:type="pct"/>
            <w:vAlign w:val="center"/>
          </w:tcPr>
          <w:p w14:paraId="29768BF9">
            <w:pPr>
              <w:pStyle w:val="119"/>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4"/>
                <w:szCs w:val="24"/>
              </w:rPr>
            </w:pPr>
          </w:p>
        </w:tc>
        <w:tc>
          <w:tcPr>
            <w:tcW w:w="597" w:type="pct"/>
            <w:vAlign w:val="center"/>
          </w:tcPr>
          <w:p w14:paraId="00296FF1">
            <w:pPr>
              <w:pStyle w:val="119"/>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4"/>
                <w:szCs w:val="24"/>
              </w:rPr>
            </w:pPr>
          </w:p>
        </w:tc>
        <w:tc>
          <w:tcPr>
            <w:tcW w:w="2403" w:type="pct"/>
            <w:vAlign w:val="center"/>
          </w:tcPr>
          <w:p w14:paraId="7D4AFCF4">
            <w:pPr>
              <w:pStyle w:val="119"/>
              <w:keepNext w:val="0"/>
              <w:keepLines w:val="0"/>
              <w:pageBreakBefore w:val="0"/>
              <w:widowControl/>
              <w:kinsoku/>
              <w:wordWrap/>
              <w:overflowPunct/>
              <w:topLinePunct w:val="0"/>
              <w:autoSpaceDE/>
              <w:autoSpaceDN/>
              <w:bidi w:val="0"/>
              <w:adjustRightInd/>
              <w:snapToGrid w:val="0"/>
              <w:spacing w:line="360" w:lineRule="exact"/>
              <w:ind w:firstLine="480" w:firstLineChars="200"/>
              <w:jc w:val="left"/>
              <w:textAlignment w:val="auto"/>
              <w:rPr>
                <w:rFonts w:hint="eastAsia" w:ascii="宋体" w:hAnsi="宋体" w:eastAsia="宋体" w:cs="宋体"/>
                <w:sz w:val="24"/>
                <w:szCs w:val="24"/>
                <w:lang w:eastAsia="zh-CN"/>
              </w:rPr>
            </w:pPr>
          </w:p>
        </w:tc>
      </w:tr>
    </w:tbl>
    <w:p w14:paraId="1E78B988">
      <w:pPr>
        <w:spacing w:line="360" w:lineRule="auto"/>
        <w:ind w:firstLine="482" w:firstLineChars="200"/>
        <w:rPr>
          <w:rFonts w:ascii="宋体" w:hAnsi="宋体"/>
          <w:b/>
          <w:sz w:val="24"/>
        </w:rPr>
      </w:pPr>
      <w:r>
        <w:rPr>
          <w:rFonts w:hint="eastAsia" w:ascii="宋体" w:hAnsi="宋体"/>
          <w:b/>
          <w:sz w:val="24"/>
        </w:rPr>
        <w:t>备注</w:t>
      </w:r>
      <w:r>
        <w:rPr>
          <w:rFonts w:hint="eastAsia" w:ascii="宋体" w:hAnsi="宋体"/>
          <w:b/>
          <w:sz w:val="24"/>
          <w:lang w:val="en-US" w:eastAsia="zh-CN"/>
        </w:rPr>
        <w:t>4</w:t>
      </w:r>
      <w:r>
        <w:rPr>
          <w:rFonts w:hint="eastAsia" w:ascii="宋体" w:hAnsi="宋体"/>
          <w:b/>
          <w:sz w:val="24"/>
        </w:rPr>
        <w:t>：</w:t>
      </w:r>
    </w:p>
    <w:p w14:paraId="4900B34E">
      <w:pPr>
        <w:spacing w:line="360" w:lineRule="auto"/>
        <w:ind w:firstLine="470" w:firstLineChars="196"/>
        <w:rPr>
          <w:rFonts w:ascii="宋体" w:hAnsi="宋体"/>
          <w:sz w:val="24"/>
        </w:rPr>
      </w:pPr>
      <w:r>
        <w:rPr>
          <w:rFonts w:hint="eastAsia" w:ascii="宋体" w:hAnsi="宋体"/>
          <w:sz w:val="24"/>
        </w:rPr>
        <w:t>1) 若出现综合得分并列时，按磋商报价由低到高顺序排列；若报价仍相同，比较评审因素的量化指标评审得分，此分项得分高者排序在前；若评审因素的量化指标得分仍相同，则由评标委员会无记名投票，得票高者排序在前。</w:t>
      </w:r>
    </w:p>
    <w:p w14:paraId="6268D008">
      <w:pPr>
        <w:spacing w:line="360" w:lineRule="auto"/>
        <w:ind w:firstLine="470" w:firstLineChars="196"/>
        <w:rPr>
          <w:rFonts w:ascii="宋体" w:hAnsi="宋体"/>
          <w:b/>
          <w:sz w:val="24"/>
        </w:rPr>
      </w:pPr>
      <w:r>
        <w:rPr>
          <w:rFonts w:hint="eastAsia" w:ascii="宋体" w:hAnsi="宋体"/>
          <w:sz w:val="24"/>
        </w:rPr>
        <w:t>2) 磋商响应文件中缺少某分项时，该分项为0分。</w:t>
      </w:r>
    </w:p>
    <w:p w14:paraId="6EB1CE00">
      <w:pPr>
        <w:spacing w:line="360" w:lineRule="auto"/>
        <w:ind w:firstLine="470" w:firstLineChars="196"/>
        <w:rPr>
          <w:rFonts w:ascii="宋体" w:hAnsi="宋体"/>
          <w:b/>
          <w:sz w:val="24"/>
        </w:rPr>
      </w:pPr>
      <w:r>
        <w:rPr>
          <w:rFonts w:hint="eastAsia" w:ascii="宋体" w:hAnsi="宋体"/>
          <w:sz w:val="24"/>
        </w:rPr>
        <w:t>3) 评委打分超过得分界限或未按本方法赋分时，该评委的打分按废票处理。</w:t>
      </w:r>
    </w:p>
    <w:p w14:paraId="0130EC92">
      <w:pPr>
        <w:spacing w:line="360" w:lineRule="auto"/>
        <w:ind w:firstLine="470" w:firstLineChars="196"/>
        <w:rPr>
          <w:rFonts w:ascii="宋体" w:hAnsi="宋体"/>
          <w:b/>
          <w:sz w:val="24"/>
        </w:rPr>
      </w:pPr>
      <w:r>
        <w:rPr>
          <w:rFonts w:hint="eastAsia" w:ascii="宋体" w:hAnsi="宋体"/>
          <w:sz w:val="24"/>
        </w:rPr>
        <w:t>4) 各种计算采用插入法，数字均保留两位小数，第三位“四舍五入”。</w:t>
      </w:r>
    </w:p>
    <w:p w14:paraId="270D94F9">
      <w:pPr>
        <w:spacing w:line="360" w:lineRule="auto"/>
        <w:ind w:firstLine="470" w:firstLineChars="196"/>
        <w:rPr>
          <w:rFonts w:ascii="宋体" w:hAnsi="宋体"/>
          <w:sz w:val="24"/>
        </w:rPr>
      </w:pPr>
      <w:r>
        <w:rPr>
          <w:rFonts w:hint="eastAsia" w:ascii="宋体" w:hAnsi="宋体"/>
          <w:sz w:val="24"/>
        </w:rPr>
        <w:t>5)</w:t>
      </w:r>
      <w:r>
        <w:rPr>
          <w:rFonts w:ascii="宋体" w:hAnsi="宋体"/>
          <w:sz w:val="24"/>
        </w:rPr>
        <w:t xml:space="preserve"> </w:t>
      </w:r>
      <w:r>
        <w:rPr>
          <w:rFonts w:hint="eastAsia" w:ascii="宋体" w:hAnsi="宋体"/>
          <w:sz w:val="24"/>
        </w:rPr>
        <w:t>最低报价不是中标的唯一条件。</w:t>
      </w:r>
    </w:p>
    <w:p w14:paraId="7F5659AA">
      <w:pPr>
        <w:spacing w:line="360" w:lineRule="auto"/>
        <w:ind w:firstLine="470" w:firstLineChars="196"/>
        <w:rPr>
          <w:rFonts w:ascii="宋体" w:hAnsi="宋体" w:cs="宋体"/>
          <w:sz w:val="24"/>
        </w:rPr>
      </w:pPr>
      <w:r>
        <w:rPr>
          <w:rFonts w:hint="eastAsia" w:ascii="宋体" w:hAnsi="宋体"/>
          <w:sz w:val="24"/>
        </w:rPr>
        <w:t>6)</w:t>
      </w:r>
      <w:r>
        <w:rPr>
          <w:rFonts w:ascii="宋体" w:hAnsi="宋体"/>
          <w:sz w:val="24"/>
        </w:rPr>
        <w:t xml:space="preserve"> </w:t>
      </w:r>
      <w:r>
        <w:rPr>
          <w:rFonts w:hint="eastAsia" w:ascii="宋体" w:hAnsi="宋体" w:cs="宋体"/>
          <w:sz w:val="24"/>
        </w:rPr>
        <w:t>每项业绩不重复得分，以该项业绩适用的最高分值计入总分。</w:t>
      </w:r>
    </w:p>
    <w:p w14:paraId="3E580C96">
      <w:pPr>
        <w:spacing w:line="360" w:lineRule="auto"/>
        <w:rPr>
          <w:rFonts w:hint="eastAsia" w:ascii="宋体" w:hAnsi="宋体" w:cs="宋体"/>
          <w:sz w:val="24"/>
        </w:rPr>
      </w:pPr>
      <w:r>
        <w:rPr>
          <w:rFonts w:hint="eastAsia" w:ascii="宋体" w:hAnsi="宋体"/>
          <w:b/>
          <w:sz w:val="24"/>
        </w:rPr>
        <w:t>8、成交</w:t>
      </w:r>
    </w:p>
    <w:p w14:paraId="7B15B932">
      <w:pPr>
        <w:spacing w:line="360" w:lineRule="auto"/>
        <w:ind w:firstLine="240" w:firstLineChars="100"/>
        <w:rPr>
          <w:rFonts w:hint="eastAsia" w:ascii="宋体" w:hAnsi="宋体"/>
          <w:sz w:val="24"/>
        </w:rPr>
      </w:pPr>
      <w:r>
        <w:rPr>
          <w:rFonts w:hint="eastAsia" w:ascii="宋体" w:hAnsi="宋体"/>
          <w:sz w:val="24"/>
        </w:rPr>
        <w:t xml:space="preserve"> （1）采购代理机构在磋商结束后于</w:t>
      </w:r>
      <w:r>
        <w:rPr>
          <w:rFonts w:ascii="宋体" w:hAnsi="宋体"/>
          <w:sz w:val="24"/>
        </w:rPr>
        <w:t>法定时间内</w:t>
      </w:r>
      <w:r>
        <w:rPr>
          <w:rFonts w:hint="eastAsia" w:ascii="宋体" w:hAnsi="宋体"/>
          <w:sz w:val="24"/>
        </w:rPr>
        <w:t>将磋商结果报告送达采购人，采购人在收到磋商结果报告后，按照磋商结果报告中推荐的成交候选供应商顺序确定成交供应商，</w:t>
      </w:r>
      <w:r>
        <w:rPr>
          <w:rFonts w:hint="eastAsia" w:ascii="宋体" w:hAnsi="宋体"/>
          <w:sz w:val="24"/>
          <w:lang w:val="en-US" w:eastAsia="zh-CN"/>
        </w:rPr>
        <w:t>2个工作日内日</w:t>
      </w:r>
      <w:r>
        <w:rPr>
          <w:rFonts w:hint="eastAsia" w:ascii="宋体" w:hAnsi="宋体"/>
          <w:sz w:val="24"/>
        </w:rPr>
        <w:t>书面复函采购代理机构；</w:t>
      </w:r>
    </w:p>
    <w:p w14:paraId="198C8840">
      <w:pPr>
        <w:spacing w:line="360" w:lineRule="auto"/>
        <w:ind w:firstLine="240" w:firstLineChars="100"/>
        <w:rPr>
          <w:rFonts w:hint="eastAsia" w:ascii="宋体" w:hAnsi="宋体"/>
          <w:sz w:val="24"/>
        </w:rPr>
      </w:pPr>
      <w:r>
        <w:rPr>
          <w:rFonts w:hint="eastAsia" w:ascii="宋体" w:hAnsi="宋体"/>
          <w:sz w:val="24"/>
        </w:rPr>
        <w:t xml:space="preserve"> （2）采购代理机构收到采购人“成交复函”后，</w:t>
      </w:r>
      <w:r>
        <w:rPr>
          <w:rFonts w:hint="eastAsia" w:ascii="宋体" w:hAnsi="宋体"/>
          <w:sz w:val="24"/>
          <w:lang w:val="en-US" w:eastAsia="zh-CN"/>
        </w:rPr>
        <w:t>2个工作日内日</w:t>
      </w:r>
      <w:r>
        <w:rPr>
          <w:rFonts w:hint="eastAsia" w:ascii="宋体" w:hAnsi="宋体"/>
          <w:sz w:val="24"/>
        </w:rPr>
        <w:t>在采购信息媒体上发布公告，</w:t>
      </w:r>
      <w:r>
        <w:rPr>
          <w:rFonts w:hint="eastAsia" w:ascii="宋体" w:hAnsi="宋体"/>
          <w:sz w:val="24"/>
          <w:lang w:val="en-US" w:eastAsia="zh-CN"/>
        </w:rPr>
        <w:t>2个工作日内日</w:t>
      </w:r>
      <w:r>
        <w:rPr>
          <w:rFonts w:hint="eastAsia" w:ascii="宋体" w:hAnsi="宋体"/>
          <w:sz w:val="24"/>
        </w:rPr>
        <w:t>向成交供应商发出“成交通知书”。</w:t>
      </w:r>
    </w:p>
    <w:p w14:paraId="3D109DB1">
      <w:pPr>
        <w:tabs>
          <w:tab w:val="left" w:pos="426"/>
        </w:tabs>
        <w:jc w:val="center"/>
        <w:rPr>
          <w:rFonts w:hint="eastAsia" w:ascii="宋体" w:hAnsi="宋体"/>
          <w:b/>
          <w:sz w:val="30"/>
          <w:szCs w:val="30"/>
        </w:rPr>
      </w:pPr>
      <w:r>
        <w:rPr>
          <w:rFonts w:hint="eastAsia" w:ascii="宋体" w:hAnsi="宋体"/>
          <w:b/>
          <w:sz w:val="30"/>
          <w:szCs w:val="30"/>
        </w:rPr>
        <w:t>七．签订合同</w:t>
      </w:r>
    </w:p>
    <w:p w14:paraId="74646F13">
      <w:pPr>
        <w:spacing w:line="460" w:lineRule="exact"/>
        <w:ind w:firstLine="480" w:firstLineChars="200"/>
        <w:rPr>
          <w:rFonts w:ascii="宋体" w:hAnsi="宋体"/>
          <w:sz w:val="24"/>
        </w:rPr>
      </w:pPr>
      <w:r>
        <w:rPr>
          <w:rFonts w:ascii="宋体" w:hAnsi="宋体"/>
          <w:sz w:val="24"/>
        </w:rPr>
        <w:t>1</w:t>
      </w:r>
      <w:r>
        <w:rPr>
          <w:rFonts w:hint="eastAsia" w:ascii="宋体" w:hAnsi="宋体"/>
          <w:sz w:val="24"/>
        </w:rPr>
        <w:t>、磋商文件、磋商文件的修改、补充文件,成交供应商的响应文件、补充或修改的文件及澄清或承诺文件等，均为双方签订《合同》的组成部分,并与《合同》一并作为本磋商文件所列采购项目的互补性法律文件，与《合同》具有同等法律效力。</w:t>
      </w:r>
    </w:p>
    <w:p w14:paraId="07D7C020">
      <w:pPr>
        <w:spacing w:line="460" w:lineRule="exact"/>
        <w:ind w:firstLine="480" w:firstLineChars="200"/>
        <w:rPr>
          <w:rFonts w:ascii="宋体" w:hAnsi="宋体"/>
          <w:sz w:val="24"/>
        </w:rPr>
      </w:pPr>
      <w:r>
        <w:rPr>
          <w:rFonts w:ascii="宋体" w:hAnsi="宋体"/>
          <w:sz w:val="24"/>
        </w:rPr>
        <w:t>2</w:t>
      </w:r>
      <w:r>
        <w:rPr>
          <w:rFonts w:hint="eastAsia" w:ascii="宋体" w:hAnsi="宋体"/>
          <w:sz w:val="24"/>
        </w:rPr>
        <w:t>、</w:t>
      </w:r>
      <w:r>
        <w:rPr>
          <w:rFonts w:ascii="宋体" w:hAnsi="宋体"/>
          <w:sz w:val="24"/>
        </w:rPr>
        <w:t>采购人和</w:t>
      </w:r>
      <w:r>
        <w:rPr>
          <w:rFonts w:hint="eastAsia" w:ascii="宋体" w:hAnsi="宋体"/>
          <w:sz w:val="24"/>
        </w:rPr>
        <w:t>成交供应商</w:t>
      </w:r>
      <w:r>
        <w:rPr>
          <w:rFonts w:ascii="宋体" w:hAnsi="宋体"/>
          <w:sz w:val="24"/>
        </w:rPr>
        <w:t>应当自</w:t>
      </w:r>
      <w:r>
        <w:rPr>
          <w:rFonts w:hint="eastAsia" w:ascii="宋体" w:hAnsi="宋体"/>
          <w:sz w:val="24"/>
        </w:rPr>
        <w:t>成交通知书</w:t>
      </w:r>
      <w:r>
        <w:rPr>
          <w:rFonts w:ascii="宋体" w:hAnsi="宋体"/>
          <w:sz w:val="24"/>
        </w:rPr>
        <w:t>发出之日</w:t>
      </w:r>
      <w:r>
        <w:rPr>
          <w:rFonts w:hint="eastAsia" w:ascii="宋体" w:hAnsi="宋体"/>
          <w:sz w:val="24"/>
        </w:rPr>
        <w:t>后，</w:t>
      </w:r>
      <w:r>
        <w:rPr>
          <w:rFonts w:ascii="宋体" w:hAnsi="宋体"/>
          <w:sz w:val="24"/>
        </w:rPr>
        <w:t>根据</w:t>
      </w:r>
      <w:r>
        <w:rPr>
          <w:rFonts w:hint="eastAsia" w:ascii="宋体" w:hAnsi="宋体"/>
          <w:sz w:val="24"/>
        </w:rPr>
        <w:t>磋商</w:t>
      </w:r>
      <w:r>
        <w:rPr>
          <w:rFonts w:ascii="宋体" w:hAnsi="宋体"/>
          <w:sz w:val="24"/>
        </w:rPr>
        <w:t>文件确定的事项和</w:t>
      </w:r>
      <w:r>
        <w:rPr>
          <w:rFonts w:hint="eastAsia" w:ascii="宋体" w:hAnsi="宋体"/>
          <w:sz w:val="24"/>
        </w:rPr>
        <w:t>成交供应商</w:t>
      </w:r>
      <w:r>
        <w:rPr>
          <w:rFonts w:ascii="宋体" w:hAnsi="宋体"/>
          <w:sz w:val="24"/>
        </w:rPr>
        <w:t>的</w:t>
      </w:r>
      <w:r>
        <w:rPr>
          <w:rFonts w:hint="eastAsia" w:ascii="宋体" w:hAnsi="宋体"/>
          <w:sz w:val="24"/>
        </w:rPr>
        <w:t>响应文件</w:t>
      </w:r>
      <w:r>
        <w:rPr>
          <w:rFonts w:ascii="宋体" w:hAnsi="宋体"/>
          <w:sz w:val="24"/>
        </w:rPr>
        <w:t>,</w:t>
      </w:r>
      <w:r>
        <w:rPr>
          <w:rFonts w:hint="eastAsia" w:ascii="宋体" w:hAnsi="宋体"/>
          <w:sz w:val="24"/>
        </w:rPr>
        <w:t>参</w:t>
      </w:r>
      <w:r>
        <w:rPr>
          <w:rFonts w:ascii="宋体" w:hAnsi="宋体"/>
          <w:sz w:val="24"/>
        </w:rPr>
        <w:t>照本</w:t>
      </w:r>
      <w:r>
        <w:rPr>
          <w:rFonts w:hint="eastAsia" w:ascii="宋体" w:hAnsi="宋体"/>
          <w:sz w:val="24"/>
        </w:rPr>
        <w:t>磋商</w:t>
      </w:r>
      <w:r>
        <w:rPr>
          <w:rFonts w:ascii="宋体" w:hAnsi="宋体"/>
          <w:sz w:val="24"/>
        </w:rPr>
        <w:t>文件</w:t>
      </w:r>
      <w:r>
        <w:rPr>
          <w:rFonts w:hint="eastAsia" w:ascii="宋体" w:hAnsi="宋体"/>
          <w:sz w:val="24"/>
        </w:rPr>
        <w:t>《合同范本》</w:t>
      </w:r>
      <w:r>
        <w:rPr>
          <w:rFonts w:ascii="宋体" w:hAnsi="宋体"/>
          <w:sz w:val="24"/>
        </w:rPr>
        <w:t>订立书面合同</w:t>
      </w:r>
      <w:r>
        <w:rPr>
          <w:rFonts w:hint="eastAsia" w:ascii="宋体" w:hAnsi="宋体"/>
          <w:sz w:val="24"/>
        </w:rPr>
        <w:t>。</w:t>
      </w:r>
      <w:r>
        <w:rPr>
          <w:rFonts w:ascii="宋体" w:hAnsi="宋体"/>
          <w:sz w:val="24"/>
        </w:rPr>
        <w:t>合同的标的</w:t>
      </w:r>
      <w:r>
        <w:rPr>
          <w:rFonts w:hint="eastAsia" w:ascii="宋体" w:hAnsi="宋体"/>
          <w:sz w:val="24"/>
        </w:rPr>
        <w:t>、</w:t>
      </w:r>
      <w:r>
        <w:rPr>
          <w:rFonts w:ascii="宋体" w:hAnsi="宋体"/>
          <w:sz w:val="24"/>
        </w:rPr>
        <w:t>价款</w:t>
      </w:r>
      <w:r>
        <w:rPr>
          <w:rFonts w:hint="eastAsia" w:ascii="宋体" w:hAnsi="宋体"/>
          <w:sz w:val="24"/>
        </w:rPr>
        <w:t>、</w:t>
      </w:r>
      <w:r>
        <w:rPr>
          <w:rFonts w:ascii="宋体" w:hAnsi="宋体"/>
          <w:sz w:val="24"/>
        </w:rPr>
        <w:t>质量、履行期限等主要条款应当与</w:t>
      </w:r>
      <w:r>
        <w:rPr>
          <w:rFonts w:hint="eastAsia" w:ascii="宋体" w:hAnsi="宋体"/>
          <w:sz w:val="24"/>
        </w:rPr>
        <w:t>磋商</w:t>
      </w:r>
      <w:r>
        <w:rPr>
          <w:rFonts w:ascii="宋体" w:hAnsi="宋体"/>
          <w:sz w:val="24"/>
        </w:rPr>
        <w:t>文件和</w:t>
      </w:r>
      <w:r>
        <w:rPr>
          <w:rFonts w:hint="eastAsia" w:ascii="宋体" w:hAnsi="宋体"/>
          <w:sz w:val="24"/>
        </w:rPr>
        <w:t>成交供应商</w:t>
      </w:r>
      <w:r>
        <w:rPr>
          <w:rFonts w:ascii="宋体" w:hAnsi="宋体"/>
          <w:sz w:val="24"/>
        </w:rPr>
        <w:t>的</w:t>
      </w:r>
      <w:r>
        <w:rPr>
          <w:rFonts w:hint="eastAsia" w:ascii="宋体" w:hAnsi="宋体"/>
          <w:sz w:val="24"/>
        </w:rPr>
        <w:t>响应文件内容</w:t>
      </w:r>
      <w:r>
        <w:rPr>
          <w:rFonts w:ascii="宋体" w:hAnsi="宋体"/>
          <w:sz w:val="24"/>
        </w:rPr>
        <w:t>一致</w:t>
      </w:r>
      <w:r>
        <w:rPr>
          <w:rFonts w:hint="eastAsia" w:ascii="宋体" w:hAnsi="宋体"/>
          <w:sz w:val="24"/>
        </w:rPr>
        <w:t>。</w:t>
      </w:r>
      <w:r>
        <w:rPr>
          <w:rFonts w:ascii="宋体" w:hAnsi="宋体"/>
          <w:sz w:val="24"/>
        </w:rPr>
        <w:t>采购人或</w:t>
      </w:r>
      <w:r>
        <w:rPr>
          <w:rFonts w:hint="eastAsia" w:ascii="宋体" w:hAnsi="宋体"/>
          <w:sz w:val="24"/>
        </w:rPr>
        <w:t>成交供应商</w:t>
      </w:r>
      <w:r>
        <w:rPr>
          <w:rFonts w:ascii="宋体" w:hAnsi="宋体"/>
          <w:sz w:val="24"/>
        </w:rPr>
        <w:t>不得拒绝</w:t>
      </w:r>
      <w:r>
        <w:rPr>
          <w:rFonts w:hint="eastAsia" w:ascii="宋体" w:hAnsi="宋体"/>
          <w:sz w:val="24"/>
        </w:rPr>
        <w:t>或</w:t>
      </w:r>
      <w:r>
        <w:rPr>
          <w:rFonts w:ascii="宋体" w:hAnsi="宋体"/>
          <w:sz w:val="24"/>
        </w:rPr>
        <w:t>拖延与另一方签订合同</w:t>
      </w:r>
      <w:r>
        <w:rPr>
          <w:rFonts w:hint="eastAsia" w:ascii="宋体" w:hAnsi="宋体"/>
          <w:sz w:val="24"/>
        </w:rPr>
        <w:t>，</w:t>
      </w:r>
      <w:r>
        <w:rPr>
          <w:rFonts w:ascii="宋体" w:hAnsi="宋体"/>
          <w:sz w:val="24"/>
        </w:rPr>
        <w:t>采购人和</w:t>
      </w:r>
      <w:r>
        <w:rPr>
          <w:rFonts w:hint="eastAsia" w:ascii="宋体" w:hAnsi="宋体"/>
          <w:sz w:val="24"/>
        </w:rPr>
        <w:t>成交供应商</w:t>
      </w:r>
      <w:r>
        <w:rPr>
          <w:rFonts w:ascii="宋体" w:hAnsi="宋体"/>
          <w:sz w:val="24"/>
        </w:rPr>
        <w:t>不得再行订立背离</w:t>
      </w:r>
      <w:r>
        <w:rPr>
          <w:rFonts w:hint="eastAsia" w:ascii="宋体" w:hAnsi="宋体"/>
          <w:sz w:val="24"/>
        </w:rPr>
        <w:t>磋商</w:t>
      </w:r>
      <w:r>
        <w:rPr>
          <w:rFonts w:ascii="宋体" w:hAnsi="宋体"/>
          <w:sz w:val="24"/>
        </w:rPr>
        <w:t>文件</w:t>
      </w:r>
      <w:r>
        <w:rPr>
          <w:rFonts w:hint="eastAsia" w:ascii="宋体" w:hAnsi="宋体"/>
          <w:sz w:val="24"/>
        </w:rPr>
        <w:t>、响应文件</w:t>
      </w:r>
      <w:r>
        <w:rPr>
          <w:rFonts w:ascii="宋体" w:hAnsi="宋体"/>
          <w:sz w:val="24"/>
        </w:rPr>
        <w:t>实质性内容的其他协议或其他附加条件</w:t>
      </w:r>
      <w:r>
        <w:rPr>
          <w:rFonts w:hint="eastAsia" w:ascii="宋体" w:hAnsi="宋体"/>
          <w:sz w:val="24"/>
        </w:rPr>
        <w:t>。</w:t>
      </w:r>
    </w:p>
    <w:p w14:paraId="549D4936">
      <w:pPr>
        <w:spacing w:line="460" w:lineRule="exact"/>
        <w:ind w:firstLine="480" w:firstLineChars="200"/>
        <w:rPr>
          <w:rFonts w:hint="eastAsia" w:ascii="宋体" w:hAnsi="宋体"/>
          <w:sz w:val="24"/>
        </w:rPr>
      </w:pPr>
      <w:r>
        <w:rPr>
          <w:rFonts w:ascii="宋体" w:hAnsi="宋体"/>
          <w:sz w:val="24"/>
        </w:rPr>
        <w:t>3</w:t>
      </w:r>
      <w:r>
        <w:rPr>
          <w:rFonts w:hint="eastAsia" w:ascii="宋体" w:hAnsi="宋体"/>
          <w:sz w:val="24"/>
        </w:rPr>
        <w:t>、采购合同履行中，采购人需追加与合同标的相同的货物、工程或者服务的，在不改变合同其他条款的前提下，可以根据相关政策法规与成交供应商协商签订补充合同。</w:t>
      </w:r>
    </w:p>
    <w:p w14:paraId="6F4E0352">
      <w:pPr>
        <w:spacing w:line="460" w:lineRule="exact"/>
        <w:ind w:firstLine="480" w:firstLineChars="200"/>
        <w:rPr>
          <w:rFonts w:ascii="宋体" w:hAnsi="宋体"/>
          <w:sz w:val="24"/>
        </w:rPr>
      </w:pPr>
      <w:r>
        <w:rPr>
          <w:rFonts w:ascii="宋体" w:hAnsi="宋体"/>
          <w:sz w:val="24"/>
        </w:rPr>
        <w:t>4</w:t>
      </w:r>
      <w:r>
        <w:rPr>
          <w:rFonts w:hint="eastAsia" w:ascii="宋体" w:hAnsi="宋体"/>
          <w:sz w:val="24"/>
        </w:rPr>
        <w:t>、成交供应商无正当理由拒签合同的，或接到成交通知书后</w:t>
      </w:r>
      <w:r>
        <w:rPr>
          <w:rFonts w:ascii="宋体" w:hAnsi="宋体"/>
          <w:sz w:val="24"/>
        </w:rPr>
        <w:t>在</w:t>
      </w:r>
      <w:r>
        <w:rPr>
          <w:rFonts w:hint="eastAsia" w:ascii="宋体" w:hAnsi="宋体"/>
          <w:sz w:val="24"/>
        </w:rPr>
        <w:t>规定的时间内，借故拖延、拒签合同者，采购人取消其成交资格；给采购人造成的损失，成交供应商应当予以赔偿。</w:t>
      </w:r>
    </w:p>
    <w:p w14:paraId="1968FE1B">
      <w:pPr>
        <w:spacing w:line="460" w:lineRule="exact"/>
        <w:ind w:firstLine="480" w:firstLineChars="200"/>
        <w:rPr>
          <w:rFonts w:hint="eastAsia" w:ascii="宋体" w:hAnsi="宋体"/>
          <w:sz w:val="24"/>
        </w:rPr>
      </w:pPr>
      <w:r>
        <w:rPr>
          <w:rFonts w:hint="eastAsia" w:ascii="宋体" w:hAnsi="宋体"/>
          <w:sz w:val="24"/>
        </w:rPr>
        <w:t>发出成交通知书后，采购人无正当理由拒签合同，给成交供应商造成损失的，应当赔偿损失。</w:t>
      </w:r>
    </w:p>
    <w:p w14:paraId="273C06EB">
      <w:pPr>
        <w:spacing w:line="460" w:lineRule="exact"/>
        <w:ind w:firstLine="480" w:firstLineChars="200"/>
        <w:rPr>
          <w:rFonts w:ascii="宋体" w:hAnsi="宋体"/>
          <w:sz w:val="24"/>
        </w:rPr>
      </w:pPr>
      <w:r>
        <w:rPr>
          <w:rFonts w:hint="eastAsia" w:ascii="宋体" w:hAnsi="宋体"/>
          <w:sz w:val="24"/>
        </w:rPr>
        <w:t>逾期未签订合同，按照有关法律规定承担相应的法律责任。</w:t>
      </w:r>
    </w:p>
    <w:p w14:paraId="11E18C95">
      <w:pPr>
        <w:spacing w:line="460" w:lineRule="exact"/>
        <w:ind w:firstLine="480" w:firstLineChars="200"/>
        <w:rPr>
          <w:rFonts w:ascii="宋体" w:hAnsi="宋体"/>
          <w:sz w:val="24"/>
        </w:rPr>
      </w:pPr>
      <w:r>
        <w:rPr>
          <w:rFonts w:ascii="宋体" w:hAnsi="宋体"/>
          <w:sz w:val="24"/>
        </w:rPr>
        <w:t>5</w:t>
      </w:r>
      <w:r>
        <w:rPr>
          <w:rFonts w:hint="eastAsia" w:ascii="宋体" w:hAnsi="宋体"/>
          <w:sz w:val="24"/>
        </w:rPr>
        <w:t>、成交供应商</w:t>
      </w:r>
      <w:r>
        <w:rPr>
          <w:rFonts w:ascii="宋体" w:hAnsi="宋体"/>
          <w:sz w:val="24"/>
        </w:rPr>
        <w:t>应当按照合同约定履行义务，完成</w:t>
      </w:r>
      <w:r>
        <w:rPr>
          <w:rFonts w:hint="eastAsia" w:ascii="宋体" w:hAnsi="宋体"/>
          <w:sz w:val="24"/>
        </w:rPr>
        <w:t>成交</w:t>
      </w:r>
      <w:r>
        <w:rPr>
          <w:rFonts w:ascii="宋体" w:hAnsi="宋体"/>
          <w:sz w:val="24"/>
        </w:rPr>
        <w:t>的项目。</w:t>
      </w:r>
      <w:r>
        <w:rPr>
          <w:rFonts w:hint="eastAsia" w:ascii="宋体" w:hAnsi="宋体"/>
          <w:sz w:val="24"/>
        </w:rPr>
        <w:t>成交供应商</w:t>
      </w:r>
      <w:r>
        <w:rPr>
          <w:rFonts w:ascii="宋体" w:hAnsi="宋体"/>
          <w:sz w:val="24"/>
        </w:rPr>
        <w:t>不得向他人转让</w:t>
      </w:r>
      <w:r>
        <w:rPr>
          <w:rFonts w:hint="eastAsia" w:ascii="宋体" w:hAnsi="宋体"/>
          <w:sz w:val="24"/>
        </w:rPr>
        <w:t>成交</w:t>
      </w:r>
      <w:r>
        <w:rPr>
          <w:rFonts w:ascii="宋体" w:hAnsi="宋体"/>
          <w:sz w:val="24"/>
        </w:rPr>
        <w:t>的</w:t>
      </w:r>
      <w:r>
        <w:rPr>
          <w:rFonts w:hint="eastAsia" w:ascii="宋体" w:hAnsi="宋体"/>
          <w:sz w:val="24"/>
        </w:rPr>
        <w:t>项目</w:t>
      </w:r>
      <w:r>
        <w:rPr>
          <w:rFonts w:ascii="宋体" w:hAnsi="宋体"/>
          <w:sz w:val="24"/>
        </w:rPr>
        <w:t>。</w:t>
      </w:r>
    </w:p>
    <w:p w14:paraId="3F1D8DA9">
      <w:pPr>
        <w:spacing w:line="460" w:lineRule="exact"/>
        <w:ind w:firstLine="480" w:firstLineChars="200"/>
        <w:rPr>
          <w:rFonts w:hint="eastAsia" w:ascii="宋体" w:hAnsi="宋体"/>
          <w:sz w:val="24"/>
        </w:rPr>
      </w:pPr>
      <w:r>
        <w:rPr>
          <w:rFonts w:hint="eastAsia" w:ascii="宋体" w:hAnsi="宋体"/>
          <w:sz w:val="24"/>
        </w:rPr>
        <w:t>6、根据需要，采购代理机构可会同采购人负责监督、协调和处理履约过程中出现的问题；</w:t>
      </w:r>
    </w:p>
    <w:p w14:paraId="0DBCC56C">
      <w:pPr>
        <w:spacing w:line="460" w:lineRule="exact"/>
        <w:ind w:firstLine="480" w:firstLineChars="200"/>
        <w:rPr>
          <w:rFonts w:hint="eastAsia"/>
        </w:rPr>
      </w:pPr>
      <w:r>
        <w:rPr>
          <w:rFonts w:ascii="宋体" w:hAnsi="宋体"/>
          <w:sz w:val="24"/>
        </w:rPr>
        <w:t>7</w:t>
      </w:r>
      <w:r>
        <w:rPr>
          <w:rFonts w:hint="eastAsia" w:ascii="宋体" w:hAnsi="宋体"/>
          <w:sz w:val="24"/>
        </w:rPr>
        <w:t>、</w:t>
      </w:r>
      <w:r>
        <w:rPr>
          <w:rFonts w:ascii="宋体" w:hAnsi="宋体"/>
          <w:sz w:val="24"/>
        </w:rPr>
        <w:t>采购管理部门</w:t>
      </w:r>
      <w:r>
        <w:rPr>
          <w:rFonts w:hint="eastAsia" w:ascii="宋体" w:hAnsi="宋体"/>
          <w:sz w:val="24"/>
        </w:rPr>
        <w:t>在合同履行期间以及履行期后，可以随时检查项目的执行情况，对采购标准、采购内容进行调查核实，并对发现的问题进行处理。</w:t>
      </w:r>
    </w:p>
    <w:p w14:paraId="265570B4">
      <w:pPr>
        <w:spacing w:line="348" w:lineRule="auto"/>
        <w:jc w:val="center"/>
        <w:rPr>
          <w:rFonts w:hint="eastAsia" w:ascii="宋体" w:hAnsi="宋体"/>
          <w:b/>
          <w:sz w:val="30"/>
          <w:szCs w:val="30"/>
          <w:highlight w:val="none"/>
        </w:rPr>
      </w:pPr>
      <w:r>
        <w:rPr>
          <w:rFonts w:hint="eastAsia" w:ascii="宋体" w:hAnsi="宋体"/>
          <w:b/>
          <w:sz w:val="30"/>
          <w:szCs w:val="30"/>
          <w:highlight w:val="none"/>
        </w:rPr>
        <w:t>八．成交服务费</w:t>
      </w:r>
    </w:p>
    <w:p w14:paraId="7E12C373">
      <w:pPr>
        <w:spacing w:line="348" w:lineRule="auto"/>
        <w:ind w:firstLine="480" w:firstLineChars="200"/>
        <w:rPr>
          <w:rFonts w:ascii="宋体" w:hAnsi="宋体" w:cs="宋体"/>
          <w:b w:val="0"/>
          <w:bCs/>
          <w:sz w:val="24"/>
          <w:highlight w:val="none"/>
        </w:rPr>
      </w:pPr>
      <w:r>
        <w:rPr>
          <w:rFonts w:ascii="宋体" w:hAnsi="宋体" w:cs="宋体"/>
          <w:b w:val="0"/>
          <w:bCs/>
          <w:sz w:val="24"/>
          <w:highlight w:val="none"/>
        </w:rPr>
        <w:t>1、</w:t>
      </w:r>
      <w:r>
        <w:rPr>
          <w:rFonts w:hint="eastAsia" w:ascii="宋体" w:hAnsi="宋体" w:cs="宋体"/>
          <w:b w:val="0"/>
          <w:bCs/>
          <w:sz w:val="24"/>
          <w:highlight w:val="none"/>
        </w:rPr>
        <w:t>由</w:t>
      </w:r>
      <w:r>
        <w:rPr>
          <w:rFonts w:hint="eastAsia" w:ascii="宋体" w:hAnsi="宋体" w:cs="宋体"/>
          <w:b w:val="0"/>
          <w:bCs/>
          <w:sz w:val="24"/>
          <w:highlight w:val="none"/>
          <w:lang w:eastAsia="zh-CN"/>
        </w:rPr>
        <w:t>成交供应商</w:t>
      </w:r>
      <w:r>
        <w:rPr>
          <w:rFonts w:hint="eastAsia" w:ascii="宋体" w:hAnsi="宋体" w:cs="宋体"/>
          <w:b w:val="0"/>
          <w:bCs/>
          <w:sz w:val="24"/>
          <w:highlight w:val="none"/>
        </w:rPr>
        <w:t>向采购代理机构一次性支付。</w:t>
      </w:r>
      <w:r>
        <w:rPr>
          <w:rFonts w:hint="eastAsia" w:ascii="宋体" w:hAnsi="宋体" w:cs="宋体"/>
          <w:b w:val="0"/>
          <w:bCs/>
          <w:sz w:val="24"/>
          <w:highlight w:val="none"/>
          <w:lang w:val="en-US" w:eastAsia="zh-CN"/>
        </w:rPr>
        <w:t>代理费</w:t>
      </w:r>
      <w:r>
        <w:rPr>
          <w:rFonts w:hint="eastAsia" w:ascii="宋体" w:hAnsi="宋体" w:cs="宋体"/>
          <w:b w:val="0"/>
          <w:bCs/>
          <w:sz w:val="24"/>
          <w:highlight w:val="none"/>
        </w:rPr>
        <w:t>费金额人民币</w:t>
      </w:r>
      <w:r>
        <w:rPr>
          <w:rFonts w:hint="eastAsia" w:ascii="宋体" w:hAnsi="宋体" w:cs="宋体"/>
          <w:b w:val="0"/>
          <w:bCs/>
          <w:sz w:val="24"/>
          <w:highlight w:val="none"/>
          <w:lang w:eastAsia="zh-CN"/>
        </w:rPr>
        <w:t>肆千元整</w:t>
      </w:r>
      <w:r>
        <w:rPr>
          <w:rFonts w:hint="eastAsia" w:ascii="宋体" w:hAnsi="宋体" w:cs="宋体"/>
          <w:b w:val="0"/>
          <w:bCs/>
          <w:sz w:val="24"/>
          <w:highlight w:val="none"/>
        </w:rPr>
        <w:t>（¥</w:t>
      </w:r>
      <w:r>
        <w:rPr>
          <w:rFonts w:hint="eastAsia" w:ascii="宋体" w:hAnsi="宋体" w:cs="宋体"/>
          <w:b w:val="0"/>
          <w:bCs/>
          <w:sz w:val="24"/>
          <w:highlight w:val="none"/>
          <w:lang w:eastAsia="zh-CN"/>
        </w:rPr>
        <w:t>4000.00</w:t>
      </w:r>
      <w:r>
        <w:rPr>
          <w:rFonts w:hint="eastAsia" w:ascii="宋体" w:hAnsi="宋体" w:cs="宋体"/>
          <w:b w:val="0"/>
          <w:bCs/>
          <w:sz w:val="24"/>
          <w:highlight w:val="none"/>
        </w:rPr>
        <w:t>）。</w:t>
      </w:r>
    </w:p>
    <w:p w14:paraId="238DF614">
      <w:pPr>
        <w:spacing w:line="348" w:lineRule="auto"/>
        <w:ind w:firstLine="480" w:firstLineChars="200"/>
        <w:rPr>
          <w:rFonts w:hint="eastAsia" w:ascii="宋体" w:hAnsi="宋体" w:cs="宋体"/>
          <w:sz w:val="24"/>
        </w:rPr>
      </w:pPr>
      <w:r>
        <w:rPr>
          <w:rFonts w:ascii="宋体" w:hAnsi="宋体" w:cs="宋体"/>
          <w:sz w:val="24"/>
        </w:rPr>
        <w:t>2、</w:t>
      </w:r>
      <w:r>
        <w:rPr>
          <w:rFonts w:hint="eastAsia" w:ascii="宋体" w:hAnsi="宋体"/>
          <w:sz w:val="24"/>
        </w:rPr>
        <w:t>成交</w:t>
      </w:r>
      <w:r>
        <w:rPr>
          <w:rFonts w:hint="eastAsia" w:ascii="宋体" w:hAnsi="宋体" w:cs="宋体"/>
          <w:sz w:val="24"/>
        </w:rPr>
        <w:t>供应商</w:t>
      </w:r>
      <w:r>
        <w:rPr>
          <w:rFonts w:hint="eastAsia" w:ascii="宋体" w:hAnsi="宋体"/>
          <w:sz w:val="24"/>
        </w:rPr>
        <w:t>在取得成交通知书时，</w:t>
      </w:r>
      <w:r>
        <w:rPr>
          <w:rFonts w:hint="eastAsia" w:ascii="宋体" w:hAnsi="宋体" w:eastAsia="宋体" w:cs="宋体"/>
          <w:spacing w:val="10"/>
          <w:sz w:val="24"/>
          <w:szCs w:val="24"/>
          <w:highlight w:val="none"/>
        </w:rPr>
        <w:t>须向采购代理机构一次性支付招标代理服务费</w:t>
      </w:r>
      <w:r>
        <w:rPr>
          <w:rFonts w:hint="eastAsia" w:ascii="宋体" w:hAnsi="宋体"/>
          <w:sz w:val="24"/>
        </w:rPr>
        <w:t>。</w:t>
      </w:r>
    </w:p>
    <w:p w14:paraId="49384544">
      <w:pPr>
        <w:spacing w:line="348" w:lineRule="auto"/>
        <w:ind w:firstLine="452" w:firstLineChars="150"/>
        <w:jc w:val="center"/>
        <w:rPr>
          <w:rFonts w:hint="eastAsia" w:ascii="宋体" w:hAnsi="宋体" w:cs="宋体"/>
          <w:b/>
          <w:kern w:val="0"/>
          <w:sz w:val="24"/>
        </w:rPr>
      </w:pPr>
      <w:r>
        <w:rPr>
          <w:rFonts w:hint="eastAsia" w:ascii="宋体" w:hAnsi="宋体"/>
          <w:b/>
          <w:sz w:val="30"/>
          <w:szCs w:val="30"/>
        </w:rPr>
        <w:t>九．特殊情况处理</w:t>
      </w:r>
    </w:p>
    <w:p w14:paraId="7A2E7CA4">
      <w:pPr>
        <w:spacing w:line="348" w:lineRule="auto"/>
        <w:ind w:firstLine="480" w:firstLineChars="200"/>
        <w:rPr>
          <w:rFonts w:hint="eastAsia" w:ascii="宋体" w:hAnsi="宋体" w:cs="宋体"/>
          <w:bCs/>
          <w:sz w:val="24"/>
        </w:rPr>
      </w:pPr>
      <w:r>
        <w:rPr>
          <w:rFonts w:hint="eastAsia" w:ascii="宋体" w:hAnsi="宋体" w:cs="宋体"/>
          <w:bCs/>
          <w:sz w:val="24"/>
        </w:rPr>
        <w:t>有效供应商不足3家的，根据相关法律法规的规定，继续进行磋商、重新组织磋商或采用其他方式采购。</w:t>
      </w:r>
    </w:p>
    <w:p w14:paraId="1379F9E5">
      <w:pPr>
        <w:spacing w:line="348" w:lineRule="auto"/>
        <w:jc w:val="center"/>
        <w:rPr>
          <w:rFonts w:ascii="宋体" w:hAnsi="宋体"/>
          <w:b/>
          <w:sz w:val="30"/>
          <w:szCs w:val="30"/>
        </w:rPr>
      </w:pPr>
      <w:r>
        <w:rPr>
          <w:rFonts w:hint="eastAsia" w:ascii="宋体" w:hAnsi="宋体"/>
          <w:b/>
          <w:sz w:val="30"/>
          <w:szCs w:val="30"/>
        </w:rPr>
        <w:t>十．其它事项</w:t>
      </w:r>
    </w:p>
    <w:p w14:paraId="613B7D1C">
      <w:pPr>
        <w:spacing w:line="348" w:lineRule="auto"/>
        <w:ind w:firstLine="480" w:firstLineChars="200"/>
        <w:rPr>
          <w:rFonts w:hint="eastAsia" w:ascii="宋体" w:hAnsi="宋体"/>
          <w:sz w:val="24"/>
        </w:rPr>
      </w:pPr>
      <w:r>
        <w:rPr>
          <w:rFonts w:hint="eastAsia" w:ascii="宋体" w:hAnsi="宋体"/>
          <w:sz w:val="24"/>
        </w:rPr>
        <w:t>1、成交供应商确定后，成交供应商无正当理由拖延或拒签合同的，或未能按照规定的时间提供履约担保，采购人有权取消其成交资格，并按评审顺序重新确定成交供应商。</w:t>
      </w:r>
    </w:p>
    <w:p w14:paraId="43835A33">
      <w:pPr>
        <w:spacing w:line="348" w:lineRule="auto"/>
        <w:ind w:firstLine="480" w:firstLineChars="200"/>
        <w:rPr>
          <w:rFonts w:hint="eastAsia" w:ascii="宋体" w:hAnsi="宋体"/>
          <w:sz w:val="24"/>
        </w:rPr>
      </w:pPr>
      <w:r>
        <w:rPr>
          <w:rFonts w:hint="eastAsia" w:ascii="宋体" w:hAnsi="宋体"/>
          <w:sz w:val="24"/>
        </w:rPr>
        <w:t>2、其他未尽事宜，参照《中华人民共和国政府采购法》、《中华人民共和国政府采购法实施条例》等法律法规的有关条款执行。</w:t>
      </w:r>
    </w:p>
    <w:p w14:paraId="1423BA0B">
      <w:pPr>
        <w:spacing w:line="348" w:lineRule="auto"/>
        <w:ind w:firstLine="480" w:firstLineChars="200"/>
        <w:rPr>
          <w:rFonts w:hint="eastAsia" w:ascii="宋体" w:hAnsi="宋体"/>
          <w:sz w:val="24"/>
          <w:lang w:val="en-US" w:eastAsia="zh-CN"/>
        </w:rPr>
      </w:pPr>
      <w:r>
        <w:rPr>
          <w:rFonts w:hint="eastAsia" w:ascii="宋体" w:hAnsi="宋体"/>
          <w:sz w:val="24"/>
          <w:lang w:val="en-US" w:eastAsia="zh-CN"/>
        </w:rPr>
        <w:t>3、质疑</w:t>
      </w:r>
    </w:p>
    <w:p w14:paraId="29973E8A">
      <w:pPr>
        <w:spacing w:line="348" w:lineRule="auto"/>
        <w:ind w:firstLine="480" w:firstLineChars="200"/>
        <w:rPr>
          <w:rFonts w:hint="eastAsia" w:ascii="宋体" w:hAnsi="宋体"/>
          <w:sz w:val="24"/>
          <w:lang w:val="en-US" w:eastAsia="zh-CN"/>
        </w:rPr>
      </w:pPr>
      <w:r>
        <w:rPr>
          <w:rFonts w:hint="eastAsia" w:ascii="宋体" w:hAnsi="宋体"/>
          <w:sz w:val="24"/>
          <w:lang w:val="en-US" w:eastAsia="zh-CN"/>
        </w:rPr>
        <w:t>3.1供应商认为磋商文件、采购过程、成交结果使自己的权益受到损害的，可以在知道或者应知其权益受到损害之日起7个工作日内，以书面形式向采购人、采购代理机构提出质疑。</w:t>
      </w:r>
    </w:p>
    <w:p w14:paraId="53EF6623">
      <w:pPr>
        <w:spacing w:line="348" w:lineRule="auto"/>
        <w:ind w:firstLine="480" w:firstLineChars="200"/>
        <w:rPr>
          <w:rFonts w:hint="eastAsia" w:ascii="宋体" w:hAnsi="宋体"/>
          <w:sz w:val="24"/>
          <w:lang w:val="en-US" w:eastAsia="zh-CN"/>
        </w:rPr>
      </w:pPr>
      <w:r>
        <w:rPr>
          <w:rFonts w:hint="eastAsia" w:ascii="宋体" w:hAnsi="宋体"/>
          <w:sz w:val="24"/>
          <w:lang w:val="en-US" w:eastAsia="zh-CN"/>
        </w:rPr>
        <w:t>3.2供应商必须在法定质疑期内一次性提出针对同一采购程序环节的质疑。</w:t>
      </w:r>
    </w:p>
    <w:p w14:paraId="23E81316">
      <w:pPr>
        <w:spacing w:line="348" w:lineRule="auto"/>
        <w:ind w:firstLine="480" w:firstLineChars="200"/>
        <w:rPr>
          <w:rFonts w:hint="eastAsia" w:ascii="宋体" w:hAnsi="宋体"/>
          <w:sz w:val="24"/>
          <w:lang w:val="en-US" w:eastAsia="zh-CN"/>
        </w:rPr>
      </w:pPr>
      <w:r>
        <w:rPr>
          <w:rFonts w:hint="eastAsia" w:ascii="宋体" w:hAnsi="宋体"/>
          <w:sz w:val="24"/>
          <w:lang w:val="en-US" w:eastAsia="zh-CN"/>
        </w:rPr>
        <w:t>3.3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负责人、主要负责人签字或者盖章，并加盖公章。</w:t>
      </w:r>
    </w:p>
    <w:p w14:paraId="574FAC75">
      <w:pPr>
        <w:spacing w:line="348" w:lineRule="auto"/>
        <w:ind w:firstLine="480" w:firstLineChars="200"/>
        <w:rPr>
          <w:rFonts w:hint="eastAsia" w:ascii="宋体" w:hAnsi="宋体"/>
          <w:sz w:val="24"/>
          <w:lang w:val="en-US" w:eastAsia="zh-CN"/>
        </w:rPr>
      </w:pPr>
      <w:r>
        <w:rPr>
          <w:rFonts w:hint="eastAsia" w:ascii="宋体" w:hAnsi="宋体"/>
          <w:sz w:val="24"/>
          <w:lang w:val="en-US" w:eastAsia="zh-CN"/>
        </w:rPr>
        <w:t>3.4以联合体形式参加采购活动的，其质疑应当由组成联合体的所有供应商共同提出。</w:t>
      </w:r>
    </w:p>
    <w:p w14:paraId="51C7CAB3">
      <w:pPr>
        <w:spacing w:line="348" w:lineRule="auto"/>
        <w:ind w:firstLine="480" w:firstLineChars="200"/>
        <w:rPr>
          <w:rFonts w:hint="eastAsia" w:ascii="宋体" w:hAnsi="宋体"/>
          <w:sz w:val="24"/>
          <w:lang w:val="en-US" w:eastAsia="zh-CN"/>
        </w:rPr>
      </w:pPr>
      <w:r>
        <w:rPr>
          <w:rFonts w:hint="eastAsia" w:ascii="宋体" w:hAnsi="宋体"/>
          <w:sz w:val="24"/>
          <w:lang w:val="en-US" w:eastAsia="zh-CN"/>
        </w:rPr>
        <w:t>3.5供应商提出质疑应当提交质疑函和必要的证明材料。质疑函应当包括下列内容：</w:t>
      </w:r>
    </w:p>
    <w:p w14:paraId="2DC82951">
      <w:pPr>
        <w:spacing w:line="348" w:lineRule="auto"/>
        <w:ind w:firstLine="480" w:firstLineChars="200"/>
        <w:rPr>
          <w:rFonts w:hint="eastAsia" w:ascii="宋体" w:hAnsi="宋体"/>
          <w:sz w:val="24"/>
          <w:lang w:val="en-US" w:eastAsia="zh-CN"/>
        </w:rPr>
      </w:pPr>
      <w:r>
        <w:rPr>
          <w:rFonts w:hint="eastAsia" w:ascii="宋体" w:hAnsi="宋体"/>
          <w:sz w:val="24"/>
          <w:lang w:val="en-US" w:eastAsia="zh-CN"/>
        </w:rPr>
        <w:t>3.5.1供应商的姓名或者名称、地址、邮编、联系人及联系电话；</w:t>
      </w:r>
    </w:p>
    <w:p w14:paraId="1254FD28">
      <w:pPr>
        <w:spacing w:line="348" w:lineRule="auto"/>
        <w:ind w:firstLine="480" w:firstLineChars="200"/>
        <w:rPr>
          <w:rFonts w:hint="eastAsia" w:ascii="宋体" w:hAnsi="宋体"/>
          <w:sz w:val="24"/>
          <w:lang w:val="en-US" w:eastAsia="zh-CN"/>
        </w:rPr>
      </w:pPr>
      <w:r>
        <w:rPr>
          <w:rFonts w:hint="eastAsia" w:ascii="宋体" w:hAnsi="宋体"/>
          <w:sz w:val="24"/>
          <w:lang w:val="en-US" w:eastAsia="zh-CN"/>
        </w:rPr>
        <w:t>3.5.2质疑项目的名称、编号；</w:t>
      </w:r>
    </w:p>
    <w:p w14:paraId="43E36BE4">
      <w:pPr>
        <w:spacing w:line="348" w:lineRule="auto"/>
        <w:ind w:firstLine="480" w:firstLineChars="200"/>
        <w:rPr>
          <w:rFonts w:hint="eastAsia" w:ascii="宋体" w:hAnsi="宋体"/>
          <w:sz w:val="24"/>
          <w:lang w:val="en-US" w:eastAsia="zh-CN"/>
        </w:rPr>
      </w:pPr>
      <w:r>
        <w:rPr>
          <w:rFonts w:hint="eastAsia" w:ascii="宋体" w:hAnsi="宋体"/>
          <w:sz w:val="24"/>
          <w:lang w:val="en-US" w:eastAsia="zh-CN"/>
        </w:rPr>
        <w:t>3.5.3具体、明确的质疑事项和与质疑事项相关的请求；</w:t>
      </w:r>
    </w:p>
    <w:p w14:paraId="39D6AF07">
      <w:pPr>
        <w:spacing w:line="348" w:lineRule="auto"/>
        <w:ind w:firstLine="480" w:firstLineChars="200"/>
        <w:rPr>
          <w:rFonts w:hint="eastAsia" w:ascii="宋体" w:hAnsi="宋体"/>
          <w:sz w:val="24"/>
          <w:lang w:val="en-US" w:eastAsia="zh-CN"/>
        </w:rPr>
      </w:pPr>
      <w:r>
        <w:rPr>
          <w:rFonts w:hint="eastAsia" w:ascii="宋体" w:hAnsi="宋体"/>
          <w:sz w:val="24"/>
          <w:lang w:val="en-US" w:eastAsia="zh-CN"/>
        </w:rPr>
        <w:t>3.5.4事实依据；</w:t>
      </w:r>
    </w:p>
    <w:p w14:paraId="4CAD4E6F">
      <w:pPr>
        <w:spacing w:line="348" w:lineRule="auto"/>
        <w:ind w:firstLine="480" w:firstLineChars="200"/>
        <w:rPr>
          <w:rFonts w:hint="eastAsia" w:ascii="宋体" w:hAnsi="宋体"/>
          <w:sz w:val="24"/>
          <w:lang w:val="en-US" w:eastAsia="zh-CN"/>
        </w:rPr>
      </w:pPr>
      <w:r>
        <w:rPr>
          <w:rFonts w:hint="eastAsia" w:ascii="宋体" w:hAnsi="宋体"/>
          <w:sz w:val="24"/>
          <w:lang w:val="en-US" w:eastAsia="zh-CN"/>
        </w:rPr>
        <w:t>3.5.5必要的法律依据；</w:t>
      </w:r>
    </w:p>
    <w:p w14:paraId="545A618D">
      <w:pPr>
        <w:spacing w:line="348" w:lineRule="auto"/>
        <w:ind w:firstLine="480" w:firstLineChars="200"/>
        <w:rPr>
          <w:rFonts w:hint="eastAsia" w:ascii="宋体" w:hAnsi="宋体"/>
          <w:sz w:val="24"/>
          <w:lang w:val="en-US" w:eastAsia="zh-CN"/>
        </w:rPr>
      </w:pPr>
      <w:r>
        <w:rPr>
          <w:rFonts w:hint="eastAsia" w:ascii="宋体" w:hAnsi="宋体"/>
          <w:sz w:val="24"/>
          <w:lang w:val="en-US" w:eastAsia="zh-CN"/>
        </w:rPr>
        <w:t>3.5.6提出质疑的日期。</w:t>
      </w:r>
    </w:p>
    <w:p w14:paraId="43C4F02A">
      <w:pPr>
        <w:spacing w:line="348" w:lineRule="auto"/>
        <w:ind w:firstLine="480" w:firstLineChars="200"/>
        <w:rPr>
          <w:rFonts w:hint="eastAsia" w:ascii="宋体" w:hAnsi="宋体"/>
          <w:sz w:val="24"/>
          <w:lang w:val="en-US" w:eastAsia="zh-CN"/>
        </w:rPr>
      </w:pPr>
      <w:r>
        <w:rPr>
          <w:rFonts w:hint="eastAsia" w:ascii="宋体" w:hAnsi="宋体"/>
          <w:sz w:val="24"/>
          <w:lang w:val="en-US" w:eastAsia="zh-CN"/>
        </w:rPr>
        <w:t>3.6有下列情形之一的，属于无效质疑，采购代理机构和采购人不予受理：</w:t>
      </w:r>
    </w:p>
    <w:p w14:paraId="638561F8">
      <w:pPr>
        <w:spacing w:line="348" w:lineRule="auto"/>
        <w:ind w:firstLine="480" w:firstLineChars="200"/>
        <w:rPr>
          <w:rFonts w:hint="eastAsia" w:ascii="宋体" w:hAnsi="宋体"/>
          <w:sz w:val="24"/>
          <w:lang w:val="en-US" w:eastAsia="zh-CN"/>
        </w:rPr>
      </w:pPr>
      <w:r>
        <w:rPr>
          <w:rFonts w:hint="eastAsia" w:ascii="宋体" w:hAnsi="宋体"/>
          <w:sz w:val="24"/>
          <w:lang w:val="en-US" w:eastAsia="zh-CN"/>
        </w:rPr>
        <w:t>3.6.1质疑供应商不是参与本次采购项目的供应商；</w:t>
      </w:r>
    </w:p>
    <w:p w14:paraId="4BBC7997">
      <w:pPr>
        <w:spacing w:line="348" w:lineRule="auto"/>
        <w:ind w:firstLine="480" w:firstLineChars="200"/>
        <w:rPr>
          <w:rFonts w:hint="eastAsia" w:ascii="宋体" w:hAnsi="宋体"/>
          <w:sz w:val="24"/>
          <w:lang w:val="en-US" w:eastAsia="zh-CN"/>
        </w:rPr>
      </w:pPr>
      <w:r>
        <w:rPr>
          <w:rFonts w:hint="eastAsia" w:ascii="宋体" w:hAnsi="宋体"/>
          <w:sz w:val="24"/>
          <w:lang w:val="en-US" w:eastAsia="zh-CN"/>
        </w:rPr>
        <w:t>3.6.2质疑供应商与质疑事项不存在利害关系的；</w:t>
      </w:r>
    </w:p>
    <w:p w14:paraId="680B6A29">
      <w:pPr>
        <w:spacing w:line="348" w:lineRule="auto"/>
        <w:ind w:firstLine="480" w:firstLineChars="200"/>
        <w:rPr>
          <w:rFonts w:hint="eastAsia" w:ascii="宋体" w:hAnsi="宋体"/>
          <w:sz w:val="24"/>
          <w:lang w:val="en-US" w:eastAsia="zh-CN"/>
        </w:rPr>
      </w:pPr>
      <w:r>
        <w:rPr>
          <w:rFonts w:hint="eastAsia" w:ascii="宋体" w:hAnsi="宋体"/>
          <w:sz w:val="24"/>
          <w:lang w:val="en-US" w:eastAsia="zh-CN"/>
        </w:rPr>
        <w:t>3.6.3未在法定期限内提出质疑的；</w:t>
      </w:r>
    </w:p>
    <w:p w14:paraId="43042E3A">
      <w:pPr>
        <w:spacing w:line="348" w:lineRule="auto"/>
        <w:ind w:firstLine="480" w:firstLineChars="200"/>
        <w:rPr>
          <w:rFonts w:hint="eastAsia" w:ascii="宋体" w:hAnsi="宋体"/>
          <w:sz w:val="24"/>
          <w:lang w:val="en-US" w:eastAsia="zh-CN"/>
        </w:rPr>
      </w:pPr>
      <w:r>
        <w:rPr>
          <w:rFonts w:hint="eastAsia" w:ascii="宋体" w:hAnsi="宋体"/>
          <w:sz w:val="24"/>
          <w:lang w:val="en-US" w:eastAsia="zh-CN"/>
        </w:rPr>
        <w:t>3.6.4质疑未以书面形式提出，或质疑函主要内容构成不完整的；</w:t>
      </w:r>
    </w:p>
    <w:p w14:paraId="7ACCC455">
      <w:pPr>
        <w:spacing w:line="348" w:lineRule="auto"/>
        <w:ind w:firstLine="480" w:firstLineChars="200"/>
        <w:rPr>
          <w:rFonts w:hint="eastAsia" w:ascii="宋体" w:hAnsi="宋体"/>
          <w:sz w:val="24"/>
          <w:lang w:val="en-US" w:eastAsia="zh-CN"/>
        </w:rPr>
      </w:pPr>
      <w:r>
        <w:rPr>
          <w:rFonts w:hint="eastAsia" w:ascii="宋体" w:hAnsi="宋体"/>
          <w:sz w:val="24"/>
          <w:lang w:val="en-US" w:eastAsia="zh-CN"/>
        </w:rPr>
        <w:t>3.6.5应当提交授权书而未提交的；</w:t>
      </w:r>
    </w:p>
    <w:p w14:paraId="3BBA21D8">
      <w:pPr>
        <w:spacing w:line="348" w:lineRule="auto"/>
        <w:ind w:firstLine="480" w:firstLineChars="200"/>
        <w:rPr>
          <w:rFonts w:hint="eastAsia" w:ascii="宋体" w:hAnsi="宋体"/>
          <w:sz w:val="24"/>
          <w:lang w:val="en-US" w:eastAsia="zh-CN"/>
        </w:rPr>
      </w:pPr>
      <w:r>
        <w:rPr>
          <w:rFonts w:hint="eastAsia" w:ascii="宋体" w:hAnsi="宋体"/>
          <w:sz w:val="24"/>
          <w:lang w:val="en-US" w:eastAsia="zh-CN"/>
        </w:rPr>
        <w:t>3.6.6以非法手段取得证据、材料的；</w:t>
      </w:r>
    </w:p>
    <w:p w14:paraId="349BED92">
      <w:pPr>
        <w:spacing w:line="348" w:lineRule="auto"/>
        <w:ind w:firstLine="480" w:firstLineChars="200"/>
        <w:rPr>
          <w:rFonts w:hint="eastAsia" w:ascii="宋体" w:hAnsi="宋体"/>
          <w:sz w:val="24"/>
          <w:lang w:val="en-US" w:eastAsia="zh-CN"/>
        </w:rPr>
      </w:pPr>
      <w:r>
        <w:rPr>
          <w:rFonts w:hint="eastAsia" w:ascii="宋体" w:hAnsi="宋体"/>
          <w:sz w:val="24"/>
          <w:lang w:val="en-US" w:eastAsia="zh-CN"/>
        </w:rPr>
        <w:t>3.6.7质疑答复后，同一质疑人就同一事项或同一采购程序环节再次提出质疑的；</w:t>
      </w:r>
    </w:p>
    <w:p w14:paraId="6CEC2A96">
      <w:pPr>
        <w:spacing w:line="348" w:lineRule="auto"/>
        <w:ind w:firstLine="480" w:firstLineChars="200"/>
        <w:rPr>
          <w:rFonts w:hint="eastAsia" w:ascii="宋体" w:hAnsi="宋体"/>
          <w:sz w:val="24"/>
          <w:lang w:val="en-US" w:eastAsia="zh-CN"/>
        </w:rPr>
      </w:pPr>
      <w:r>
        <w:rPr>
          <w:rFonts w:hint="eastAsia" w:ascii="宋体" w:hAnsi="宋体"/>
          <w:sz w:val="24"/>
          <w:lang w:val="en-US" w:eastAsia="zh-CN"/>
        </w:rPr>
        <w:t>3.6.8不符合法律、法规、规章和采购监管机构规定的其他条件的。</w:t>
      </w:r>
    </w:p>
    <w:p w14:paraId="25FE09E7">
      <w:pPr>
        <w:spacing w:line="348" w:lineRule="auto"/>
        <w:ind w:firstLine="480" w:firstLineChars="200"/>
        <w:rPr>
          <w:rFonts w:hint="eastAsia" w:ascii="宋体" w:hAnsi="宋体"/>
          <w:sz w:val="24"/>
          <w:lang w:val="en-US" w:eastAsia="zh-CN"/>
        </w:rPr>
      </w:pPr>
      <w:r>
        <w:rPr>
          <w:rFonts w:hint="eastAsia" w:ascii="宋体" w:hAnsi="宋体"/>
          <w:sz w:val="24"/>
          <w:lang w:val="en-US" w:eastAsia="zh-CN"/>
        </w:rPr>
        <w:t>3.7质疑答复</w:t>
      </w:r>
    </w:p>
    <w:p w14:paraId="0D30AE8A">
      <w:pPr>
        <w:spacing w:line="348" w:lineRule="auto"/>
        <w:ind w:firstLine="480" w:firstLineChars="200"/>
        <w:rPr>
          <w:rFonts w:hint="eastAsia" w:ascii="宋体" w:hAnsi="宋体"/>
          <w:sz w:val="24"/>
          <w:lang w:val="en-US" w:eastAsia="zh-CN"/>
        </w:rPr>
      </w:pPr>
      <w:r>
        <w:rPr>
          <w:rFonts w:hint="eastAsia" w:ascii="宋体" w:hAnsi="宋体"/>
          <w:sz w:val="24"/>
          <w:lang w:val="en-US" w:eastAsia="zh-CN"/>
        </w:rPr>
        <w:t>3.7.1采购人或采购代理机构在收到质疑函后7个工作日内作出答复，并以书面形式通知质疑供应商和其他有关供应商。</w:t>
      </w:r>
    </w:p>
    <w:p w14:paraId="50207A62">
      <w:pPr>
        <w:spacing w:line="348" w:lineRule="auto"/>
        <w:ind w:firstLine="480" w:firstLineChars="200"/>
        <w:rPr>
          <w:rFonts w:hint="eastAsia" w:ascii="宋体" w:hAnsi="宋体"/>
          <w:sz w:val="24"/>
          <w:lang w:val="en-US" w:eastAsia="zh-CN"/>
        </w:rPr>
      </w:pPr>
      <w:r>
        <w:rPr>
          <w:rFonts w:hint="eastAsia" w:ascii="宋体" w:hAnsi="宋体"/>
          <w:sz w:val="24"/>
          <w:lang w:val="en-US" w:eastAsia="zh-CN"/>
        </w:rPr>
        <w:t>3.7.2质疑供应商对采购人、采购代理机构的答复不满意，或者采购人、采购代理机构未在规定时间内作出答复的，可以在答复期满后15个工作日内向采购人相关部门提起投诉。</w:t>
      </w:r>
    </w:p>
    <w:p w14:paraId="796F6FA6">
      <w:pPr>
        <w:spacing w:line="348" w:lineRule="auto"/>
        <w:ind w:firstLine="480" w:firstLineChars="200"/>
        <w:rPr>
          <w:rFonts w:hint="eastAsia" w:ascii="宋体" w:hAnsi="宋体"/>
          <w:sz w:val="24"/>
          <w:lang w:val="en-US" w:eastAsia="zh-CN"/>
        </w:rPr>
      </w:pPr>
      <w:r>
        <w:rPr>
          <w:rFonts w:hint="eastAsia" w:ascii="宋体" w:hAnsi="宋体"/>
          <w:sz w:val="24"/>
          <w:lang w:val="en-US" w:eastAsia="zh-CN"/>
        </w:rPr>
        <w:t>3.8其他需要说明的事项</w:t>
      </w:r>
    </w:p>
    <w:p w14:paraId="209F02FD">
      <w:pPr>
        <w:spacing w:line="348" w:lineRule="auto"/>
        <w:ind w:firstLine="480" w:firstLineChars="200"/>
        <w:rPr>
          <w:rFonts w:hint="eastAsia" w:ascii="宋体" w:hAnsi="宋体"/>
          <w:sz w:val="24"/>
          <w:lang w:val="en-US" w:eastAsia="zh-CN"/>
        </w:rPr>
      </w:pPr>
      <w:r>
        <w:rPr>
          <w:rFonts w:hint="eastAsia" w:ascii="宋体" w:hAnsi="宋体"/>
          <w:sz w:val="24"/>
          <w:lang w:val="en-US" w:eastAsia="zh-CN"/>
        </w:rPr>
        <w:t>3.8.1接收质疑函的方式：书面形式</w:t>
      </w:r>
    </w:p>
    <w:p w14:paraId="41DF524A">
      <w:pPr>
        <w:spacing w:line="348" w:lineRule="auto"/>
        <w:ind w:firstLine="480" w:firstLineChars="200"/>
        <w:rPr>
          <w:rFonts w:hint="eastAsia" w:ascii="宋体" w:hAnsi="宋体"/>
          <w:sz w:val="24"/>
          <w:lang w:val="en-US" w:eastAsia="zh-CN"/>
        </w:rPr>
      </w:pPr>
      <w:r>
        <w:rPr>
          <w:rFonts w:hint="eastAsia" w:ascii="宋体" w:hAnsi="宋体"/>
          <w:sz w:val="24"/>
          <w:lang w:val="en-US" w:eastAsia="zh-CN"/>
        </w:rPr>
        <w:t>3.8.2联系部门：致君项目管理有限公司</w:t>
      </w:r>
    </w:p>
    <w:p w14:paraId="3628C29C">
      <w:pPr>
        <w:spacing w:line="348" w:lineRule="auto"/>
        <w:ind w:firstLine="480" w:firstLineChars="200"/>
        <w:rPr>
          <w:rFonts w:hint="eastAsia" w:ascii="宋体" w:hAnsi="宋体"/>
          <w:sz w:val="24"/>
          <w:lang w:val="en-US" w:eastAsia="zh-CN"/>
        </w:rPr>
      </w:pPr>
      <w:r>
        <w:rPr>
          <w:rFonts w:hint="eastAsia" w:ascii="宋体" w:hAnsi="宋体"/>
          <w:sz w:val="24"/>
          <w:lang w:val="en-US" w:eastAsia="zh-CN"/>
        </w:rPr>
        <w:t>3.8.3联系电话：见“供应商须知前附表”</w:t>
      </w:r>
    </w:p>
    <w:p w14:paraId="7AF8D52E">
      <w:pPr>
        <w:spacing w:line="348" w:lineRule="auto"/>
        <w:ind w:firstLine="480" w:firstLineChars="200"/>
        <w:rPr>
          <w:rFonts w:hint="eastAsia"/>
        </w:rPr>
      </w:pPr>
      <w:r>
        <w:rPr>
          <w:rFonts w:hint="eastAsia" w:ascii="宋体" w:hAnsi="宋体"/>
          <w:sz w:val="24"/>
          <w:lang w:val="en-US" w:eastAsia="zh-CN"/>
        </w:rPr>
        <w:t>3.8.4通讯地址：见“供应商须知前附表”</w:t>
      </w:r>
      <w:r>
        <w:rPr>
          <w:rFonts w:hint="eastAsia" w:ascii="宋体" w:hAnsi="宋体"/>
          <w:sz w:val="24"/>
          <w:lang w:eastAsia="zh-CN"/>
        </w:rPr>
        <w:t>。</w:t>
      </w:r>
    </w:p>
    <w:p w14:paraId="5C1A5816">
      <w:pPr>
        <w:pStyle w:val="2"/>
        <w:keepNext w:val="0"/>
        <w:keepLines w:val="0"/>
        <w:rPr>
          <w:rFonts w:ascii="宋体" w:hAnsi="宋体"/>
          <w:sz w:val="32"/>
          <w:szCs w:val="32"/>
        </w:rPr>
      </w:pPr>
      <w:r>
        <w:rPr>
          <w:rFonts w:ascii="宋体" w:hAnsi="宋体"/>
          <w:b w:val="0"/>
          <w:bCs w:val="0"/>
          <w:sz w:val="24"/>
        </w:rPr>
        <w:br w:type="page"/>
      </w:r>
      <w:bookmarkStart w:id="8" w:name="_Toc328739378"/>
      <w:bookmarkStart w:id="9" w:name="_Toc162021007"/>
      <w:r>
        <w:rPr>
          <w:rFonts w:hint="eastAsia" w:ascii="宋体" w:hAnsi="宋体"/>
          <w:sz w:val="32"/>
          <w:szCs w:val="32"/>
        </w:rPr>
        <w:t xml:space="preserve">第三部分 </w:t>
      </w:r>
      <w:bookmarkEnd w:id="8"/>
      <w:r>
        <w:rPr>
          <w:rFonts w:ascii="宋体" w:hAnsi="宋体"/>
          <w:sz w:val="32"/>
          <w:szCs w:val="32"/>
        </w:rPr>
        <w:t xml:space="preserve"> </w:t>
      </w:r>
      <w:r>
        <w:rPr>
          <w:rFonts w:hint="eastAsia" w:ascii="宋体" w:hAnsi="宋体"/>
          <w:sz w:val="32"/>
          <w:szCs w:val="32"/>
        </w:rPr>
        <w:t>采购内容及技术要求</w:t>
      </w:r>
      <w:bookmarkEnd w:id="9"/>
    </w:p>
    <w:p w14:paraId="08B0B815">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一、项目概况</w:t>
      </w:r>
    </w:p>
    <w:p w14:paraId="6EFE18C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本项目为</w:t>
      </w:r>
      <w:r>
        <w:rPr>
          <w:rFonts w:hint="eastAsia" w:ascii="宋体" w:hAnsi="宋体" w:eastAsia="宋体" w:cs="宋体"/>
          <w:sz w:val="24"/>
          <w:szCs w:val="24"/>
          <w:lang w:val="en-US" w:eastAsia="zh-CN"/>
        </w:rPr>
        <w:t>西安市青龙寺景区樱花季景观绿化维护提升</w:t>
      </w:r>
      <w:r>
        <w:rPr>
          <w:rFonts w:hint="eastAsia" w:ascii="宋体" w:hAnsi="宋体" w:cs="宋体"/>
          <w:sz w:val="24"/>
          <w:szCs w:val="24"/>
          <w:lang w:val="en-US" w:eastAsia="zh-CN"/>
        </w:rPr>
        <w:t>项目</w:t>
      </w:r>
      <w:r>
        <w:rPr>
          <w:rFonts w:hint="eastAsia" w:ascii="宋体" w:hAnsi="宋体" w:eastAsia="宋体" w:cs="宋体"/>
          <w:sz w:val="24"/>
          <w:szCs w:val="24"/>
          <w:lang w:val="en-US" w:eastAsia="zh-CN"/>
        </w:rPr>
        <w:t>，具体内容详见工程量清单。主要包括黄土裸露区域绿化补植（含地被、灌木）、踩踏严重部位道路铺装、围栏增设及场地基础整理。改善景区环境与游览条件。</w:t>
      </w:r>
    </w:p>
    <w:p w14:paraId="6BAE3793">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二、采购内容</w:t>
      </w:r>
    </w:p>
    <w:p w14:paraId="0E3883E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服务地点：</w:t>
      </w:r>
      <w:r>
        <w:rPr>
          <w:rFonts w:hint="eastAsia" w:ascii="宋体" w:hAnsi="宋体" w:eastAsia="宋体" w:cs="宋体"/>
          <w:sz w:val="24"/>
          <w:szCs w:val="24"/>
          <w:highlight w:val="none"/>
          <w:lang w:val="en-US" w:eastAsia="zh-CN"/>
        </w:rPr>
        <w:t>西安市青龙寺。</w:t>
      </w:r>
    </w:p>
    <w:p w14:paraId="40C3D6E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服务内容：本项目具体内容详见工程量清单。</w:t>
      </w:r>
      <w:bookmarkStart w:id="10" w:name="OLE_LINK1"/>
    </w:p>
    <w:bookmarkEnd w:id="10"/>
    <w:p w14:paraId="13255172">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三、</w:t>
      </w:r>
      <w:r>
        <w:rPr>
          <w:rFonts w:hint="eastAsia" w:ascii="宋体" w:hAnsi="宋体" w:cs="宋体"/>
          <w:b/>
          <w:bCs/>
          <w:sz w:val="28"/>
          <w:szCs w:val="28"/>
          <w:highlight w:val="none"/>
          <w:lang w:val="en-US" w:eastAsia="zh-CN"/>
        </w:rPr>
        <w:t>基本要求</w:t>
      </w:r>
    </w:p>
    <w:p w14:paraId="2C0443A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施工必须满足现行国家规范及设计图纸相关要求；</w:t>
      </w:r>
    </w:p>
    <w:p w14:paraId="08654F8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招标内容为施工图纸及工程量清单所示内容；</w:t>
      </w:r>
    </w:p>
    <w:p w14:paraId="399BF80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应完全响应招标文件技术及商务要求。</w:t>
      </w:r>
    </w:p>
    <w:p w14:paraId="71E34245">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四、服务要求</w:t>
      </w:r>
    </w:p>
    <w:p w14:paraId="124B2E1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1.供应商应提供绿植检疫证，确保绿植的合法性和质量。</w:t>
      </w:r>
    </w:p>
    <w:p w14:paraId="364B9B9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2.供应商应具有从事园艺产品种植，花卉种植能力。</w:t>
      </w:r>
    </w:p>
    <w:p w14:paraId="7613FF8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3.供应商负责采购运输、栽植及</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lang w:val="en-US" w:eastAsia="zh-CN"/>
        </w:rPr>
        <w:t>年养护，</w:t>
      </w:r>
      <w:r>
        <w:rPr>
          <w:rFonts w:hint="eastAsia" w:ascii="宋体" w:hAnsi="宋体" w:cs="宋体"/>
          <w:sz w:val="24"/>
          <w:szCs w:val="24"/>
          <w:highlight w:val="none"/>
          <w:lang w:val="en-US" w:eastAsia="zh-CN"/>
        </w:rPr>
        <w:t>养护期1</w:t>
      </w:r>
      <w:r>
        <w:rPr>
          <w:rFonts w:hint="eastAsia" w:ascii="宋体" w:hAnsi="宋体" w:eastAsia="宋体" w:cs="宋体"/>
          <w:sz w:val="24"/>
          <w:szCs w:val="24"/>
          <w:highlight w:val="none"/>
          <w:lang w:val="en-US" w:eastAsia="zh-CN"/>
        </w:rPr>
        <w:t>年，对损坏场地修复。应制定详细的种植组织方案和养护管理计划，明确栽植进度、人员安排、质量保证措施。提供售后服务承诺，包括</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质保期（养护期）</w:t>
      </w:r>
      <w:r>
        <w:rPr>
          <w:rFonts w:hint="eastAsia" w:ascii="宋体" w:hAnsi="宋体" w:eastAsia="宋体" w:cs="宋体"/>
          <w:sz w:val="24"/>
          <w:szCs w:val="24"/>
          <w:highlight w:val="none"/>
          <w:lang w:val="en-US" w:eastAsia="zh-CN"/>
        </w:rPr>
        <w:t>内的免费养护服务、种植后对死亡苗木及时更换。</w:t>
      </w:r>
    </w:p>
    <w:p w14:paraId="69384B6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.种植方法：植物间距应注意株行距均匀，覆土深度适中，及时浇水保湿。</w:t>
      </w:r>
    </w:p>
    <w:p w14:paraId="0E0CA43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（1）浇水：根据绿植的生长需要和天气情况，及时浇水，保持土壤湿润。</w:t>
      </w:r>
    </w:p>
    <w:p w14:paraId="11696F0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（2）施肥：定期施肥，以有机肥为主，化肥为辅，保证绿植生长所需的养分。</w:t>
      </w:r>
    </w:p>
    <w:p w14:paraId="17C4A2B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（3）修剪：根据绿植的生长习性和景观要求，适时进行修剪，保持树形美观，促进生长。</w:t>
      </w:r>
    </w:p>
    <w:p w14:paraId="01EEE41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（4）病虫害防治：加强病虫害监测，及时采取有效的防治措施，确保绿植健康生长。</w:t>
      </w:r>
    </w:p>
    <w:p w14:paraId="59273E5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（5）防寒防暑：在冬季和夏季，采取相应的防寒防暑措施，如覆盖保温材料、搭建遮阳网等。</w:t>
      </w:r>
    </w:p>
    <w:p w14:paraId="738BC5D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.卫生清洁要求：因栽植、修剪、除草等养护作业产生的各类绿化垃圾（包含绿化面积内落叶）要统一收集清理，不得堆集在绿化带内,日产日清。所产生的清运费用均由</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lang w:val="en-US" w:eastAsia="zh-CN"/>
        </w:rPr>
        <w:t>自行承担。</w:t>
      </w:r>
    </w:p>
    <w:p w14:paraId="6F6CDC30">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五、商务要求</w:t>
      </w:r>
    </w:p>
    <w:p w14:paraId="4470BEB8">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（一）</w:t>
      </w:r>
      <w:r>
        <w:rPr>
          <w:rFonts w:hint="eastAsia" w:ascii="宋体" w:hAnsi="宋体" w:cs="宋体"/>
          <w:b/>
          <w:bCs/>
          <w:sz w:val="24"/>
          <w:szCs w:val="24"/>
          <w:highlight w:val="none"/>
          <w:lang w:val="en-US" w:eastAsia="zh-CN"/>
        </w:rPr>
        <w:t>工期：90日历天</w:t>
      </w:r>
    </w:p>
    <w:p w14:paraId="69794053">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（二）款项结算</w:t>
      </w:r>
    </w:p>
    <w:p w14:paraId="686A9F2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合同签订后，支付合同价款</w:t>
      </w: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r>
        <w:rPr>
          <w:rFonts w:hint="eastAsia" w:ascii="宋体" w:hAnsi="宋体" w:cs="宋体"/>
          <w:color w:val="000000" w:themeColor="text1"/>
          <w:sz w:val="24"/>
          <w:szCs w:val="24"/>
          <w:highlight w:val="none"/>
          <w:lang w:val="en-US" w:eastAsia="zh-CN"/>
          <w14:textFill>
            <w14:solidFill>
              <w14:schemeClr w14:val="tx1"/>
            </w14:solidFill>
          </w14:textFill>
        </w:rPr>
        <w:t>作为</w:t>
      </w:r>
      <w:r>
        <w:rPr>
          <w:rFonts w:hint="eastAsia" w:ascii="宋体" w:hAnsi="宋体" w:eastAsia="宋体" w:cs="宋体"/>
          <w:color w:val="000000" w:themeColor="text1"/>
          <w:sz w:val="24"/>
          <w:szCs w:val="24"/>
          <w:highlight w:val="none"/>
          <w:lang w:val="en-US" w:eastAsia="zh-CN"/>
          <w14:textFill>
            <w14:solidFill>
              <w14:schemeClr w14:val="tx1"/>
            </w14:solidFill>
          </w14:textFill>
        </w:rPr>
        <w:t>预付款，工程竣工验收合格</w:t>
      </w:r>
      <w:r>
        <w:rPr>
          <w:rFonts w:hint="eastAsia" w:ascii="宋体" w:hAnsi="宋体" w:cs="宋体"/>
          <w:color w:val="000000" w:themeColor="text1"/>
          <w:sz w:val="24"/>
          <w:szCs w:val="24"/>
          <w:highlight w:val="none"/>
          <w:lang w:val="en-US" w:eastAsia="zh-CN"/>
          <w14:textFill>
            <w14:solidFill>
              <w14:schemeClr w14:val="tx1"/>
            </w14:solidFill>
          </w14:textFill>
        </w:rPr>
        <w:t>经第三方审计机构审计后，</w:t>
      </w:r>
      <w:r>
        <w:rPr>
          <w:rFonts w:hint="eastAsia" w:ascii="宋体" w:hAnsi="宋体" w:cs="宋体"/>
          <w:color w:val="000000" w:themeColor="text1"/>
          <w:sz w:val="24"/>
          <w:szCs w:val="24"/>
          <w:highlight w:val="yellow"/>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供应商开具正规发票，7个工作日内支付至审定金额的97%，剩余3%工程款留作质量保证金，质保期(养护期)1年，质保期(养护期)满后七个工作日内，一次性支付(不计息)。</w:t>
      </w:r>
    </w:p>
    <w:p w14:paraId="28391B34">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六、其他</w:t>
      </w:r>
    </w:p>
    <w:p w14:paraId="2DAA784B">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（一）质量验收标准或规范</w:t>
      </w:r>
    </w:p>
    <w:p w14:paraId="637E229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1.绿植成活率：质保期</w:t>
      </w:r>
      <w:r>
        <w:rPr>
          <w:rFonts w:hint="eastAsia" w:ascii="宋体" w:hAnsi="宋体" w:cs="宋体"/>
          <w:color w:val="000000" w:themeColor="text1"/>
          <w:sz w:val="24"/>
          <w:szCs w:val="24"/>
          <w:highlight w:val="none"/>
          <w:lang w:val="en-US" w:eastAsia="zh-CN"/>
          <w14:textFill>
            <w14:solidFill>
              <w14:schemeClr w14:val="tx1"/>
            </w14:solidFill>
          </w14:textFill>
        </w:rPr>
        <w:t>（养护期）</w:t>
      </w:r>
      <w:r>
        <w:rPr>
          <w:rFonts w:hint="eastAsia" w:ascii="宋体" w:hAnsi="宋体" w:eastAsia="宋体" w:cs="宋体"/>
          <w:color w:val="000000" w:themeColor="text1"/>
          <w:sz w:val="24"/>
          <w:szCs w:val="24"/>
          <w:highlight w:val="none"/>
          <w:lang w:val="en-US" w:eastAsia="zh-CN"/>
          <w14:textFill>
            <w14:solidFill>
              <w14:schemeClr w14:val="tx1"/>
            </w14:solidFill>
          </w14:textFill>
        </w:rPr>
        <w:t>满</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年最终验收成活率95%。</w:t>
      </w:r>
    </w:p>
    <w:p w14:paraId="3255E35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2.绿植生长状况：绿植生长健壮，无明显病虫害和损伤，达到设计要求的景观效果。</w:t>
      </w:r>
    </w:p>
    <w:p w14:paraId="513BFC7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施工满足现行国家规范及设计图纸相关要求</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15CDF318">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（二）产品质保期（养护期） </w:t>
      </w:r>
    </w:p>
    <w:p w14:paraId="600E351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供应商应提供售后服务承诺，种植完工后，养护期</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年。</w:t>
      </w:r>
    </w:p>
    <w:p w14:paraId="6F2F257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（三）违约责任</w:t>
      </w:r>
    </w:p>
    <w:p w14:paraId="20D6FA4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若</w:t>
      </w:r>
      <w:r>
        <w:rPr>
          <w:rFonts w:hint="eastAsia" w:ascii="宋体" w:hAnsi="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供应商未按照合同要求提供绿植种植、养护服务或栽种方式不符合专业标准，导致绿植成活率低，服务方要承担继续履行</w:t>
      </w:r>
      <w:r>
        <w:rPr>
          <w:rFonts w:hint="eastAsia" w:ascii="宋体" w:hAnsi="宋体" w:eastAsia="宋体" w:cs="宋体"/>
          <w:color w:val="000000" w:themeColor="text1"/>
          <w:sz w:val="24"/>
          <w:szCs w:val="24"/>
          <w:lang w:val="en-US" w:eastAsia="zh-CN"/>
          <w14:textFill>
            <w14:solidFill>
              <w14:schemeClr w14:val="tx1"/>
            </w14:solidFill>
          </w14:textFill>
        </w:rPr>
        <w:t>服务（从新正确栽种）、赔偿损失（包括恢复绿植应有的状态产生的成本）应承担违约责任，</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质保期（养护期）</w:t>
      </w:r>
      <w:r>
        <w:rPr>
          <w:rFonts w:hint="eastAsia" w:ascii="宋体" w:hAnsi="宋体" w:eastAsia="宋体" w:cs="宋体"/>
          <w:color w:val="000000" w:themeColor="text1"/>
          <w:sz w:val="24"/>
          <w:szCs w:val="24"/>
          <w:lang w:val="en-US" w:eastAsia="zh-CN"/>
          <w14:textFill>
            <w14:solidFill>
              <w14:schemeClr w14:val="tx1"/>
            </w14:solidFill>
          </w14:textFill>
        </w:rPr>
        <w:t>满</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年后成活率低于95%，向甲方支付合同总价的10%作为违约金。</w:t>
      </w:r>
    </w:p>
    <w:p w14:paraId="1CEAA725">
      <w:pPr>
        <w:pStyle w:val="2"/>
        <w:keepNext w:val="0"/>
        <w:keepLines w:val="0"/>
        <w:rPr>
          <w:rFonts w:hint="eastAsia" w:ascii="宋体" w:hAnsi="宋体" w:eastAsia="宋体" w:cs="Times New Roman"/>
          <w:sz w:val="32"/>
          <w:szCs w:val="32"/>
        </w:rPr>
      </w:pPr>
      <w:r>
        <w:rPr>
          <w:rFonts w:ascii="宋体" w:hAnsi="宋体"/>
          <w:color w:val="000000" w:themeColor="text1"/>
          <w:sz w:val="32"/>
          <w:szCs w:val="32"/>
          <w14:textFill>
            <w14:solidFill>
              <w14:schemeClr w14:val="tx1"/>
            </w14:solidFill>
          </w14:textFill>
        </w:rPr>
        <w:br w:type="page"/>
      </w:r>
      <w:bookmarkStart w:id="11" w:name="_Toc328739379"/>
      <w:bookmarkStart w:id="12" w:name="_Toc162021008"/>
      <w:r>
        <w:rPr>
          <w:rFonts w:hint="eastAsia" w:ascii="宋体" w:hAnsi="宋体" w:eastAsia="宋体" w:cs="Times New Roman"/>
          <w:sz w:val="32"/>
          <w:szCs w:val="32"/>
        </w:rPr>
        <w:t xml:space="preserve">第四部分  </w:t>
      </w:r>
      <w:bookmarkEnd w:id="11"/>
      <w:bookmarkStart w:id="13" w:name="_Toc328739380"/>
      <w:r>
        <w:rPr>
          <w:rFonts w:hint="eastAsia" w:ascii="宋体" w:hAnsi="宋体" w:eastAsia="宋体" w:cs="Times New Roman"/>
          <w:sz w:val="32"/>
          <w:szCs w:val="32"/>
        </w:rPr>
        <w:t>合同范本（仅供参考）</w:t>
      </w:r>
      <w:bookmarkEnd w:id="12"/>
    </w:p>
    <w:p w14:paraId="0AD17F50">
      <w:pPr>
        <w:pageBreakBefore w:val="0"/>
        <w:overflowPunct/>
        <w:topLinePunct w:val="0"/>
        <w:bidi w:val="0"/>
        <w:adjustRightInd w:val="0"/>
        <w:snapToGrid w:val="0"/>
        <w:spacing w:line="360" w:lineRule="auto"/>
        <w:ind w:firstLine="482" w:firstLineChars="200"/>
        <w:rPr>
          <w:rFonts w:hint="eastAsia" w:ascii="宋体" w:hAnsi="宋体" w:eastAsia="宋体" w:cs="宋体"/>
          <w:b/>
          <w:color w:val="auto"/>
          <w:sz w:val="24"/>
          <w:szCs w:val="24"/>
        </w:rPr>
      </w:pPr>
    </w:p>
    <w:p w14:paraId="43B1218E">
      <w:pPr>
        <w:pageBreakBefore w:val="0"/>
        <w:widowControl w:val="0"/>
        <w:wordWrap/>
        <w:overflowPunct/>
        <w:topLinePunct w:val="0"/>
        <w:autoSpaceDE/>
        <w:autoSpaceDN/>
        <w:bidi w:val="0"/>
        <w:adjustRightInd w:val="0"/>
        <w:snapToGrid w:val="0"/>
        <w:spacing w:line="360" w:lineRule="auto"/>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采购人：</w:t>
      </w:r>
      <w:r>
        <w:rPr>
          <w:rFonts w:hint="eastAsia" w:ascii="宋体" w:hAnsi="宋体" w:eastAsia="宋体" w:cs="宋体"/>
          <w:b/>
          <w:color w:val="auto"/>
          <w:sz w:val="24"/>
          <w:szCs w:val="24"/>
          <w:u w:val="single"/>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b/>
          <w:color w:val="auto"/>
          <w:sz w:val="24"/>
          <w:szCs w:val="24"/>
        </w:rPr>
        <w:t xml:space="preserve">   </w:t>
      </w:r>
    </w:p>
    <w:p w14:paraId="6531BE6E">
      <w:pPr>
        <w:pageBreakBefore w:val="0"/>
        <w:widowControl w:val="0"/>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供应商：</w:t>
      </w:r>
      <w:r>
        <w:rPr>
          <w:rFonts w:hint="eastAsia" w:ascii="宋体" w:hAnsi="宋体" w:eastAsia="宋体" w:cs="宋体"/>
          <w:b/>
          <w:color w:val="auto"/>
          <w:sz w:val="24"/>
          <w:szCs w:val="24"/>
          <w:u w:val="single"/>
        </w:rPr>
        <w:t xml:space="preserve">                                   </w:t>
      </w:r>
      <w:r>
        <w:rPr>
          <w:rFonts w:hint="eastAsia" w:ascii="宋体" w:hAnsi="宋体" w:eastAsia="宋体" w:cs="宋体"/>
          <w:color w:val="auto"/>
          <w:sz w:val="24"/>
          <w:szCs w:val="24"/>
          <w:u w:val="single"/>
        </w:rPr>
        <w:t xml:space="preserve">   </w:t>
      </w:r>
    </w:p>
    <w:p w14:paraId="78E1EA44">
      <w:pPr>
        <w:pageBreakBefore w:val="0"/>
        <w:widowControl w:val="0"/>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根据《中华人民共和国民法典》及其他有关法律、法规，遵循平等、自愿、公平和诚信的原则，双方就下述项目范围与相关服务事项协商一致，订立本合同。</w:t>
      </w:r>
    </w:p>
    <w:p w14:paraId="67239047">
      <w:pPr>
        <w:pageBreakBefore w:val="0"/>
        <w:widowControl w:val="0"/>
        <w:wordWrap/>
        <w:overflowPunct/>
        <w:topLinePunct w:val="0"/>
        <w:autoSpaceDE/>
        <w:autoSpaceDN/>
        <w:bidi w:val="0"/>
        <w:snapToGrid w:val="0"/>
        <w:spacing w:line="360" w:lineRule="auto"/>
        <w:textAlignment w:val="auto"/>
        <w:outlineLvl w:val="2"/>
        <w:rPr>
          <w:rFonts w:hint="eastAsia" w:ascii="宋体" w:hAnsi="宋体" w:eastAsia="宋体" w:cs="宋体"/>
          <w:b/>
          <w:color w:val="auto"/>
          <w:sz w:val="24"/>
          <w:szCs w:val="24"/>
        </w:rPr>
      </w:pPr>
      <w:r>
        <w:rPr>
          <w:rFonts w:hint="eastAsia" w:ascii="宋体" w:hAnsi="宋体" w:eastAsia="宋体" w:cs="宋体"/>
          <w:b/>
          <w:color w:val="auto"/>
          <w:sz w:val="24"/>
          <w:szCs w:val="24"/>
        </w:rPr>
        <w:t>一、项目概况</w:t>
      </w:r>
    </w:p>
    <w:p w14:paraId="752211B7">
      <w:pPr>
        <w:pageBreakBefore w:val="0"/>
        <w:widowControl w:val="0"/>
        <w:wordWrap/>
        <w:overflowPunct/>
        <w:topLinePunct w:val="0"/>
        <w:autoSpaceDE/>
        <w:autoSpaceDN/>
        <w:bidi w:val="0"/>
        <w:adjustRightInd w:val="0"/>
        <w:snapToGrid w:val="0"/>
        <w:spacing w:line="360" w:lineRule="auto"/>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 项目名称：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17ADE96">
      <w:pPr>
        <w:pageBreakBefore w:val="0"/>
        <w:widowControl w:val="0"/>
        <w:wordWrap/>
        <w:overflowPunct/>
        <w:topLinePunct w:val="0"/>
        <w:autoSpaceDE/>
        <w:autoSpaceDN/>
        <w:bidi w:val="0"/>
        <w:adjustRightInd w:val="0"/>
        <w:snapToGrid w:val="0"/>
        <w:spacing w:line="360" w:lineRule="auto"/>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 项目地点：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217D62A1">
      <w:pPr>
        <w:pageBreakBefore w:val="0"/>
        <w:widowControl w:val="0"/>
        <w:wordWrap/>
        <w:overflowPunct/>
        <w:topLinePunct w:val="0"/>
        <w:autoSpaceDE/>
        <w:autoSpaceDN/>
        <w:bidi w:val="0"/>
        <w:adjustRightInd w:val="0"/>
        <w:snapToGrid w:val="0"/>
        <w:spacing w:line="360" w:lineRule="auto"/>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 项目规模：</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340579CD">
      <w:pPr>
        <w:pageBreakBefore w:val="0"/>
        <w:widowControl w:val="0"/>
        <w:wordWrap/>
        <w:overflowPunct/>
        <w:topLinePunct w:val="0"/>
        <w:autoSpaceDE/>
        <w:autoSpaceDN/>
        <w:bidi w:val="0"/>
        <w:adjustRightInd w:val="0"/>
        <w:snapToGrid w:val="0"/>
        <w:spacing w:line="360" w:lineRule="auto"/>
        <w:ind w:firstLine="475" w:firstLineChars="198"/>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 项目内容：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B7BEF21">
      <w:pPr>
        <w:pageBreakBefore w:val="0"/>
        <w:widowControl w:val="0"/>
        <w:wordWrap/>
        <w:overflowPunct/>
        <w:topLinePunct w:val="0"/>
        <w:autoSpaceDE/>
        <w:autoSpaceDN/>
        <w:bidi w:val="0"/>
        <w:snapToGrid w:val="0"/>
        <w:spacing w:line="360" w:lineRule="auto"/>
        <w:textAlignment w:val="auto"/>
        <w:outlineLvl w:val="2"/>
        <w:rPr>
          <w:rFonts w:hint="eastAsia" w:ascii="宋体" w:hAnsi="宋体" w:eastAsia="宋体" w:cs="宋体"/>
          <w:b/>
          <w:color w:val="auto"/>
          <w:sz w:val="24"/>
          <w:szCs w:val="24"/>
        </w:rPr>
      </w:pPr>
      <w:r>
        <w:rPr>
          <w:rFonts w:hint="eastAsia" w:ascii="宋体" w:hAnsi="宋体" w:eastAsia="宋体" w:cs="宋体"/>
          <w:b/>
          <w:color w:val="auto"/>
          <w:sz w:val="24"/>
          <w:szCs w:val="24"/>
        </w:rPr>
        <w:t>二、组成本合同的文件</w:t>
      </w:r>
    </w:p>
    <w:p w14:paraId="64C25893">
      <w:pPr>
        <w:pageBreakBefore w:val="0"/>
        <w:widowControl w:val="0"/>
        <w:wordWrap/>
        <w:overflowPunct/>
        <w:topLinePunct w:val="0"/>
        <w:autoSpaceDE/>
        <w:autoSpaceDN/>
        <w:bidi w:val="0"/>
        <w:adjustRightInd w:val="0"/>
        <w:snapToGrid w:val="0"/>
        <w:spacing w:line="360" w:lineRule="auto"/>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 协议书；</w:t>
      </w:r>
    </w:p>
    <w:p w14:paraId="1EB6C3DD">
      <w:pPr>
        <w:pageBreakBefore w:val="0"/>
        <w:widowControl w:val="0"/>
        <w:wordWrap/>
        <w:overflowPunct/>
        <w:topLinePunct w:val="0"/>
        <w:autoSpaceDE/>
        <w:autoSpaceDN/>
        <w:bidi w:val="0"/>
        <w:adjustRightInd w:val="0"/>
        <w:snapToGrid w:val="0"/>
        <w:spacing w:line="360" w:lineRule="auto"/>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 成交通知书、磋商响应文件、澄清、补充文件（或委托书）；</w:t>
      </w:r>
    </w:p>
    <w:p w14:paraId="550CC365">
      <w:pPr>
        <w:pageBreakBefore w:val="0"/>
        <w:widowControl w:val="0"/>
        <w:wordWrap/>
        <w:overflowPunct/>
        <w:topLinePunct w:val="0"/>
        <w:autoSpaceDE/>
        <w:autoSpaceDN/>
        <w:bidi w:val="0"/>
        <w:adjustRightInd w:val="0"/>
        <w:snapToGrid w:val="0"/>
        <w:spacing w:line="360" w:lineRule="auto"/>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本合同签订后，双方依法签订的补充协议、备忘录也是本合同文件的组成部分。</w:t>
      </w:r>
    </w:p>
    <w:p w14:paraId="54C74C27">
      <w:pPr>
        <w:pageBreakBefore w:val="0"/>
        <w:widowControl w:val="0"/>
        <w:wordWrap/>
        <w:overflowPunct/>
        <w:topLinePunct w:val="0"/>
        <w:autoSpaceDE/>
        <w:autoSpaceDN/>
        <w:bidi w:val="0"/>
        <w:snapToGrid w:val="0"/>
        <w:spacing w:line="360" w:lineRule="auto"/>
        <w:textAlignment w:val="auto"/>
        <w:outlineLvl w:val="2"/>
        <w:rPr>
          <w:rFonts w:hint="eastAsia" w:ascii="宋体" w:hAnsi="宋体" w:eastAsia="宋体" w:cs="宋体"/>
          <w:b/>
          <w:color w:val="auto"/>
          <w:sz w:val="24"/>
          <w:szCs w:val="24"/>
        </w:rPr>
      </w:pPr>
      <w:r>
        <w:rPr>
          <w:rFonts w:hint="eastAsia" w:ascii="宋体" w:hAnsi="宋体" w:eastAsia="宋体" w:cs="宋体"/>
          <w:b/>
          <w:color w:val="auto"/>
          <w:sz w:val="24"/>
          <w:szCs w:val="24"/>
        </w:rPr>
        <w:t>三、签约金额</w:t>
      </w:r>
    </w:p>
    <w:p w14:paraId="6BD20347">
      <w:pPr>
        <w:pageBreakBefore w:val="0"/>
        <w:widowControl w:val="0"/>
        <w:wordWrap/>
        <w:overflowPunct/>
        <w:topLinePunct w:val="0"/>
        <w:autoSpaceDE/>
        <w:autoSpaceDN/>
        <w:bidi w:val="0"/>
        <w:adjustRightInd w:val="0"/>
        <w:snapToGrid w:val="0"/>
        <w:spacing w:line="360" w:lineRule="auto"/>
        <w:ind w:firstLine="475" w:firstLineChars="198"/>
        <w:textAlignment w:val="auto"/>
        <w:rPr>
          <w:rFonts w:hint="eastAsia"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auto"/>
          <w:sz w:val="24"/>
          <w:szCs w:val="24"/>
        </w:rPr>
        <w:t>签约金额（大写）：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 xml:space="preserve">       ）。</w:t>
      </w:r>
    </w:p>
    <w:p w14:paraId="55B8BE3F">
      <w:pPr>
        <w:pStyle w:val="12"/>
        <w:pageBreakBefore w:val="0"/>
        <w:widowControl w:val="0"/>
        <w:wordWrap/>
        <w:overflowPunct/>
        <w:topLinePunct w:val="0"/>
        <w:autoSpaceDE/>
        <w:autoSpaceDN/>
        <w:bidi w:val="0"/>
        <w:snapToGrid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合同总价包括：价含采购运输、栽植、人工、养护、施肥等全部服务费</w:t>
      </w:r>
      <w:r>
        <w:rPr>
          <w:rFonts w:hint="eastAsia" w:ascii="宋体" w:hAnsi="宋体"/>
          <w:color w:val="000000" w:themeColor="text1"/>
          <w:sz w:val="24"/>
          <w:lang w:val="en-US" w:eastAsia="zh-CN"/>
          <w14:textFill>
            <w14:solidFill>
              <w14:schemeClr w14:val="tx1"/>
            </w14:solidFill>
          </w14:textFill>
        </w:rPr>
        <w:t>。</w:t>
      </w:r>
    </w:p>
    <w:p w14:paraId="7C595A00">
      <w:pPr>
        <w:pageBreakBefore w:val="0"/>
        <w:widowControl w:val="0"/>
        <w:wordWrap/>
        <w:overflowPunct/>
        <w:topLinePunct w:val="0"/>
        <w:autoSpaceDE/>
        <w:autoSpaceDN/>
        <w:bidi w:val="0"/>
        <w:adjustRightInd w:val="0"/>
        <w:snapToGrid w:val="0"/>
        <w:spacing w:line="360" w:lineRule="auto"/>
        <w:textAlignment w:val="auto"/>
        <w:outlineLvl w:val="2"/>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四、结算方式</w:t>
      </w:r>
    </w:p>
    <w:p w14:paraId="5BB803B6">
      <w:pPr>
        <w:pageBreakBefore w:val="0"/>
        <w:widowControl w:val="0"/>
        <w:wordWrap/>
        <w:overflowPunct/>
        <w:topLinePunct w:val="0"/>
        <w:autoSpaceDE/>
        <w:autoSpaceDN/>
        <w:bidi w:val="0"/>
        <w:snapToGrid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付款方式：</w:t>
      </w:r>
    </w:p>
    <w:p w14:paraId="420D237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合同签订后，支付合同价款</w:t>
      </w: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r>
        <w:rPr>
          <w:rFonts w:hint="eastAsia" w:ascii="宋体" w:hAnsi="宋体" w:cs="宋体"/>
          <w:color w:val="000000" w:themeColor="text1"/>
          <w:sz w:val="24"/>
          <w:szCs w:val="24"/>
          <w:highlight w:val="none"/>
          <w:lang w:val="en-US" w:eastAsia="zh-CN"/>
          <w14:textFill>
            <w14:solidFill>
              <w14:schemeClr w14:val="tx1"/>
            </w14:solidFill>
          </w14:textFill>
        </w:rPr>
        <w:t>作为</w:t>
      </w:r>
      <w:r>
        <w:rPr>
          <w:rFonts w:hint="eastAsia" w:ascii="宋体" w:hAnsi="宋体" w:eastAsia="宋体" w:cs="宋体"/>
          <w:color w:val="000000" w:themeColor="text1"/>
          <w:sz w:val="24"/>
          <w:szCs w:val="24"/>
          <w:highlight w:val="none"/>
          <w:lang w:val="en-US" w:eastAsia="zh-CN"/>
          <w14:textFill>
            <w14:solidFill>
              <w14:schemeClr w14:val="tx1"/>
            </w14:solidFill>
          </w14:textFill>
        </w:rPr>
        <w:t>预付款，工程竣工验收合格</w:t>
      </w:r>
      <w:r>
        <w:rPr>
          <w:rFonts w:hint="eastAsia" w:ascii="宋体" w:hAnsi="宋体" w:cs="宋体"/>
          <w:color w:val="000000" w:themeColor="text1"/>
          <w:sz w:val="24"/>
          <w:szCs w:val="24"/>
          <w:highlight w:val="none"/>
          <w:lang w:val="en-US" w:eastAsia="zh-CN"/>
          <w14:textFill>
            <w14:solidFill>
              <w14:schemeClr w14:val="tx1"/>
            </w14:solidFill>
          </w14:textFill>
        </w:rPr>
        <w:t>经第三方审计机构审计后，</w:t>
      </w:r>
      <w:r>
        <w:rPr>
          <w:rFonts w:hint="eastAsia" w:ascii="宋体" w:hAnsi="宋体" w:cs="宋体"/>
          <w:color w:val="000000" w:themeColor="text1"/>
          <w:sz w:val="24"/>
          <w:szCs w:val="24"/>
          <w:highlight w:val="yellow"/>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供应商开具正规发票，7个工作日内支付至审定金额的97%，剩余3%工程款留作质量保证金，质保期(养护期)1年，质保期(养护期)满后七个工作日内，一次性支付(不计息)。</w:t>
      </w:r>
    </w:p>
    <w:p w14:paraId="5616F70F">
      <w:pPr>
        <w:pageBreakBefore w:val="0"/>
        <w:widowControl w:val="0"/>
        <w:wordWrap/>
        <w:overflowPunct/>
        <w:topLinePunct w:val="0"/>
        <w:autoSpaceDE/>
        <w:autoSpaceDN/>
        <w:bidi w:val="0"/>
        <w:adjustRightInd w:val="0"/>
        <w:snapToGrid w:val="0"/>
        <w:spacing w:line="360" w:lineRule="auto"/>
        <w:textAlignment w:val="auto"/>
        <w:outlineLvl w:val="2"/>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五、</w:t>
      </w:r>
      <w:r>
        <w:rPr>
          <w:rFonts w:hint="eastAsia" w:ascii="宋体" w:hAnsi="宋体" w:cs="宋体"/>
          <w:b/>
          <w:bCs/>
          <w:color w:val="000000" w:themeColor="text1"/>
          <w:kern w:val="2"/>
          <w:sz w:val="24"/>
          <w:szCs w:val="24"/>
          <w:lang w:val="en-US" w:eastAsia="zh-CN" w:bidi="ar-SA"/>
          <w14:textFill>
            <w14:solidFill>
              <w14:schemeClr w14:val="tx1"/>
            </w14:solidFill>
          </w14:textFill>
        </w:rPr>
        <w:t>工期</w:t>
      </w: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w:t>
      </w:r>
      <w:r>
        <w:rPr>
          <w:rFonts w:hint="eastAsia" w:ascii="宋体" w:hAnsi="宋体" w:cs="宋体"/>
          <w:b w:val="0"/>
          <w:bCs w:val="0"/>
          <w:color w:val="000000" w:themeColor="text1"/>
          <w:kern w:val="2"/>
          <w:sz w:val="24"/>
          <w:szCs w:val="24"/>
          <w:lang w:val="en-US" w:eastAsia="zh-CN" w:bidi="ar-SA"/>
          <w14:textFill>
            <w14:solidFill>
              <w14:schemeClr w14:val="tx1"/>
            </w14:solidFill>
          </w14:textFill>
        </w:rPr>
        <w:t>90日历天</w:t>
      </w: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w:t>
      </w:r>
    </w:p>
    <w:p w14:paraId="58F08306">
      <w:pPr>
        <w:pageBreakBefore w:val="0"/>
        <w:widowControl w:val="0"/>
        <w:wordWrap/>
        <w:overflowPunct/>
        <w:topLinePunct w:val="0"/>
        <w:autoSpaceDE/>
        <w:autoSpaceDN/>
        <w:bidi w:val="0"/>
        <w:snapToGrid w:val="0"/>
        <w:spacing w:line="360" w:lineRule="auto"/>
        <w:textAlignment w:val="auto"/>
        <w:outlineLvl w:val="2"/>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六、双方承诺</w:t>
      </w:r>
    </w:p>
    <w:p w14:paraId="67DB1559">
      <w:pPr>
        <w:pageBreakBefore w:val="0"/>
        <w:widowControl w:val="0"/>
        <w:wordWrap/>
        <w:overflowPunct/>
        <w:topLinePunct w:val="0"/>
        <w:autoSpaceDE/>
        <w:autoSpaceDN/>
        <w:bidi w:val="0"/>
        <w:adjustRightInd w:val="0"/>
        <w:snapToGrid w:val="0"/>
        <w:spacing w:line="360" w:lineRule="auto"/>
        <w:ind w:firstLine="475" w:firstLineChars="19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 供应商向采购人承诺，按照本合同约定提供相关服务。</w:t>
      </w:r>
    </w:p>
    <w:p w14:paraId="371B8FC1">
      <w:pPr>
        <w:pageBreakBefore w:val="0"/>
        <w:widowControl w:val="0"/>
        <w:wordWrap/>
        <w:overflowPunct/>
        <w:topLinePunct w:val="0"/>
        <w:autoSpaceDE/>
        <w:autoSpaceDN/>
        <w:bidi w:val="0"/>
        <w:adjustRightInd w:val="0"/>
        <w:snapToGrid w:val="0"/>
        <w:spacing w:line="360" w:lineRule="auto"/>
        <w:ind w:firstLine="475" w:firstLineChars="19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 采购人向供应商承诺，按照本合同约定支付服务款项。</w:t>
      </w:r>
    </w:p>
    <w:p w14:paraId="5C31CB51">
      <w:pPr>
        <w:pageBreakBefore w:val="0"/>
        <w:widowControl w:val="0"/>
        <w:tabs>
          <w:tab w:val="left" w:pos="840"/>
        </w:tabs>
        <w:wordWrap/>
        <w:overflowPunct/>
        <w:topLinePunct w:val="0"/>
        <w:autoSpaceDE/>
        <w:autoSpaceDN/>
        <w:bidi w:val="0"/>
        <w:snapToGrid w:val="0"/>
        <w:spacing w:line="360" w:lineRule="auto"/>
        <w:textAlignment w:val="auto"/>
        <w:outlineLvl w:val="2"/>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七、内容及要求：</w:t>
      </w:r>
    </w:p>
    <w:p w14:paraId="51092BF3">
      <w:pPr>
        <w:pageBreakBefore w:val="0"/>
        <w:widowControl w:val="0"/>
        <w:tabs>
          <w:tab w:val="left" w:pos="840"/>
        </w:tabs>
        <w:wordWrap/>
        <w:overflowPunct/>
        <w:topLinePunct w:val="0"/>
        <w:autoSpaceDE/>
        <w:autoSpaceDN/>
        <w:bidi w:val="0"/>
        <w:snapToGrid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本次采购内容</w:t>
      </w:r>
      <w:r>
        <w:rPr>
          <w:rFonts w:hint="eastAsia" w:ascii="宋体" w:hAnsi="宋体" w:cs="宋体"/>
          <w:color w:val="000000" w:themeColor="text1"/>
          <w:sz w:val="24"/>
          <w:szCs w:val="24"/>
          <w:lang w:val="en-US" w:eastAsia="zh-CN"/>
          <w14:textFill>
            <w14:solidFill>
              <w14:schemeClr w14:val="tx1"/>
            </w14:solidFill>
          </w14:textFill>
        </w:rPr>
        <w:t>详见工程量清单。</w:t>
      </w:r>
    </w:p>
    <w:p w14:paraId="73CEA173">
      <w:pPr>
        <w:pageBreakBefore w:val="0"/>
        <w:widowControl w:val="0"/>
        <w:wordWrap/>
        <w:overflowPunct/>
        <w:topLinePunct w:val="0"/>
        <w:autoSpaceDE/>
        <w:autoSpaceDN/>
        <w:bidi w:val="0"/>
        <w:snapToGrid w:val="0"/>
        <w:spacing w:line="360" w:lineRule="auto"/>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八、项目实施地点：</w:t>
      </w:r>
      <w:r>
        <w:rPr>
          <w:rFonts w:hint="eastAsia" w:ascii="宋体" w:hAnsi="宋体" w:cs="宋体"/>
          <w:b w:val="0"/>
          <w:bCs/>
          <w:color w:val="000000" w:themeColor="text1"/>
          <w:sz w:val="24"/>
          <w:szCs w:val="24"/>
          <w:lang w:eastAsia="zh-CN"/>
          <w14:textFill>
            <w14:solidFill>
              <w14:schemeClr w14:val="tx1"/>
            </w14:solidFill>
          </w14:textFill>
        </w:rPr>
        <w:t>西安市青龙寺</w:t>
      </w:r>
      <w:r>
        <w:rPr>
          <w:rFonts w:hint="eastAsia" w:ascii="宋体" w:hAnsi="宋体" w:eastAsia="宋体" w:cs="宋体"/>
          <w:b w:val="0"/>
          <w:bCs/>
          <w:color w:val="000000" w:themeColor="text1"/>
          <w:sz w:val="24"/>
          <w:szCs w:val="24"/>
          <w14:textFill>
            <w14:solidFill>
              <w14:schemeClr w14:val="tx1"/>
            </w14:solidFill>
          </w14:textFill>
        </w:rPr>
        <w:t>。</w:t>
      </w:r>
    </w:p>
    <w:p w14:paraId="1C754D4E">
      <w:pPr>
        <w:pageBreakBefore w:val="0"/>
        <w:widowControl w:val="0"/>
        <w:wordWrap/>
        <w:overflowPunct/>
        <w:topLinePunct w:val="0"/>
        <w:autoSpaceDE/>
        <w:autoSpaceDN/>
        <w:bidi w:val="0"/>
        <w:snapToGrid w:val="0"/>
        <w:spacing w:line="360" w:lineRule="auto"/>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九、质量验收标准或规范：</w:t>
      </w:r>
    </w:p>
    <w:p w14:paraId="5959522B">
      <w:pPr>
        <w:pageBreakBefore w:val="0"/>
        <w:widowControl w:val="0"/>
        <w:wordWrap/>
        <w:overflowPunct/>
        <w:topLinePunct w:val="0"/>
        <w:autoSpaceDE/>
        <w:autoSpaceDN/>
        <w:bidi w:val="0"/>
        <w:snapToGrid w:val="0"/>
        <w:spacing w:line="360" w:lineRule="auto"/>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1.绿植成活率：</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质保期（养护期）</w:t>
      </w:r>
      <w:r>
        <w:rPr>
          <w:rFonts w:hint="eastAsia" w:ascii="宋体" w:hAnsi="宋体" w:eastAsia="宋体" w:cs="宋体"/>
          <w:bCs/>
          <w:color w:val="000000" w:themeColor="text1"/>
          <w:sz w:val="24"/>
          <w:szCs w:val="24"/>
          <w14:textFill>
            <w14:solidFill>
              <w14:schemeClr w14:val="tx1"/>
            </w14:solidFill>
          </w14:textFill>
        </w:rPr>
        <w:t>满</w:t>
      </w:r>
      <w:r>
        <w:rPr>
          <w:rFonts w:hint="eastAsia" w:ascii="宋体" w:hAnsi="宋体" w:cs="宋体"/>
          <w:bCs/>
          <w:color w:val="000000" w:themeColor="text1"/>
          <w:sz w:val="24"/>
          <w:szCs w:val="24"/>
          <w:lang w:val="en-US" w:eastAsia="zh-CN"/>
          <w14:textFill>
            <w14:solidFill>
              <w14:schemeClr w14:val="tx1"/>
            </w14:solidFill>
          </w14:textFill>
        </w:rPr>
        <w:t>1</w:t>
      </w:r>
      <w:r>
        <w:rPr>
          <w:rFonts w:hint="eastAsia" w:ascii="宋体" w:hAnsi="宋体" w:eastAsia="宋体" w:cs="宋体"/>
          <w:bCs/>
          <w:color w:val="000000" w:themeColor="text1"/>
          <w:sz w:val="24"/>
          <w:szCs w:val="24"/>
          <w14:textFill>
            <w14:solidFill>
              <w14:schemeClr w14:val="tx1"/>
            </w14:solidFill>
          </w14:textFill>
        </w:rPr>
        <w:t>年最终验收成活率95%。</w:t>
      </w:r>
    </w:p>
    <w:p w14:paraId="4C9CDAF2">
      <w:pPr>
        <w:pageBreakBefore w:val="0"/>
        <w:widowControl w:val="0"/>
        <w:wordWrap/>
        <w:overflowPunct/>
        <w:topLinePunct w:val="0"/>
        <w:autoSpaceDE/>
        <w:autoSpaceDN/>
        <w:bidi w:val="0"/>
        <w:snapToGrid w:val="0"/>
        <w:spacing w:line="360" w:lineRule="auto"/>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2.绿植生长状况：绿植生长健壮，无明显病虫害和损伤，达到设计要求的景观效果。</w:t>
      </w:r>
    </w:p>
    <w:p w14:paraId="6FD5FFA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施工满足现行国家规范及设计图纸相关要求</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65BCAE71">
      <w:pPr>
        <w:pageBreakBefore w:val="0"/>
        <w:widowControl w:val="0"/>
        <w:wordWrap/>
        <w:overflowPunct/>
        <w:topLinePunct w:val="0"/>
        <w:autoSpaceDE/>
        <w:autoSpaceDN/>
        <w:bidi w:val="0"/>
        <w:snapToGrid w:val="0"/>
        <w:spacing w:line="360" w:lineRule="auto"/>
        <w:textAlignment w:val="auto"/>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十、产品质保期</w:t>
      </w:r>
      <w:r>
        <w:rPr>
          <w:rFonts w:hint="eastAsia" w:ascii="宋体" w:hAnsi="宋体" w:cs="宋体"/>
          <w:b/>
          <w:color w:val="000000" w:themeColor="text1"/>
          <w:sz w:val="24"/>
          <w:szCs w:val="24"/>
          <w:lang w:eastAsia="zh-CN"/>
          <w14:textFill>
            <w14:solidFill>
              <w14:schemeClr w14:val="tx1"/>
            </w14:solidFill>
          </w14:textFill>
        </w:rPr>
        <w:t>（</w:t>
      </w:r>
      <w:r>
        <w:rPr>
          <w:rFonts w:hint="eastAsia" w:ascii="宋体" w:hAnsi="宋体" w:cs="宋体"/>
          <w:b/>
          <w:color w:val="000000" w:themeColor="text1"/>
          <w:sz w:val="24"/>
          <w:szCs w:val="24"/>
          <w:lang w:val="en-US" w:eastAsia="zh-CN"/>
          <w14:textFill>
            <w14:solidFill>
              <w14:schemeClr w14:val="tx1"/>
            </w14:solidFill>
          </w14:textFill>
        </w:rPr>
        <w:t>养护期</w:t>
      </w:r>
      <w:r>
        <w:rPr>
          <w:rFonts w:hint="eastAsia" w:ascii="宋体" w:hAnsi="宋体" w:cs="宋体"/>
          <w:b/>
          <w:color w:val="000000" w:themeColor="text1"/>
          <w:sz w:val="24"/>
          <w:szCs w:val="24"/>
          <w:lang w:eastAsia="zh-CN"/>
          <w14:textFill>
            <w14:solidFill>
              <w14:schemeClr w14:val="tx1"/>
            </w14:solidFill>
          </w14:textFill>
        </w:rPr>
        <w:t>）</w:t>
      </w:r>
    </w:p>
    <w:p w14:paraId="2FBAEE20">
      <w:pPr>
        <w:pageBreakBefore w:val="0"/>
        <w:widowControl w:val="0"/>
        <w:wordWrap/>
        <w:overflowPunct/>
        <w:topLinePunct w:val="0"/>
        <w:autoSpaceDE/>
        <w:autoSpaceDN/>
        <w:bidi w:val="0"/>
        <w:snapToGrid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供应商</w:t>
      </w:r>
      <w:r>
        <w:rPr>
          <w:rFonts w:hint="eastAsia" w:ascii="宋体" w:hAnsi="宋体" w:eastAsia="宋体" w:cs="宋体"/>
          <w:b w:val="0"/>
          <w:bCs/>
          <w:color w:val="000000" w:themeColor="text1"/>
          <w:sz w:val="24"/>
          <w:szCs w:val="24"/>
          <w14:textFill>
            <w14:solidFill>
              <w14:schemeClr w14:val="tx1"/>
            </w14:solidFill>
          </w14:textFill>
        </w:rPr>
        <w:t>应提供售后服务承诺，种植完工后，</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质保期（养护期）</w:t>
      </w:r>
      <w:r>
        <w:rPr>
          <w:rFonts w:hint="eastAsia" w:ascii="宋体" w:hAnsi="宋体" w:cs="宋体"/>
          <w:b w:val="0"/>
          <w:bCs/>
          <w:color w:val="000000" w:themeColor="text1"/>
          <w:sz w:val="24"/>
          <w:szCs w:val="24"/>
          <w:lang w:val="en-US" w:eastAsia="zh-CN"/>
          <w14:textFill>
            <w14:solidFill>
              <w14:schemeClr w14:val="tx1"/>
            </w14:solidFill>
          </w14:textFill>
        </w:rPr>
        <w:t>1</w:t>
      </w:r>
      <w:r>
        <w:rPr>
          <w:rFonts w:hint="eastAsia" w:ascii="宋体" w:hAnsi="宋体" w:eastAsia="宋体" w:cs="宋体"/>
          <w:b w:val="0"/>
          <w:bCs/>
          <w:color w:val="000000" w:themeColor="text1"/>
          <w:sz w:val="24"/>
          <w:szCs w:val="24"/>
          <w14:textFill>
            <w14:solidFill>
              <w14:schemeClr w14:val="tx1"/>
            </w14:solidFill>
          </w14:textFill>
        </w:rPr>
        <w:t>年。</w:t>
      </w:r>
    </w:p>
    <w:p w14:paraId="1A969543">
      <w:pPr>
        <w:pageBreakBefore w:val="0"/>
        <w:widowControl w:val="0"/>
        <w:wordWrap/>
        <w:overflowPunct/>
        <w:topLinePunct w:val="0"/>
        <w:autoSpaceDE/>
        <w:autoSpaceDN/>
        <w:bidi w:val="0"/>
        <w:snapToGrid w:val="0"/>
        <w:spacing w:line="360"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十</w:t>
      </w:r>
      <w:r>
        <w:rPr>
          <w:rFonts w:hint="eastAsia" w:ascii="宋体" w:hAnsi="宋体" w:cs="宋体"/>
          <w:b/>
          <w:color w:val="000000" w:themeColor="text1"/>
          <w:sz w:val="24"/>
          <w:szCs w:val="24"/>
          <w:lang w:val="en-US" w:eastAsia="zh-CN"/>
          <w14:textFill>
            <w14:solidFill>
              <w14:schemeClr w14:val="tx1"/>
            </w14:solidFill>
          </w14:textFill>
        </w:rPr>
        <w:t>一</w:t>
      </w:r>
      <w:r>
        <w:rPr>
          <w:rFonts w:hint="eastAsia" w:ascii="宋体" w:hAnsi="宋体" w:eastAsia="宋体" w:cs="宋体"/>
          <w:b/>
          <w:color w:val="000000" w:themeColor="text1"/>
          <w:sz w:val="24"/>
          <w:szCs w:val="24"/>
          <w14:textFill>
            <w14:solidFill>
              <w14:schemeClr w14:val="tx1"/>
            </w14:solidFill>
          </w14:textFill>
        </w:rPr>
        <w:t>、合同争议的解决：</w:t>
      </w:r>
      <w:r>
        <w:rPr>
          <w:rFonts w:hint="eastAsia" w:ascii="宋体" w:hAnsi="宋体" w:eastAsia="宋体" w:cs="宋体"/>
          <w:color w:val="000000" w:themeColor="text1"/>
          <w:sz w:val="24"/>
          <w:szCs w:val="24"/>
          <w14:textFill>
            <w14:solidFill>
              <w14:schemeClr w14:val="tx1"/>
            </w14:solidFill>
          </w14:textFill>
        </w:rPr>
        <w:t>合同执行中发生争议的，当事人双方应协商解决，协商达不成一致时，可向采购人住所地有管辖权的人民法院提请诉讼。</w:t>
      </w:r>
    </w:p>
    <w:p w14:paraId="3806E49E">
      <w:pPr>
        <w:pageBreakBefore w:val="0"/>
        <w:widowControl w:val="0"/>
        <w:wordWrap/>
        <w:overflowPunct/>
        <w:topLinePunct w:val="0"/>
        <w:autoSpaceDE/>
        <w:autoSpaceDN/>
        <w:bidi w:val="0"/>
        <w:snapToGrid w:val="0"/>
        <w:spacing w:line="360"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lang w:val="en-US" w:eastAsia="zh-CN"/>
          <w14:textFill>
            <w14:solidFill>
              <w14:schemeClr w14:val="tx1"/>
            </w14:solidFill>
          </w14:textFill>
        </w:rPr>
        <w:t>十二</w:t>
      </w:r>
      <w:r>
        <w:rPr>
          <w:rFonts w:hint="eastAsia" w:ascii="宋体" w:hAnsi="宋体" w:eastAsia="宋体" w:cs="宋体"/>
          <w:b/>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合同一经签订，不得擅自变更、中止或者终止合同。对确需变更、调整或者中止、终止合同的，应按规定履行相应的手续。</w:t>
      </w:r>
    </w:p>
    <w:p w14:paraId="2704A055">
      <w:pPr>
        <w:pageBreakBefore w:val="0"/>
        <w:widowControl w:val="0"/>
        <w:wordWrap/>
        <w:overflowPunct/>
        <w:topLinePunct w:val="0"/>
        <w:autoSpaceDE/>
        <w:autoSpaceDN/>
        <w:bidi w:val="0"/>
        <w:snapToGrid w:val="0"/>
        <w:spacing w:line="360" w:lineRule="auto"/>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十五、违约责任：</w:t>
      </w:r>
    </w:p>
    <w:p w14:paraId="29E819A1">
      <w:pPr>
        <w:pageBreakBefore w:val="0"/>
        <w:widowControl w:val="0"/>
        <w:wordWrap/>
        <w:overflowPunct/>
        <w:topLinePunct w:val="0"/>
        <w:autoSpaceDE/>
        <w:autoSpaceDN/>
        <w:bidi w:val="0"/>
        <w:snapToGrid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若供应商未按照合同要求提供绿植或种植、养护服务不符合标准，应承担违约责任，成活率低于95%，向甲方支付合同总价的10%作为违约金。依据《中华人民共和国民法典》、《中华人民共和国政府采购法》的相关条款和本合同约定，成交供应商未全面履行合同义务或者发生违约，采购单位会同采购代理机构有权终止合同，依法向成交供应商进行经济索赔。采购单位违约的，应当赔偿给成交供应商造成的经济损失。 </w:t>
      </w:r>
    </w:p>
    <w:p w14:paraId="00D1D1F9">
      <w:pPr>
        <w:pageBreakBefore w:val="0"/>
        <w:widowControl w:val="0"/>
        <w:wordWrap/>
        <w:overflowPunct/>
        <w:topLinePunct w:val="0"/>
        <w:autoSpaceDE/>
        <w:autoSpaceDN/>
        <w:bidi w:val="0"/>
        <w:snapToGrid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品种不符</w:t>
      </w:r>
    </w:p>
    <w:p w14:paraId="46C9C268">
      <w:pPr>
        <w:pageBreakBefore w:val="0"/>
        <w:widowControl w:val="0"/>
        <w:wordWrap/>
        <w:overflowPunct/>
        <w:topLinePunct w:val="0"/>
        <w:autoSpaceDE/>
        <w:autoSpaceDN/>
        <w:bidi w:val="0"/>
        <w:snapToGrid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若供应方提供的绿植品种与合同约定不符，应在收到购买方通知后的</w:t>
      </w:r>
      <w:r>
        <w:rPr>
          <w:rFonts w:hint="eastAsia" w:ascii="宋体" w:hAnsi="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个工作日内，无偿更换为正确品种的绿植，并承担由此产生的运输费用及其他相关费用。</w:t>
      </w:r>
    </w:p>
    <w:p w14:paraId="5CFFDDB0">
      <w:pPr>
        <w:pageBreakBefore w:val="0"/>
        <w:widowControl w:val="0"/>
        <w:wordWrap/>
        <w:overflowPunct/>
        <w:topLinePunct w:val="0"/>
        <w:autoSpaceDE/>
        <w:autoSpaceDN/>
        <w:bidi w:val="0"/>
        <w:snapToGrid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若因品种不符导致购买方项目延误或造成其他损失的，供应方应按照合同总金额的</w:t>
      </w: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%向购买方支付违约金，并赔偿购买方的实际损失。</w:t>
      </w:r>
    </w:p>
    <w:p w14:paraId="660FCA5F">
      <w:pPr>
        <w:pageBreakBefore w:val="0"/>
        <w:widowControl w:val="0"/>
        <w:wordWrap/>
        <w:overflowPunct/>
        <w:topLinePunct w:val="0"/>
        <w:autoSpaceDE/>
        <w:autoSpaceDN/>
        <w:bidi w:val="0"/>
        <w:snapToGrid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2.质量问题</w:t>
      </w:r>
    </w:p>
    <w:p w14:paraId="32977B35">
      <w:pPr>
        <w:pageBreakBefore w:val="0"/>
        <w:widowControl w:val="0"/>
        <w:wordWrap/>
        <w:overflowPunct/>
        <w:topLinePunct w:val="0"/>
        <w:autoSpaceDE/>
        <w:autoSpaceDN/>
        <w:bidi w:val="0"/>
        <w:snapToGrid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供应方提供的绿植应符合约定的质量标准，如有病虫害、损伤、枯萎等质量问题，供应方应在</w:t>
      </w:r>
      <w:r>
        <w:rPr>
          <w:rFonts w:hint="eastAsia" w:ascii="宋体" w:hAnsi="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个工作日内进行更换或修复。</w:t>
      </w:r>
    </w:p>
    <w:p w14:paraId="1157646A">
      <w:pPr>
        <w:pageBreakBefore w:val="0"/>
        <w:widowControl w:val="0"/>
        <w:wordWrap/>
        <w:overflowPunct/>
        <w:topLinePunct w:val="0"/>
        <w:autoSpaceDE/>
        <w:autoSpaceDN/>
        <w:bidi w:val="0"/>
        <w:snapToGrid w:val="0"/>
        <w:spacing w:line="360" w:lineRule="auto"/>
        <w:ind w:firstLine="720" w:firstLineChars="3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若因质量问题导致绿植在合理期限内死亡，供应方应负责免费更换相同品种和规格的绿植，并承担因此产生的费用。</w:t>
      </w:r>
    </w:p>
    <w:p w14:paraId="454442D5">
      <w:pPr>
        <w:pageBreakBefore w:val="0"/>
        <w:widowControl w:val="0"/>
        <w:wordWrap/>
        <w:overflowPunct/>
        <w:topLinePunct w:val="0"/>
        <w:autoSpaceDE/>
        <w:autoSpaceDN/>
        <w:bidi w:val="0"/>
        <w:snapToGrid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3.数量不足</w:t>
      </w:r>
    </w:p>
    <w:p w14:paraId="30CA7877">
      <w:pPr>
        <w:pageBreakBefore w:val="0"/>
        <w:widowControl w:val="0"/>
        <w:wordWrap/>
        <w:overflowPunct/>
        <w:topLinePunct w:val="0"/>
        <w:autoSpaceDE/>
        <w:autoSpaceDN/>
        <w:bidi w:val="0"/>
        <w:snapToGrid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供应方应按照合同约定的数量提供绿植，若数量不足，应在</w:t>
      </w:r>
      <w:r>
        <w:rPr>
          <w:rFonts w:hint="eastAsia" w:ascii="宋体" w:hAnsi="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个工作日内补足。</w:t>
      </w:r>
    </w:p>
    <w:p w14:paraId="369223AC">
      <w:pPr>
        <w:pageBreakBefore w:val="0"/>
        <w:widowControl w:val="0"/>
        <w:wordWrap/>
        <w:overflowPunct/>
        <w:topLinePunct w:val="0"/>
        <w:autoSpaceDE/>
        <w:autoSpaceDN/>
        <w:bidi w:val="0"/>
        <w:snapToGrid w:val="0"/>
        <w:spacing w:line="360" w:lineRule="auto"/>
        <w:ind w:firstLine="720" w:firstLineChars="3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因数量不足影响购买方项目进度的，供应方应按照合同总金额的</w:t>
      </w: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 xml:space="preserve">%向购买方支付违约金，并赔偿购买方因此产生的损失。 </w:t>
      </w:r>
    </w:p>
    <w:p w14:paraId="746B708E">
      <w:pPr>
        <w:pageBreakBefore w:val="0"/>
        <w:widowControl w:val="0"/>
        <w:wordWrap/>
        <w:overflowPunct/>
        <w:topLinePunct w:val="0"/>
        <w:autoSpaceDE/>
        <w:autoSpaceDN/>
        <w:bidi w:val="0"/>
        <w:snapToGrid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二、种植方违约条款</w:t>
      </w:r>
    </w:p>
    <w:p w14:paraId="538FCFD1">
      <w:pPr>
        <w:pageBreakBefore w:val="0"/>
        <w:widowControl w:val="0"/>
        <w:wordWrap/>
        <w:overflowPunct/>
        <w:topLinePunct w:val="0"/>
        <w:autoSpaceDE/>
        <w:autoSpaceDN/>
        <w:bidi w:val="0"/>
        <w:snapToGrid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1.工期延误</w:t>
      </w:r>
    </w:p>
    <w:p w14:paraId="396A4E0D">
      <w:pPr>
        <w:pageBreakBefore w:val="0"/>
        <w:widowControl w:val="0"/>
        <w:wordWrap/>
        <w:overflowPunct/>
        <w:topLinePunct w:val="0"/>
        <w:autoSpaceDE/>
        <w:autoSpaceDN/>
        <w:bidi w:val="0"/>
        <w:snapToGrid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种植方应在合同约定的工期内完成绿植种植工作，若因种植方原因导致工期延误，每延误一天，应按照合同总金额的</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%向购买方支付违约金。</w:t>
      </w:r>
    </w:p>
    <w:p w14:paraId="3EBB27B1">
      <w:pPr>
        <w:pageBreakBefore w:val="0"/>
        <w:widowControl w:val="0"/>
        <w:wordWrap/>
        <w:overflowPunct/>
        <w:topLinePunct w:val="0"/>
        <w:autoSpaceDE/>
        <w:autoSpaceDN/>
        <w:bidi w:val="0"/>
        <w:snapToGrid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若工期延误超过</w:t>
      </w:r>
      <w:r>
        <w:rPr>
          <w:rFonts w:hint="eastAsia" w:ascii="宋体" w:hAnsi="宋体" w:cs="宋体"/>
          <w:color w:val="000000" w:themeColor="text1"/>
          <w:sz w:val="24"/>
          <w:szCs w:val="24"/>
          <w:lang w:val="en-US" w:eastAsia="zh-CN"/>
          <w14:textFill>
            <w14:solidFill>
              <w14:schemeClr w14:val="tx1"/>
            </w14:solidFill>
          </w14:textFill>
        </w:rPr>
        <w:t>10个工作日</w:t>
      </w:r>
      <w:r>
        <w:rPr>
          <w:rFonts w:hint="eastAsia" w:ascii="宋体" w:hAnsi="宋体" w:eastAsia="宋体" w:cs="宋体"/>
          <w:color w:val="000000" w:themeColor="text1"/>
          <w:sz w:val="24"/>
          <w:szCs w:val="24"/>
          <w14:textFill>
            <w14:solidFill>
              <w14:schemeClr w14:val="tx1"/>
            </w14:solidFill>
          </w14:textFill>
        </w:rPr>
        <w:t>天，购买方有权解除合同，并要求种植方返还已支付的款项，同时种植方应按照合同总金额的</w:t>
      </w:r>
      <w:r>
        <w:rPr>
          <w:rFonts w:hint="eastAsia" w:ascii="宋体" w:hAnsi="宋体" w:cs="宋体"/>
          <w:color w:val="000000" w:themeColor="text1"/>
          <w:sz w:val="24"/>
          <w:szCs w:val="24"/>
          <w:lang w:val="en-US" w:eastAsia="zh-CN"/>
          <w14:textFill>
            <w14:solidFill>
              <w14:schemeClr w14:val="tx1"/>
            </w14:solidFill>
          </w14:textFill>
        </w:rPr>
        <w:t>10</w:t>
      </w:r>
      <w:r>
        <w:rPr>
          <w:rFonts w:hint="eastAsia" w:ascii="宋体" w:hAnsi="宋体" w:eastAsia="宋体" w:cs="宋体"/>
          <w:color w:val="000000" w:themeColor="text1"/>
          <w:sz w:val="24"/>
          <w:szCs w:val="24"/>
          <w14:textFill>
            <w14:solidFill>
              <w14:schemeClr w14:val="tx1"/>
            </w14:solidFill>
          </w14:textFill>
        </w:rPr>
        <w:t>%向购买方支付违约金。</w:t>
      </w:r>
    </w:p>
    <w:p w14:paraId="3A385EF8">
      <w:pPr>
        <w:pageBreakBefore w:val="0"/>
        <w:widowControl w:val="0"/>
        <w:wordWrap/>
        <w:overflowPunct/>
        <w:topLinePunct w:val="0"/>
        <w:autoSpaceDE/>
        <w:autoSpaceDN/>
        <w:bidi w:val="0"/>
        <w:snapToGrid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2.种植标准不符</w:t>
      </w:r>
    </w:p>
    <w:p w14:paraId="454594C7">
      <w:pPr>
        <w:pageBreakBefore w:val="0"/>
        <w:widowControl w:val="0"/>
        <w:wordWrap/>
        <w:overflowPunct/>
        <w:topLinePunct w:val="0"/>
        <w:autoSpaceDE/>
        <w:autoSpaceDN/>
        <w:bidi w:val="0"/>
        <w:snapToGrid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种植方应按照合同约定的种植标准进行绿植种植，若种植标准不符合要求，应在收到购买方通知后的</w:t>
      </w:r>
      <w:r>
        <w:rPr>
          <w:rFonts w:hint="eastAsia" w:ascii="宋体" w:hAnsi="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个工作日内进行整改。</w:t>
      </w:r>
    </w:p>
    <w:p w14:paraId="5AD93419">
      <w:pPr>
        <w:pageBreakBefore w:val="0"/>
        <w:widowControl w:val="0"/>
        <w:wordWrap/>
        <w:overflowPunct/>
        <w:topLinePunct w:val="0"/>
        <w:autoSpaceDE/>
        <w:autoSpaceDN/>
        <w:bidi w:val="0"/>
        <w:snapToGrid w:val="0"/>
        <w:spacing w:line="360" w:lineRule="auto"/>
        <w:ind w:firstLine="720" w:firstLineChars="3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若因种植标准不符导致绿植生长不良或死亡，种植方应负责免费更换或补种绿植，并承担因此产生的费用。</w:t>
      </w:r>
    </w:p>
    <w:p w14:paraId="529A9301">
      <w:pPr>
        <w:pageBreakBefore w:val="0"/>
        <w:widowControl w:val="0"/>
        <w:wordWrap/>
        <w:overflowPunct/>
        <w:topLinePunct w:val="0"/>
        <w:autoSpaceDE/>
        <w:autoSpaceDN/>
        <w:bidi w:val="0"/>
        <w:snapToGrid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3.养护不力</w:t>
      </w:r>
    </w:p>
    <w:p w14:paraId="2533A30C">
      <w:pPr>
        <w:pageBreakBefore w:val="0"/>
        <w:widowControl w:val="0"/>
        <w:wordWrap/>
        <w:overflowPunct/>
        <w:topLinePunct w:val="0"/>
        <w:autoSpaceDE/>
        <w:autoSpaceDN/>
        <w:bidi w:val="0"/>
        <w:snapToGrid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种植方应按照合同约定对绿植进行养护，保证绿植在养护期内的成活率达到</w:t>
      </w:r>
      <w:r>
        <w:rPr>
          <w:rFonts w:hint="eastAsia" w:ascii="宋体" w:hAnsi="宋体" w:eastAsia="宋体" w:cs="宋体"/>
          <w:color w:val="000000" w:themeColor="text1"/>
          <w:sz w:val="24"/>
          <w:szCs w:val="24"/>
          <w:lang w:val="en-US" w:eastAsia="zh-CN"/>
          <w14:textFill>
            <w14:solidFill>
              <w14:schemeClr w14:val="tx1"/>
            </w14:solidFill>
          </w14:textFill>
        </w:rPr>
        <w:t>95</w:t>
      </w:r>
      <w:r>
        <w:rPr>
          <w:rFonts w:hint="eastAsia" w:ascii="宋体" w:hAnsi="宋体" w:eastAsia="宋体" w:cs="宋体"/>
          <w:color w:val="000000" w:themeColor="text1"/>
          <w:sz w:val="24"/>
          <w:szCs w:val="24"/>
          <w14:textFill>
            <w14:solidFill>
              <w14:schemeClr w14:val="tx1"/>
            </w14:solidFill>
          </w14:textFill>
        </w:rPr>
        <w:t>%以上。</w:t>
      </w:r>
    </w:p>
    <w:p w14:paraId="5DBF12D4">
      <w:pPr>
        <w:pageBreakBefore w:val="0"/>
        <w:widowControl w:val="0"/>
        <w:wordWrap/>
        <w:overflowPunct/>
        <w:topLinePunct w:val="0"/>
        <w:autoSpaceDE/>
        <w:autoSpaceDN/>
        <w:bidi w:val="0"/>
        <w:snapToGrid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若因养护不力导致绿植成活率低于约定标准，种植方应负责免费补种绿植，并承担因此产生的费用。</w:t>
      </w:r>
    </w:p>
    <w:p w14:paraId="667F28AB">
      <w:pPr>
        <w:pageBreakBefore w:val="0"/>
        <w:widowControl w:val="0"/>
        <w:wordWrap/>
        <w:overflowPunct/>
        <w:topLinePunct w:val="0"/>
        <w:autoSpaceDE/>
        <w:autoSpaceDN/>
        <w:bidi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十六、其他（</w:t>
      </w:r>
      <w:r>
        <w:rPr>
          <w:rFonts w:hint="eastAsia" w:ascii="宋体" w:hAnsi="宋体" w:eastAsia="宋体" w:cs="宋体"/>
          <w:color w:val="auto"/>
          <w:sz w:val="24"/>
          <w:szCs w:val="24"/>
        </w:rPr>
        <w:t>在合同中具体明确）</w:t>
      </w:r>
    </w:p>
    <w:p w14:paraId="264469C4">
      <w:pPr>
        <w:pageBreakBefore w:val="0"/>
        <w:widowControl w:val="0"/>
        <w:wordWrap/>
        <w:overflowPunct/>
        <w:topLinePunct w:val="0"/>
        <w:autoSpaceDE/>
        <w:autoSpaceDN/>
        <w:bidi w:val="0"/>
        <w:snapToGrid w:val="0"/>
        <w:spacing w:line="360" w:lineRule="auto"/>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十七、合同订立</w:t>
      </w:r>
    </w:p>
    <w:p w14:paraId="055CEEE0">
      <w:pPr>
        <w:pageBreakBefore w:val="0"/>
        <w:widowControl w:val="0"/>
        <w:wordWrap/>
        <w:overflowPunct/>
        <w:topLinePunct w:val="0"/>
        <w:autoSpaceDE/>
        <w:autoSpaceDN/>
        <w:bidi w:val="0"/>
        <w:adjustRightInd w:val="0"/>
        <w:snapToGrid w:val="0"/>
        <w:spacing w:line="360" w:lineRule="auto"/>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 订立时间：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0CEFF70E">
      <w:pPr>
        <w:pageBreakBefore w:val="0"/>
        <w:widowControl w:val="0"/>
        <w:wordWrap/>
        <w:overflowPunct/>
        <w:topLinePunct w:val="0"/>
        <w:autoSpaceDE/>
        <w:autoSpaceDN/>
        <w:bidi w:val="0"/>
        <w:adjustRightInd w:val="0"/>
        <w:snapToGrid w:val="0"/>
        <w:spacing w:line="360" w:lineRule="auto"/>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 订立地点：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24FD8AF">
      <w:pPr>
        <w:pageBreakBefore w:val="0"/>
        <w:widowControl w:val="0"/>
        <w:tabs>
          <w:tab w:val="left" w:pos="980"/>
        </w:tabs>
        <w:kinsoku w:val="0"/>
        <w:wordWrap/>
        <w:overflowPunct/>
        <w:topLinePunct w:val="0"/>
        <w:autoSpaceDE/>
        <w:autoSpaceDN/>
        <w:bidi w:val="0"/>
        <w:snapToGrid w:val="0"/>
        <w:spacing w:line="360" w:lineRule="auto"/>
        <w:ind w:left="218" w:leftChars="104" w:firstLine="259" w:firstLineChars="10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 本合同一式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份，具有同等法律效力，双方各执</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份，签字盖章后生效，合同执行完毕自动失效（合同的服务承诺则长期有效）。</w:t>
      </w:r>
    </w:p>
    <w:p w14:paraId="30463EEB">
      <w:pPr>
        <w:pageBreakBefore w:val="0"/>
        <w:overflowPunct/>
        <w:topLinePunct w:val="0"/>
        <w:bidi w:val="0"/>
        <w:adjustRightInd w:val="0"/>
        <w:snapToGrid w:val="0"/>
        <w:spacing w:line="360" w:lineRule="auto"/>
        <w:ind w:firstLine="475" w:firstLineChars="198"/>
        <w:rPr>
          <w:rFonts w:hint="eastAsia" w:ascii="仿宋_GB2312" w:hAnsi="仿宋_GB2312" w:eastAsia="仿宋_GB2312" w:cs="仿宋_GB2312"/>
          <w:color w:val="auto"/>
          <w:sz w:val="24"/>
        </w:rPr>
      </w:pPr>
    </w:p>
    <w:tbl>
      <w:tblPr>
        <w:tblStyle w:val="30"/>
        <w:tblW w:w="0" w:type="auto"/>
        <w:jc w:val="center"/>
        <w:tblLayout w:type="fixed"/>
        <w:tblCellMar>
          <w:top w:w="0" w:type="dxa"/>
          <w:left w:w="108" w:type="dxa"/>
          <w:bottom w:w="0" w:type="dxa"/>
          <w:right w:w="108" w:type="dxa"/>
        </w:tblCellMar>
      </w:tblPr>
      <w:tblGrid>
        <w:gridCol w:w="4201"/>
        <w:gridCol w:w="4202"/>
      </w:tblGrid>
      <w:tr w14:paraId="382C9F10">
        <w:tblPrEx>
          <w:tblCellMar>
            <w:top w:w="0" w:type="dxa"/>
            <w:left w:w="108" w:type="dxa"/>
            <w:bottom w:w="0" w:type="dxa"/>
            <w:right w:w="108" w:type="dxa"/>
          </w:tblCellMar>
        </w:tblPrEx>
        <w:trPr>
          <w:trHeight w:val="567" w:hRule="exact"/>
          <w:jc w:val="center"/>
        </w:trPr>
        <w:tc>
          <w:tcPr>
            <w:tcW w:w="4201" w:type="dxa"/>
            <w:noWrap w:val="0"/>
            <w:vAlign w:val="center"/>
          </w:tcPr>
          <w:p w14:paraId="169AD8FF">
            <w:pPr>
              <w:autoSpaceDE w:val="0"/>
              <w:autoSpaceDN w:val="0"/>
              <w:adjustRightInd w:val="0"/>
              <w:snapToGrid w:val="0"/>
              <w:spacing w:line="360" w:lineRule="auto"/>
              <w:rPr>
                <w:rFonts w:ascii="宋体" w:hAnsi="宋体" w:cs="仿宋_GB2312"/>
                <w:bCs/>
                <w:sz w:val="24"/>
              </w:rPr>
            </w:pPr>
            <w:r>
              <w:rPr>
                <w:rFonts w:hint="eastAsia" w:ascii="宋体" w:hAnsi="宋体" w:cs="仿宋_GB2312"/>
                <w:bCs/>
                <w:sz w:val="24"/>
              </w:rPr>
              <w:t>甲方：</w:t>
            </w:r>
          </w:p>
        </w:tc>
        <w:tc>
          <w:tcPr>
            <w:tcW w:w="4202" w:type="dxa"/>
            <w:noWrap w:val="0"/>
            <w:vAlign w:val="center"/>
          </w:tcPr>
          <w:p w14:paraId="053EDF59">
            <w:pPr>
              <w:autoSpaceDE w:val="0"/>
              <w:autoSpaceDN w:val="0"/>
              <w:adjustRightInd w:val="0"/>
              <w:snapToGrid w:val="0"/>
              <w:spacing w:line="360" w:lineRule="auto"/>
              <w:rPr>
                <w:rFonts w:ascii="宋体" w:hAnsi="宋体" w:cs="仿宋_GB2312"/>
                <w:bCs/>
                <w:sz w:val="24"/>
              </w:rPr>
            </w:pPr>
            <w:r>
              <w:rPr>
                <w:rFonts w:hint="eastAsia" w:ascii="宋体" w:hAnsi="宋体" w:cs="仿宋_GB2312"/>
                <w:bCs/>
                <w:sz w:val="24"/>
              </w:rPr>
              <w:t>乙方：</w:t>
            </w:r>
          </w:p>
        </w:tc>
      </w:tr>
      <w:tr w14:paraId="5161B641">
        <w:tblPrEx>
          <w:tblCellMar>
            <w:top w:w="0" w:type="dxa"/>
            <w:left w:w="108" w:type="dxa"/>
            <w:bottom w:w="0" w:type="dxa"/>
            <w:right w:w="108" w:type="dxa"/>
          </w:tblCellMar>
        </w:tblPrEx>
        <w:trPr>
          <w:trHeight w:val="567" w:hRule="exact"/>
          <w:jc w:val="center"/>
        </w:trPr>
        <w:tc>
          <w:tcPr>
            <w:tcW w:w="4201" w:type="dxa"/>
            <w:noWrap w:val="0"/>
            <w:vAlign w:val="center"/>
          </w:tcPr>
          <w:p w14:paraId="68866950">
            <w:pPr>
              <w:autoSpaceDE w:val="0"/>
              <w:autoSpaceDN w:val="0"/>
              <w:adjustRightInd w:val="0"/>
              <w:snapToGrid w:val="0"/>
              <w:spacing w:line="360" w:lineRule="auto"/>
              <w:ind w:firstLine="840" w:firstLineChars="350"/>
              <w:rPr>
                <w:rFonts w:ascii="宋体" w:hAnsi="宋体" w:cs="仿宋_GB2312"/>
                <w:bCs/>
                <w:sz w:val="24"/>
              </w:rPr>
            </w:pPr>
            <w:r>
              <w:rPr>
                <w:rFonts w:hint="eastAsia" w:ascii="宋体" w:hAnsi="宋体" w:cs="仿宋_GB2312"/>
                <w:bCs/>
                <w:sz w:val="24"/>
              </w:rPr>
              <w:t>（盖章）</w:t>
            </w:r>
          </w:p>
        </w:tc>
        <w:tc>
          <w:tcPr>
            <w:tcW w:w="4202" w:type="dxa"/>
            <w:noWrap w:val="0"/>
            <w:vAlign w:val="center"/>
          </w:tcPr>
          <w:p w14:paraId="7AF4C6C5">
            <w:pPr>
              <w:autoSpaceDE w:val="0"/>
              <w:autoSpaceDN w:val="0"/>
              <w:adjustRightInd w:val="0"/>
              <w:snapToGrid w:val="0"/>
              <w:spacing w:line="360" w:lineRule="auto"/>
              <w:ind w:firstLine="960" w:firstLineChars="400"/>
              <w:rPr>
                <w:rFonts w:ascii="宋体" w:hAnsi="宋体" w:cs="仿宋_GB2312"/>
                <w:bCs/>
                <w:sz w:val="24"/>
              </w:rPr>
            </w:pPr>
            <w:r>
              <w:rPr>
                <w:rFonts w:hint="eastAsia" w:ascii="宋体" w:hAnsi="宋体" w:cs="仿宋_GB2312"/>
                <w:bCs/>
                <w:sz w:val="24"/>
              </w:rPr>
              <w:t>（盖章）</w:t>
            </w:r>
          </w:p>
        </w:tc>
      </w:tr>
      <w:tr w14:paraId="6F343753">
        <w:tblPrEx>
          <w:tblCellMar>
            <w:top w:w="0" w:type="dxa"/>
            <w:left w:w="108" w:type="dxa"/>
            <w:bottom w:w="0" w:type="dxa"/>
            <w:right w:w="108" w:type="dxa"/>
          </w:tblCellMar>
        </w:tblPrEx>
        <w:trPr>
          <w:trHeight w:val="567" w:hRule="exact"/>
          <w:jc w:val="center"/>
        </w:trPr>
        <w:tc>
          <w:tcPr>
            <w:tcW w:w="4201" w:type="dxa"/>
            <w:noWrap w:val="0"/>
            <w:vAlign w:val="center"/>
          </w:tcPr>
          <w:p w14:paraId="3CA9AE10">
            <w:pPr>
              <w:autoSpaceDE w:val="0"/>
              <w:autoSpaceDN w:val="0"/>
              <w:adjustRightInd w:val="0"/>
              <w:snapToGrid w:val="0"/>
              <w:spacing w:line="360" w:lineRule="auto"/>
              <w:rPr>
                <w:rFonts w:ascii="宋体" w:hAnsi="宋体" w:cs="仿宋_GB2312"/>
                <w:bCs/>
                <w:sz w:val="24"/>
              </w:rPr>
            </w:pPr>
            <w:r>
              <w:rPr>
                <w:rFonts w:hint="eastAsia" w:ascii="宋体" w:hAnsi="宋体" w:cs="仿宋_GB2312"/>
                <w:bCs/>
                <w:sz w:val="24"/>
              </w:rPr>
              <w:t>地址：</w:t>
            </w:r>
          </w:p>
        </w:tc>
        <w:tc>
          <w:tcPr>
            <w:tcW w:w="4202" w:type="dxa"/>
            <w:noWrap w:val="0"/>
            <w:vAlign w:val="center"/>
          </w:tcPr>
          <w:p w14:paraId="7F6174F0">
            <w:pPr>
              <w:autoSpaceDE w:val="0"/>
              <w:autoSpaceDN w:val="0"/>
              <w:adjustRightInd w:val="0"/>
              <w:snapToGrid w:val="0"/>
              <w:spacing w:line="360" w:lineRule="auto"/>
              <w:rPr>
                <w:rFonts w:ascii="宋体" w:hAnsi="宋体" w:cs="仿宋_GB2312"/>
                <w:bCs/>
                <w:sz w:val="24"/>
              </w:rPr>
            </w:pPr>
            <w:r>
              <w:rPr>
                <w:rFonts w:hint="eastAsia" w:ascii="宋体" w:hAnsi="宋体" w:cs="仿宋_GB2312"/>
                <w:bCs/>
                <w:sz w:val="24"/>
              </w:rPr>
              <w:t>地址：</w:t>
            </w:r>
          </w:p>
        </w:tc>
      </w:tr>
      <w:tr w14:paraId="2E6F7B92">
        <w:tblPrEx>
          <w:tblCellMar>
            <w:top w:w="0" w:type="dxa"/>
            <w:left w:w="108" w:type="dxa"/>
            <w:bottom w:w="0" w:type="dxa"/>
            <w:right w:w="108" w:type="dxa"/>
          </w:tblCellMar>
        </w:tblPrEx>
        <w:trPr>
          <w:trHeight w:val="567" w:hRule="exact"/>
          <w:jc w:val="center"/>
        </w:trPr>
        <w:tc>
          <w:tcPr>
            <w:tcW w:w="4201" w:type="dxa"/>
            <w:noWrap w:val="0"/>
            <w:vAlign w:val="center"/>
          </w:tcPr>
          <w:p w14:paraId="51B07987">
            <w:pPr>
              <w:autoSpaceDE w:val="0"/>
              <w:autoSpaceDN w:val="0"/>
              <w:adjustRightInd w:val="0"/>
              <w:snapToGrid w:val="0"/>
              <w:spacing w:line="360" w:lineRule="auto"/>
              <w:rPr>
                <w:rFonts w:ascii="宋体" w:hAnsi="宋体" w:cs="仿宋_GB2312"/>
                <w:bCs/>
                <w:sz w:val="24"/>
              </w:rPr>
            </w:pPr>
            <w:r>
              <w:rPr>
                <w:rFonts w:hint="eastAsia" w:ascii="宋体" w:hAnsi="宋体" w:cs="仿宋_GB2312"/>
                <w:bCs/>
                <w:sz w:val="24"/>
              </w:rPr>
              <w:t>邮编：</w:t>
            </w:r>
          </w:p>
        </w:tc>
        <w:tc>
          <w:tcPr>
            <w:tcW w:w="4202" w:type="dxa"/>
            <w:noWrap w:val="0"/>
            <w:vAlign w:val="center"/>
          </w:tcPr>
          <w:p w14:paraId="32783E8B">
            <w:pPr>
              <w:autoSpaceDE w:val="0"/>
              <w:autoSpaceDN w:val="0"/>
              <w:adjustRightInd w:val="0"/>
              <w:snapToGrid w:val="0"/>
              <w:spacing w:line="360" w:lineRule="auto"/>
              <w:rPr>
                <w:rFonts w:ascii="宋体" w:hAnsi="宋体" w:cs="仿宋_GB2312"/>
                <w:bCs/>
                <w:sz w:val="24"/>
              </w:rPr>
            </w:pPr>
            <w:r>
              <w:rPr>
                <w:rFonts w:hint="eastAsia" w:ascii="宋体" w:hAnsi="宋体" w:cs="仿宋_GB2312"/>
                <w:bCs/>
                <w:sz w:val="24"/>
              </w:rPr>
              <w:t>邮编：</w:t>
            </w:r>
          </w:p>
        </w:tc>
      </w:tr>
      <w:tr w14:paraId="4B24CD73">
        <w:tblPrEx>
          <w:tblCellMar>
            <w:top w:w="0" w:type="dxa"/>
            <w:left w:w="108" w:type="dxa"/>
            <w:bottom w:w="0" w:type="dxa"/>
            <w:right w:w="108" w:type="dxa"/>
          </w:tblCellMar>
        </w:tblPrEx>
        <w:trPr>
          <w:trHeight w:val="567" w:hRule="exact"/>
          <w:jc w:val="center"/>
        </w:trPr>
        <w:tc>
          <w:tcPr>
            <w:tcW w:w="4201" w:type="dxa"/>
            <w:noWrap w:val="0"/>
            <w:vAlign w:val="center"/>
          </w:tcPr>
          <w:p w14:paraId="13882720">
            <w:pPr>
              <w:autoSpaceDE w:val="0"/>
              <w:autoSpaceDN w:val="0"/>
              <w:adjustRightInd w:val="0"/>
              <w:snapToGrid w:val="0"/>
              <w:spacing w:line="360" w:lineRule="auto"/>
              <w:rPr>
                <w:rFonts w:ascii="宋体" w:hAnsi="宋体" w:cs="仿宋_GB2312"/>
                <w:bCs/>
                <w:sz w:val="24"/>
              </w:rPr>
            </w:pPr>
            <w:r>
              <w:rPr>
                <w:rFonts w:hint="eastAsia" w:ascii="宋体" w:hAnsi="宋体" w:cs="仿宋_GB2312"/>
                <w:bCs/>
                <w:sz w:val="24"/>
              </w:rPr>
              <w:t>法定代表人：</w:t>
            </w:r>
          </w:p>
        </w:tc>
        <w:tc>
          <w:tcPr>
            <w:tcW w:w="4202" w:type="dxa"/>
            <w:noWrap w:val="0"/>
            <w:vAlign w:val="center"/>
          </w:tcPr>
          <w:p w14:paraId="266676CA">
            <w:pPr>
              <w:autoSpaceDE w:val="0"/>
              <w:autoSpaceDN w:val="0"/>
              <w:adjustRightInd w:val="0"/>
              <w:snapToGrid w:val="0"/>
              <w:spacing w:line="360" w:lineRule="auto"/>
              <w:rPr>
                <w:rFonts w:ascii="宋体" w:hAnsi="宋体" w:cs="仿宋_GB2312"/>
                <w:bCs/>
                <w:sz w:val="24"/>
              </w:rPr>
            </w:pPr>
            <w:r>
              <w:rPr>
                <w:rFonts w:hint="eastAsia" w:ascii="宋体" w:hAnsi="宋体" w:cs="仿宋_GB2312"/>
                <w:bCs/>
                <w:sz w:val="24"/>
              </w:rPr>
              <w:t>法定代表人：</w:t>
            </w:r>
          </w:p>
        </w:tc>
      </w:tr>
      <w:tr w14:paraId="4238C275">
        <w:tblPrEx>
          <w:tblCellMar>
            <w:top w:w="0" w:type="dxa"/>
            <w:left w:w="108" w:type="dxa"/>
            <w:bottom w:w="0" w:type="dxa"/>
            <w:right w:w="108" w:type="dxa"/>
          </w:tblCellMar>
        </w:tblPrEx>
        <w:trPr>
          <w:trHeight w:val="567" w:hRule="exact"/>
          <w:jc w:val="center"/>
        </w:trPr>
        <w:tc>
          <w:tcPr>
            <w:tcW w:w="4201" w:type="dxa"/>
            <w:noWrap w:val="0"/>
            <w:vAlign w:val="center"/>
          </w:tcPr>
          <w:p w14:paraId="38553433">
            <w:pPr>
              <w:autoSpaceDE w:val="0"/>
              <w:autoSpaceDN w:val="0"/>
              <w:adjustRightInd w:val="0"/>
              <w:snapToGrid w:val="0"/>
              <w:spacing w:line="360" w:lineRule="auto"/>
              <w:rPr>
                <w:rFonts w:ascii="宋体" w:hAnsi="宋体" w:cs="仿宋_GB2312"/>
                <w:bCs/>
                <w:sz w:val="24"/>
              </w:rPr>
            </w:pPr>
            <w:r>
              <w:rPr>
                <w:rFonts w:hint="eastAsia" w:ascii="宋体" w:hAnsi="宋体" w:cs="仿宋_GB2312"/>
                <w:bCs/>
                <w:sz w:val="24"/>
              </w:rPr>
              <w:t>项目负责人：</w:t>
            </w:r>
          </w:p>
        </w:tc>
        <w:tc>
          <w:tcPr>
            <w:tcW w:w="4202" w:type="dxa"/>
            <w:noWrap w:val="0"/>
            <w:vAlign w:val="center"/>
          </w:tcPr>
          <w:p w14:paraId="66FDB853">
            <w:pPr>
              <w:autoSpaceDE w:val="0"/>
              <w:autoSpaceDN w:val="0"/>
              <w:adjustRightInd w:val="0"/>
              <w:snapToGrid w:val="0"/>
              <w:spacing w:line="360" w:lineRule="auto"/>
              <w:rPr>
                <w:rFonts w:ascii="宋体" w:hAnsi="宋体" w:cs="仿宋_GB2312"/>
                <w:bCs/>
                <w:sz w:val="24"/>
              </w:rPr>
            </w:pPr>
            <w:r>
              <w:rPr>
                <w:rFonts w:hint="eastAsia" w:ascii="宋体" w:hAnsi="宋体" w:cs="仿宋_GB2312"/>
                <w:bCs/>
                <w:sz w:val="24"/>
              </w:rPr>
              <w:t>项目负责人：</w:t>
            </w:r>
          </w:p>
        </w:tc>
      </w:tr>
      <w:tr w14:paraId="2BA27FA5">
        <w:tblPrEx>
          <w:tblCellMar>
            <w:top w:w="0" w:type="dxa"/>
            <w:left w:w="108" w:type="dxa"/>
            <w:bottom w:w="0" w:type="dxa"/>
            <w:right w:w="108" w:type="dxa"/>
          </w:tblCellMar>
        </w:tblPrEx>
        <w:trPr>
          <w:trHeight w:val="567" w:hRule="exact"/>
          <w:jc w:val="center"/>
        </w:trPr>
        <w:tc>
          <w:tcPr>
            <w:tcW w:w="4201" w:type="dxa"/>
            <w:noWrap w:val="0"/>
            <w:vAlign w:val="center"/>
          </w:tcPr>
          <w:p w14:paraId="741EB953">
            <w:pPr>
              <w:autoSpaceDE w:val="0"/>
              <w:autoSpaceDN w:val="0"/>
              <w:adjustRightInd w:val="0"/>
              <w:snapToGrid w:val="0"/>
              <w:spacing w:line="360" w:lineRule="auto"/>
              <w:rPr>
                <w:rFonts w:ascii="宋体" w:hAnsi="宋体" w:cs="仿宋_GB2312"/>
                <w:bCs/>
                <w:sz w:val="24"/>
              </w:rPr>
            </w:pPr>
            <w:r>
              <w:rPr>
                <w:rFonts w:hint="eastAsia" w:ascii="宋体" w:hAnsi="宋体" w:cs="仿宋_GB2312"/>
                <w:bCs/>
                <w:sz w:val="24"/>
              </w:rPr>
              <w:t>电话：</w:t>
            </w:r>
          </w:p>
        </w:tc>
        <w:tc>
          <w:tcPr>
            <w:tcW w:w="4202" w:type="dxa"/>
            <w:noWrap w:val="0"/>
            <w:vAlign w:val="center"/>
          </w:tcPr>
          <w:p w14:paraId="6E4DC1F7">
            <w:pPr>
              <w:autoSpaceDE w:val="0"/>
              <w:autoSpaceDN w:val="0"/>
              <w:adjustRightInd w:val="0"/>
              <w:snapToGrid w:val="0"/>
              <w:spacing w:line="360" w:lineRule="auto"/>
              <w:ind w:left="720" w:hanging="720" w:hangingChars="300"/>
              <w:rPr>
                <w:rFonts w:ascii="宋体" w:hAnsi="宋体" w:cs="仿宋_GB2312"/>
                <w:bCs/>
                <w:sz w:val="24"/>
              </w:rPr>
            </w:pPr>
            <w:r>
              <w:rPr>
                <w:rFonts w:hint="eastAsia" w:ascii="宋体" w:hAnsi="宋体" w:cs="仿宋_GB2312"/>
                <w:bCs/>
                <w:sz w:val="24"/>
              </w:rPr>
              <w:t>电话：</w:t>
            </w:r>
          </w:p>
        </w:tc>
      </w:tr>
      <w:tr w14:paraId="0A433FB3">
        <w:tblPrEx>
          <w:tblCellMar>
            <w:top w:w="0" w:type="dxa"/>
            <w:left w:w="108" w:type="dxa"/>
            <w:bottom w:w="0" w:type="dxa"/>
            <w:right w:w="108" w:type="dxa"/>
          </w:tblCellMar>
        </w:tblPrEx>
        <w:trPr>
          <w:trHeight w:val="567" w:hRule="exact"/>
          <w:jc w:val="center"/>
        </w:trPr>
        <w:tc>
          <w:tcPr>
            <w:tcW w:w="4201" w:type="dxa"/>
            <w:noWrap w:val="0"/>
            <w:vAlign w:val="center"/>
          </w:tcPr>
          <w:p w14:paraId="3D1C127D">
            <w:pPr>
              <w:autoSpaceDE w:val="0"/>
              <w:autoSpaceDN w:val="0"/>
              <w:adjustRightInd w:val="0"/>
              <w:snapToGrid w:val="0"/>
              <w:spacing w:line="360" w:lineRule="auto"/>
              <w:rPr>
                <w:rFonts w:ascii="宋体" w:hAnsi="宋体" w:cs="仿宋_GB2312"/>
                <w:bCs/>
                <w:sz w:val="24"/>
              </w:rPr>
            </w:pPr>
            <w:r>
              <w:rPr>
                <w:rFonts w:hint="eastAsia" w:ascii="宋体" w:hAnsi="宋体" w:cs="仿宋_GB2312"/>
                <w:bCs/>
                <w:sz w:val="24"/>
              </w:rPr>
              <w:t>传真：</w:t>
            </w:r>
          </w:p>
        </w:tc>
        <w:tc>
          <w:tcPr>
            <w:tcW w:w="4202" w:type="dxa"/>
            <w:noWrap w:val="0"/>
            <w:vAlign w:val="center"/>
          </w:tcPr>
          <w:p w14:paraId="1C037E03">
            <w:pPr>
              <w:autoSpaceDE w:val="0"/>
              <w:autoSpaceDN w:val="0"/>
              <w:adjustRightInd w:val="0"/>
              <w:snapToGrid w:val="0"/>
              <w:spacing w:line="360" w:lineRule="auto"/>
              <w:rPr>
                <w:rFonts w:ascii="宋体" w:hAnsi="宋体" w:cs="仿宋_GB2312"/>
                <w:bCs/>
                <w:sz w:val="24"/>
              </w:rPr>
            </w:pPr>
            <w:r>
              <w:rPr>
                <w:rFonts w:hint="eastAsia" w:ascii="宋体" w:hAnsi="宋体" w:cs="仿宋_GB2312"/>
                <w:bCs/>
                <w:sz w:val="24"/>
              </w:rPr>
              <w:t>传真：</w:t>
            </w:r>
          </w:p>
        </w:tc>
      </w:tr>
      <w:tr w14:paraId="1F19BEE8">
        <w:tblPrEx>
          <w:tblCellMar>
            <w:top w:w="0" w:type="dxa"/>
            <w:left w:w="108" w:type="dxa"/>
            <w:bottom w:w="0" w:type="dxa"/>
            <w:right w:w="108" w:type="dxa"/>
          </w:tblCellMar>
        </w:tblPrEx>
        <w:trPr>
          <w:trHeight w:val="567" w:hRule="exact"/>
          <w:jc w:val="center"/>
        </w:trPr>
        <w:tc>
          <w:tcPr>
            <w:tcW w:w="4201" w:type="dxa"/>
            <w:noWrap w:val="0"/>
            <w:vAlign w:val="center"/>
          </w:tcPr>
          <w:p w14:paraId="4ECF0535">
            <w:pPr>
              <w:autoSpaceDE w:val="0"/>
              <w:autoSpaceDN w:val="0"/>
              <w:adjustRightInd w:val="0"/>
              <w:snapToGrid w:val="0"/>
              <w:spacing w:line="360" w:lineRule="auto"/>
              <w:rPr>
                <w:rFonts w:ascii="宋体" w:hAnsi="宋体" w:cs="仿宋_GB2312"/>
                <w:bCs/>
                <w:sz w:val="24"/>
              </w:rPr>
            </w:pPr>
            <w:r>
              <w:rPr>
                <w:rFonts w:hint="eastAsia" w:ascii="宋体" w:hAnsi="宋体" w:cs="仿宋_GB2312"/>
                <w:bCs/>
                <w:sz w:val="24"/>
              </w:rPr>
              <w:t>开户银行：</w:t>
            </w:r>
          </w:p>
        </w:tc>
        <w:tc>
          <w:tcPr>
            <w:tcW w:w="4202" w:type="dxa"/>
            <w:noWrap w:val="0"/>
            <w:vAlign w:val="center"/>
          </w:tcPr>
          <w:p w14:paraId="2FC7D020">
            <w:pPr>
              <w:autoSpaceDE w:val="0"/>
              <w:autoSpaceDN w:val="0"/>
              <w:adjustRightInd w:val="0"/>
              <w:snapToGrid w:val="0"/>
              <w:spacing w:line="360" w:lineRule="auto"/>
              <w:rPr>
                <w:rFonts w:ascii="宋体" w:hAnsi="宋体" w:cs="仿宋_GB2312"/>
                <w:bCs/>
                <w:sz w:val="24"/>
              </w:rPr>
            </w:pPr>
            <w:r>
              <w:rPr>
                <w:rFonts w:hint="eastAsia" w:ascii="宋体" w:hAnsi="宋体" w:cs="仿宋_GB2312"/>
                <w:bCs/>
                <w:sz w:val="24"/>
              </w:rPr>
              <w:t>开户银行：</w:t>
            </w:r>
          </w:p>
        </w:tc>
      </w:tr>
      <w:tr w14:paraId="6855ECD9">
        <w:tblPrEx>
          <w:tblCellMar>
            <w:top w:w="0" w:type="dxa"/>
            <w:left w:w="108" w:type="dxa"/>
            <w:bottom w:w="0" w:type="dxa"/>
            <w:right w:w="108" w:type="dxa"/>
          </w:tblCellMar>
        </w:tblPrEx>
        <w:trPr>
          <w:trHeight w:val="567" w:hRule="exact"/>
          <w:jc w:val="center"/>
        </w:trPr>
        <w:tc>
          <w:tcPr>
            <w:tcW w:w="4201" w:type="dxa"/>
            <w:noWrap w:val="0"/>
            <w:vAlign w:val="center"/>
          </w:tcPr>
          <w:p w14:paraId="47B5B61B">
            <w:pPr>
              <w:autoSpaceDE w:val="0"/>
              <w:autoSpaceDN w:val="0"/>
              <w:adjustRightInd w:val="0"/>
              <w:snapToGrid w:val="0"/>
              <w:spacing w:line="360" w:lineRule="auto"/>
              <w:rPr>
                <w:rFonts w:ascii="宋体" w:hAnsi="宋体" w:cs="仿宋_GB2312"/>
                <w:bCs/>
                <w:sz w:val="24"/>
              </w:rPr>
            </w:pPr>
            <w:r>
              <w:rPr>
                <w:rFonts w:hint="eastAsia" w:ascii="宋体" w:hAnsi="宋体" w:cs="仿宋_GB2312"/>
                <w:bCs/>
                <w:sz w:val="24"/>
              </w:rPr>
              <w:t>日期：</w:t>
            </w:r>
          </w:p>
        </w:tc>
        <w:tc>
          <w:tcPr>
            <w:tcW w:w="4202" w:type="dxa"/>
            <w:noWrap w:val="0"/>
            <w:vAlign w:val="center"/>
          </w:tcPr>
          <w:p w14:paraId="0E703CC7">
            <w:pPr>
              <w:autoSpaceDE w:val="0"/>
              <w:autoSpaceDN w:val="0"/>
              <w:adjustRightInd w:val="0"/>
              <w:snapToGrid w:val="0"/>
              <w:spacing w:line="360" w:lineRule="auto"/>
              <w:rPr>
                <w:rFonts w:ascii="宋体" w:hAnsi="宋体" w:cs="仿宋_GB2312"/>
                <w:bCs/>
                <w:sz w:val="24"/>
              </w:rPr>
            </w:pPr>
            <w:r>
              <w:rPr>
                <w:rFonts w:hint="eastAsia" w:ascii="宋体" w:hAnsi="宋体" w:cs="仿宋_GB2312"/>
                <w:bCs/>
                <w:sz w:val="24"/>
              </w:rPr>
              <w:t>日期：</w:t>
            </w:r>
          </w:p>
        </w:tc>
      </w:tr>
    </w:tbl>
    <w:p w14:paraId="5B7A7A6A">
      <w:pPr>
        <w:pStyle w:val="2"/>
        <w:keepNext w:val="0"/>
        <w:keepLines w:val="0"/>
        <w:rPr>
          <w:rFonts w:hint="eastAsia"/>
          <w:sz w:val="32"/>
          <w:szCs w:val="32"/>
        </w:rPr>
      </w:pPr>
      <w:r>
        <w:rPr>
          <w:rFonts w:hint="eastAsia" w:ascii="宋体" w:hAnsi="宋体"/>
          <w:sz w:val="32"/>
          <w:szCs w:val="32"/>
        </w:rPr>
        <w:br w:type="page"/>
      </w:r>
      <w:bookmarkStart w:id="14" w:name="_Toc162021009"/>
      <w:r>
        <w:rPr>
          <w:rFonts w:hint="eastAsia" w:ascii="宋体" w:hAnsi="宋体"/>
          <w:sz w:val="32"/>
          <w:szCs w:val="32"/>
        </w:rPr>
        <w:t>第五部分  响应文件格式</w:t>
      </w:r>
      <w:bookmarkEnd w:id="13"/>
      <w:bookmarkEnd w:id="14"/>
    </w:p>
    <w:p w14:paraId="6A1FC685">
      <w:pPr>
        <w:widowControl/>
        <w:spacing w:line="336" w:lineRule="auto"/>
        <w:ind w:firstLine="480" w:firstLineChars="200"/>
        <w:rPr>
          <w:rFonts w:hint="eastAsia" w:ascii="宋体" w:hAnsi="宋体" w:cs="宋体"/>
          <w:bCs/>
          <w:kern w:val="0"/>
          <w:sz w:val="24"/>
          <w:lang w:val="zh-CN"/>
        </w:rPr>
      </w:pPr>
    </w:p>
    <w:p w14:paraId="4D21CEED">
      <w:pPr>
        <w:adjustRightInd w:val="0"/>
        <w:snapToGrid w:val="0"/>
        <w:spacing w:line="360" w:lineRule="auto"/>
        <w:jc w:val="center"/>
        <w:rPr>
          <w:rFonts w:ascii="宋体"/>
          <w:b/>
          <w:bCs/>
          <w:sz w:val="32"/>
          <w:szCs w:val="32"/>
        </w:rPr>
      </w:pPr>
      <w:r>
        <w:rPr>
          <w:rFonts w:ascii="宋体" w:hAnsi="宋体" w:cs="宋体"/>
          <w:b/>
          <w:bCs/>
          <w:sz w:val="32"/>
          <w:szCs w:val="32"/>
        </w:rPr>
        <w:br w:type="page"/>
      </w:r>
      <w:r>
        <w:rPr>
          <w:rFonts w:hint="eastAsia" w:ascii="宋体" w:hAnsi="宋体" w:cs="宋体"/>
          <w:b/>
          <w:bCs/>
          <w:sz w:val="32"/>
          <w:szCs w:val="32"/>
        </w:rPr>
        <w:t>竞争性磋商响应文件编制说明</w:t>
      </w:r>
    </w:p>
    <w:p w14:paraId="671A8109">
      <w:pPr>
        <w:spacing w:line="360" w:lineRule="auto"/>
        <w:ind w:firstLine="480" w:firstLineChars="200"/>
        <w:rPr>
          <w:rFonts w:ascii="宋体"/>
          <w:sz w:val="24"/>
        </w:rPr>
      </w:pPr>
      <w:r>
        <w:rPr>
          <w:rFonts w:ascii="宋体" w:hAnsi="宋体" w:cs="宋体"/>
          <w:sz w:val="24"/>
        </w:rPr>
        <w:t>1</w:t>
      </w:r>
      <w:r>
        <w:rPr>
          <w:rFonts w:hint="eastAsia" w:ascii="宋体" w:hAnsi="宋体" w:cs="宋体"/>
          <w:sz w:val="24"/>
        </w:rPr>
        <w:t>、编制竞争性磋商响应文件前，请详细阅读磋商文件，理解文件中的每一项要求。</w:t>
      </w:r>
    </w:p>
    <w:p w14:paraId="4029ACAC">
      <w:pPr>
        <w:spacing w:line="360" w:lineRule="auto"/>
        <w:ind w:firstLine="480" w:firstLineChars="200"/>
        <w:rPr>
          <w:rFonts w:ascii="宋体"/>
          <w:sz w:val="24"/>
        </w:rPr>
      </w:pPr>
      <w:r>
        <w:rPr>
          <w:rFonts w:ascii="宋体" w:hAnsi="宋体" w:cs="宋体"/>
          <w:sz w:val="24"/>
        </w:rPr>
        <w:t>2</w:t>
      </w:r>
      <w:r>
        <w:rPr>
          <w:rFonts w:hint="eastAsia" w:ascii="宋体" w:hAnsi="宋体" w:cs="宋体"/>
          <w:sz w:val="24"/>
        </w:rPr>
        <w:t>、竞争性磋商响应文件的编制可参照样本格式提供的内容，做出逐一明确的答复；供应商认为有必要，还可以做其它补充说明。</w:t>
      </w:r>
    </w:p>
    <w:p w14:paraId="07CD5BE0">
      <w:pPr>
        <w:spacing w:line="360" w:lineRule="auto"/>
        <w:ind w:firstLine="470" w:firstLineChars="196"/>
        <w:rPr>
          <w:rFonts w:ascii="仿宋" w:hAnsi="仿宋" w:eastAsia="仿宋"/>
          <w:sz w:val="28"/>
          <w:szCs w:val="28"/>
        </w:rPr>
      </w:pPr>
      <w:r>
        <w:rPr>
          <w:rFonts w:hint="eastAsia" w:ascii="宋体" w:hAnsi="宋体" w:cs="宋体"/>
          <w:sz w:val="24"/>
        </w:rPr>
        <w:t>3、若供应商为非法人单位，磋商响应文件中法定代表人处由单位负责人填写。</w:t>
      </w:r>
    </w:p>
    <w:p w14:paraId="6041D8BC">
      <w:pPr>
        <w:widowControl/>
        <w:spacing w:line="360" w:lineRule="auto"/>
        <w:ind w:firstLine="480" w:firstLineChars="200"/>
        <w:rPr>
          <w:rFonts w:hint="eastAsia" w:ascii="宋体" w:hAnsi="宋体" w:cs="宋体"/>
          <w:bCs/>
          <w:kern w:val="0"/>
          <w:sz w:val="24"/>
        </w:rPr>
      </w:pPr>
    </w:p>
    <w:p w14:paraId="0CF58122">
      <w:pPr>
        <w:tabs>
          <w:tab w:val="left" w:pos="840"/>
        </w:tabs>
        <w:kinsoku w:val="0"/>
        <w:spacing w:line="360" w:lineRule="auto"/>
        <w:rPr>
          <w:rFonts w:hint="eastAsia" w:ascii="宋体" w:hAnsi="宋体"/>
          <w:sz w:val="24"/>
        </w:rPr>
      </w:pPr>
    </w:p>
    <w:p w14:paraId="5A3CF4E1">
      <w:pPr>
        <w:spacing w:line="360" w:lineRule="atLeast"/>
        <w:rPr>
          <w:rFonts w:hint="eastAsia" w:ascii="宋体" w:hAnsi="宋体"/>
          <w:b/>
          <w:sz w:val="44"/>
          <w:szCs w:val="44"/>
        </w:rPr>
      </w:pPr>
      <w:r>
        <w:rPr>
          <w:rFonts w:ascii="宋体" w:hAnsi="宋体"/>
          <w:b/>
          <w:sz w:val="44"/>
          <w:szCs w:val="44"/>
        </w:rPr>
        <w:br w:type="page"/>
      </w:r>
    </w:p>
    <w:p w14:paraId="5B62072D">
      <w:pPr>
        <w:spacing w:line="360" w:lineRule="atLeast"/>
        <w:rPr>
          <w:rFonts w:hint="eastAsia" w:ascii="宋体" w:hAnsi="宋体" w:eastAsia="宋体"/>
          <w:sz w:val="32"/>
          <w:szCs w:val="32"/>
          <w:lang w:eastAsia="zh-CN"/>
        </w:rPr>
      </w:pPr>
      <w:r>
        <w:rPr>
          <w:rFonts w:hint="eastAsia" w:ascii="宋体" w:hAnsi="宋体"/>
          <w:sz w:val="32"/>
          <w:szCs w:val="32"/>
        </w:rPr>
        <w:t>项目编号：</w:t>
      </w:r>
      <w:r>
        <w:rPr>
          <w:rFonts w:hint="eastAsia" w:ascii="宋体" w:hAnsi="宋体"/>
          <w:sz w:val="32"/>
          <w:szCs w:val="32"/>
          <w:highlight w:val="none"/>
          <w:lang w:eastAsia="zh-CN"/>
        </w:rPr>
        <w:t>ZJZB-2026-032</w:t>
      </w:r>
    </w:p>
    <w:p w14:paraId="74F41972">
      <w:pPr>
        <w:spacing w:line="360" w:lineRule="atLeast"/>
        <w:ind w:firstLine="7137" w:firstLineChars="2539"/>
        <w:rPr>
          <w:rFonts w:ascii="宋体" w:hAnsi="宋体"/>
          <w:szCs w:val="21"/>
        </w:rPr>
      </w:pPr>
      <w:r>
        <w:rPr>
          <w:rFonts w:hint="eastAsia" w:ascii="宋体" w:hAnsi="宋体"/>
          <w:b/>
          <w:sz w:val="28"/>
          <w:szCs w:val="28"/>
        </w:rPr>
        <w:t>（正本或副本）</w:t>
      </w:r>
    </w:p>
    <w:p w14:paraId="4D37E0A9">
      <w:pPr>
        <w:spacing w:line="360" w:lineRule="atLeast"/>
        <w:rPr>
          <w:rFonts w:hint="eastAsia" w:ascii="宋体" w:hAnsi="宋体"/>
          <w:szCs w:val="21"/>
        </w:rPr>
      </w:pPr>
    </w:p>
    <w:p w14:paraId="4D920465">
      <w:pPr>
        <w:spacing w:line="360" w:lineRule="auto"/>
        <w:rPr>
          <w:rFonts w:hint="eastAsia" w:ascii="宋体" w:hAnsi="宋体"/>
          <w:sz w:val="24"/>
        </w:rPr>
      </w:pPr>
    </w:p>
    <w:p w14:paraId="7E36BEBC">
      <w:pPr>
        <w:jc w:val="center"/>
        <w:rPr>
          <w:rFonts w:hint="eastAsia"/>
          <w:b/>
          <w:sz w:val="48"/>
          <w:szCs w:val="48"/>
          <w:lang w:eastAsia="zh-CN"/>
        </w:rPr>
      </w:pPr>
      <w:r>
        <w:rPr>
          <w:rFonts w:hint="eastAsia"/>
          <w:b/>
          <w:sz w:val="48"/>
          <w:szCs w:val="48"/>
          <w:lang w:eastAsia="zh-CN"/>
        </w:rPr>
        <w:t>西安市青龙寺景区</w:t>
      </w:r>
    </w:p>
    <w:p w14:paraId="41F47409">
      <w:pPr>
        <w:jc w:val="center"/>
        <w:rPr>
          <w:rFonts w:hint="eastAsia" w:ascii="宋体" w:hAnsi="宋体" w:eastAsia="宋体" w:cs="宋体"/>
          <w:b/>
          <w:sz w:val="48"/>
          <w:szCs w:val="48"/>
          <w:lang w:eastAsia="zh-CN"/>
        </w:rPr>
      </w:pPr>
      <w:r>
        <w:rPr>
          <w:rFonts w:hint="eastAsia"/>
          <w:b/>
          <w:sz w:val="48"/>
          <w:szCs w:val="48"/>
          <w:lang w:eastAsia="zh-CN"/>
        </w:rPr>
        <w:t>樱花季景观绿化维护提升项目</w:t>
      </w:r>
    </w:p>
    <w:p w14:paraId="16C49489">
      <w:pPr>
        <w:jc w:val="center"/>
        <w:rPr>
          <w:rFonts w:ascii="宋体" w:hAnsi="宋体"/>
          <w:sz w:val="68"/>
        </w:rPr>
      </w:pPr>
    </w:p>
    <w:p w14:paraId="62AEF62E">
      <w:pPr>
        <w:jc w:val="center"/>
        <w:rPr>
          <w:rFonts w:ascii="宋体" w:hAnsi="宋体"/>
          <w:sz w:val="68"/>
        </w:rPr>
      </w:pPr>
    </w:p>
    <w:p w14:paraId="1C04C966">
      <w:pPr>
        <w:pStyle w:val="73"/>
        <w:rPr>
          <w:rFonts w:hint="eastAsia"/>
        </w:rPr>
      </w:pPr>
    </w:p>
    <w:p w14:paraId="6196EAC3">
      <w:pPr>
        <w:jc w:val="center"/>
        <w:rPr>
          <w:rFonts w:ascii="宋体" w:hAnsi="宋体"/>
          <w:sz w:val="68"/>
        </w:rPr>
      </w:pPr>
      <w:r>
        <w:rPr>
          <w:rFonts w:hint="eastAsia" w:ascii="宋体" w:hAnsi="宋体"/>
          <w:sz w:val="68"/>
        </w:rPr>
        <w:t>竞争性磋商响应文件</w:t>
      </w:r>
    </w:p>
    <w:p w14:paraId="1622C335">
      <w:pPr>
        <w:rPr>
          <w:rFonts w:ascii="宋体" w:hAnsi="宋体" w:cs="宋体"/>
          <w:b/>
          <w:sz w:val="32"/>
          <w:szCs w:val="32"/>
        </w:rPr>
      </w:pPr>
    </w:p>
    <w:p w14:paraId="7DDA0858">
      <w:pPr>
        <w:adjustRightInd w:val="0"/>
        <w:snapToGrid w:val="0"/>
        <w:spacing w:line="360" w:lineRule="auto"/>
        <w:rPr>
          <w:rFonts w:ascii="宋体" w:hAnsi="宋体"/>
          <w:sz w:val="30"/>
        </w:rPr>
      </w:pPr>
    </w:p>
    <w:p w14:paraId="223FB849">
      <w:pPr>
        <w:adjustRightInd w:val="0"/>
        <w:snapToGrid w:val="0"/>
        <w:spacing w:line="360" w:lineRule="auto"/>
        <w:rPr>
          <w:rFonts w:ascii="宋体" w:hAnsi="宋体"/>
          <w:sz w:val="30"/>
        </w:rPr>
      </w:pPr>
    </w:p>
    <w:p w14:paraId="3363608F">
      <w:pPr>
        <w:pStyle w:val="18"/>
      </w:pPr>
    </w:p>
    <w:p w14:paraId="7E33A4AF">
      <w:pPr>
        <w:pStyle w:val="18"/>
        <w:rPr>
          <w:rFonts w:hint="eastAsia"/>
        </w:rPr>
      </w:pPr>
    </w:p>
    <w:p w14:paraId="37E7F25E">
      <w:pPr>
        <w:pStyle w:val="73"/>
        <w:rPr>
          <w:rFonts w:hint="eastAsia"/>
        </w:rPr>
      </w:pPr>
    </w:p>
    <w:p w14:paraId="289BDA73">
      <w:pPr>
        <w:adjustRightInd w:val="0"/>
        <w:snapToGrid w:val="0"/>
        <w:spacing w:line="360" w:lineRule="auto"/>
        <w:jc w:val="center"/>
        <w:rPr>
          <w:rFonts w:ascii="宋体" w:hAnsi="宋体"/>
          <w:b/>
          <w:sz w:val="30"/>
        </w:rPr>
      </w:pPr>
      <w:r>
        <w:rPr>
          <w:rFonts w:hint="eastAsia" w:ascii="宋体" w:hAnsi="宋体"/>
          <w:b/>
          <w:sz w:val="30"/>
        </w:rPr>
        <w:t>供应商名称</w:t>
      </w:r>
      <w:r>
        <w:rPr>
          <w:rFonts w:ascii="宋体" w:hAnsi="宋体"/>
          <w:b/>
          <w:sz w:val="30"/>
        </w:rPr>
        <w:t>：</w:t>
      </w:r>
      <w:r>
        <w:rPr>
          <w:rFonts w:hint="eastAsia" w:ascii="宋体" w:hAnsi="宋体"/>
          <w:b/>
          <w:sz w:val="30"/>
          <w:u w:val="single"/>
        </w:rPr>
        <w:t xml:space="preserve">       （加盖公章）</w:t>
      </w:r>
    </w:p>
    <w:p w14:paraId="0785C7FD">
      <w:pPr>
        <w:adjustRightInd w:val="0"/>
        <w:snapToGrid w:val="0"/>
        <w:spacing w:line="360" w:lineRule="auto"/>
        <w:jc w:val="center"/>
        <w:rPr>
          <w:rFonts w:ascii="宋体" w:hAnsi="宋体"/>
          <w:b/>
          <w:sz w:val="30"/>
        </w:rPr>
      </w:pPr>
    </w:p>
    <w:p w14:paraId="13A861A6">
      <w:pPr>
        <w:spacing w:line="360" w:lineRule="atLeast"/>
        <w:ind w:firstLine="1199" w:firstLineChars="398"/>
        <w:rPr>
          <w:rFonts w:hint="eastAsia" w:ascii="宋体" w:hAnsi="宋体"/>
          <w:b/>
          <w:sz w:val="32"/>
          <w:szCs w:val="32"/>
        </w:rPr>
      </w:pPr>
      <w:r>
        <w:rPr>
          <w:rFonts w:hint="eastAsia" w:ascii="宋体" w:hAnsi="宋体"/>
          <w:b/>
          <w:sz w:val="30"/>
        </w:rPr>
        <w:t xml:space="preserve">       </w:t>
      </w:r>
      <w:r>
        <w:rPr>
          <w:rFonts w:ascii="宋体" w:hAnsi="宋体"/>
          <w:b/>
          <w:sz w:val="30"/>
        </w:rPr>
        <w:t>时    间：</w:t>
      </w:r>
      <w:r>
        <w:rPr>
          <w:rFonts w:hint="eastAsia" w:ascii="宋体" w:hAnsi="宋体"/>
          <w:b/>
          <w:sz w:val="30"/>
          <w:u w:val="single"/>
        </w:rPr>
        <w:t xml:space="preserve">                     </w:t>
      </w:r>
    </w:p>
    <w:p w14:paraId="722055EE">
      <w:pPr>
        <w:spacing w:line="360" w:lineRule="atLeast"/>
        <w:jc w:val="center"/>
        <w:rPr>
          <w:rFonts w:ascii="宋体" w:hAnsi="宋体"/>
          <w:b/>
          <w:sz w:val="32"/>
          <w:szCs w:val="32"/>
        </w:rPr>
      </w:pPr>
      <w:r>
        <w:rPr>
          <w:rFonts w:ascii="宋体" w:hAnsi="宋体"/>
          <w:b/>
          <w:sz w:val="32"/>
          <w:szCs w:val="32"/>
        </w:rPr>
        <w:br w:type="page"/>
      </w:r>
    </w:p>
    <w:p w14:paraId="2C1BB9B4">
      <w:pPr>
        <w:jc w:val="center"/>
        <w:rPr>
          <w:rFonts w:hint="eastAsia"/>
          <w:b/>
          <w:sz w:val="44"/>
          <w:szCs w:val="44"/>
        </w:rPr>
      </w:pPr>
      <w:r>
        <w:rPr>
          <w:rFonts w:hint="eastAsia"/>
          <w:b/>
          <w:sz w:val="44"/>
          <w:szCs w:val="44"/>
        </w:rPr>
        <w:t>目    录</w:t>
      </w:r>
    </w:p>
    <w:p w14:paraId="1B81C7A4">
      <w:pPr>
        <w:spacing w:line="360" w:lineRule="atLeast"/>
        <w:rPr>
          <w:rFonts w:hint="eastAsia" w:ascii="宋体" w:hAnsi="宋体"/>
        </w:rPr>
      </w:pPr>
    </w:p>
    <w:p w14:paraId="1F01F9F8">
      <w:pPr>
        <w:pStyle w:val="16"/>
        <w:spacing w:line="400" w:lineRule="exact"/>
        <w:ind w:firstLine="1958" w:firstLineChars="650"/>
        <w:rPr>
          <w:rFonts w:hint="eastAsia" w:hAnsi="宋体"/>
          <w:b/>
          <w:bCs/>
          <w:sz w:val="30"/>
          <w:szCs w:val="30"/>
        </w:rPr>
      </w:pPr>
      <w:r>
        <w:rPr>
          <w:rFonts w:hint="eastAsia" w:hAnsi="宋体"/>
          <w:b/>
          <w:bCs/>
          <w:sz w:val="30"/>
          <w:szCs w:val="30"/>
        </w:rPr>
        <w:t>一、响应函</w:t>
      </w:r>
    </w:p>
    <w:p w14:paraId="388B98E5">
      <w:pPr>
        <w:pStyle w:val="16"/>
        <w:spacing w:line="400" w:lineRule="exact"/>
        <w:rPr>
          <w:rFonts w:hint="eastAsia" w:hAnsi="宋体"/>
          <w:b/>
          <w:bCs/>
          <w:sz w:val="30"/>
          <w:szCs w:val="30"/>
        </w:rPr>
      </w:pPr>
    </w:p>
    <w:p w14:paraId="2E117507">
      <w:pPr>
        <w:spacing w:line="400" w:lineRule="exact"/>
        <w:ind w:firstLine="1958" w:firstLineChars="650"/>
        <w:rPr>
          <w:rFonts w:hint="eastAsia" w:ascii="宋体" w:hAnsi="宋体"/>
          <w:b/>
          <w:sz w:val="30"/>
          <w:szCs w:val="30"/>
        </w:rPr>
      </w:pPr>
      <w:r>
        <w:rPr>
          <w:rFonts w:hint="eastAsia" w:ascii="宋体" w:hAnsi="宋体"/>
          <w:b/>
          <w:sz w:val="30"/>
          <w:szCs w:val="30"/>
        </w:rPr>
        <w:t>二、磋商响应第一次报价表</w:t>
      </w:r>
    </w:p>
    <w:p w14:paraId="43039EF5">
      <w:pPr>
        <w:pStyle w:val="16"/>
        <w:spacing w:line="400" w:lineRule="exact"/>
        <w:rPr>
          <w:rFonts w:hint="eastAsia" w:hAnsi="宋体"/>
          <w:b/>
          <w:sz w:val="30"/>
          <w:szCs w:val="30"/>
        </w:rPr>
      </w:pPr>
    </w:p>
    <w:p w14:paraId="5611CD8F">
      <w:pPr>
        <w:pStyle w:val="16"/>
        <w:spacing w:line="400" w:lineRule="exact"/>
        <w:ind w:firstLine="1958" w:firstLineChars="650"/>
        <w:rPr>
          <w:rFonts w:hint="eastAsia" w:hAnsi="宋体"/>
          <w:b/>
          <w:bCs/>
          <w:sz w:val="30"/>
          <w:szCs w:val="30"/>
        </w:rPr>
      </w:pPr>
      <w:r>
        <w:rPr>
          <w:rFonts w:hint="eastAsia" w:hAnsi="宋体"/>
          <w:b/>
          <w:bCs/>
          <w:sz w:val="30"/>
          <w:szCs w:val="30"/>
        </w:rPr>
        <w:t>三、</w:t>
      </w:r>
      <w:r>
        <w:rPr>
          <w:rFonts w:hint="eastAsia" w:ascii="宋体" w:hAnsi="宋体" w:cs="宋体"/>
          <w:b/>
          <w:sz w:val="32"/>
          <w:szCs w:val="32"/>
        </w:rPr>
        <w:t>法定代表人身份证明</w:t>
      </w:r>
    </w:p>
    <w:p w14:paraId="3546D4FA">
      <w:pPr>
        <w:pStyle w:val="16"/>
        <w:spacing w:line="400" w:lineRule="exact"/>
        <w:ind w:firstLine="1958" w:firstLineChars="650"/>
        <w:rPr>
          <w:rFonts w:hint="eastAsia" w:hAnsi="宋体"/>
          <w:b/>
          <w:bCs/>
          <w:sz w:val="30"/>
          <w:szCs w:val="30"/>
        </w:rPr>
      </w:pPr>
    </w:p>
    <w:p w14:paraId="1822AB40">
      <w:pPr>
        <w:pStyle w:val="16"/>
        <w:spacing w:line="400" w:lineRule="exact"/>
        <w:ind w:firstLine="1958" w:firstLineChars="650"/>
        <w:rPr>
          <w:rFonts w:hAnsi="宋体"/>
          <w:b/>
          <w:bCs/>
          <w:sz w:val="30"/>
          <w:szCs w:val="30"/>
        </w:rPr>
      </w:pPr>
      <w:r>
        <w:rPr>
          <w:rFonts w:hint="eastAsia" w:hAnsi="宋体"/>
          <w:b/>
          <w:bCs/>
          <w:sz w:val="30"/>
          <w:szCs w:val="30"/>
          <w:lang w:val="en-US" w:eastAsia="zh-CN"/>
        </w:rPr>
        <w:t>四、</w:t>
      </w:r>
      <w:r>
        <w:rPr>
          <w:rFonts w:hint="eastAsia" w:hAnsi="宋体"/>
          <w:b/>
          <w:bCs/>
          <w:sz w:val="30"/>
          <w:szCs w:val="30"/>
        </w:rPr>
        <w:t>授权委托书</w:t>
      </w:r>
    </w:p>
    <w:p w14:paraId="51D39C10">
      <w:pPr>
        <w:pStyle w:val="16"/>
        <w:spacing w:line="400" w:lineRule="exact"/>
        <w:ind w:firstLine="1958" w:firstLineChars="650"/>
        <w:rPr>
          <w:rFonts w:hAnsi="宋体"/>
          <w:b/>
          <w:bCs/>
          <w:sz w:val="30"/>
          <w:szCs w:val="30"/>
        </w:rPr>
      </w:pPr>
    </w:p>
    <w:p w14:paraId="6B618248">
      <w:pPr>
        <w:pStyle w:val="16"/>
        <w:spacing w:line="400" w:lineRule="exact"/>
        <w:ind w:firstLine="1958" w:firstLineChars="650"/>
        <w:rPr>
          <w:rFonts w:hAnsi="宋体"/>
          <w:b/>
          <w:bCs/>
          <w:sz w:val="30"/>
          <w:szCs w:val="30"/>
        </w:rPr>
      </w:pPr>
      <w:r>
        <w:rPr>
          <w:rFonts w:hint="eastAsia" w:hAnsi="宋体"/>
          <w:b/>
          <w:bCs/>
          <w:sz w:val="30"/>
          <w:szCs w:val="30"/>
          <w:lang w:val="en-US" w:eastAsia="zh-CN"/>
        </w:rPr>
        <w:t>五</w:t>
      </w:r>
      <w:r>
        <w:rPr>
          <w:rFonts w:hint="eastAsia" w:hAnsi="宋体"/>
          <w:b/>
          <w:bCs/>
          <w:sz w:val="30"/>
          <w:szCs w:val="30"/>
        </w:rPr>
        <w:t>、供应商资格条件证明文件</w:t>
      </w:r>
    </w:p>
    <w:p w14:paraId="776F31C7">
      <w:pPr>
        <w:pStyle w:val="16"/>
        <w:spacing w:line="400" w:lineRule="exact"/>
        <w:rPr>
          <w:rFonts w:hint="eastAsia" w:hAnsi="宋体"/>
          <w:b/>
          <w:sz w:val="30"/>
          <w:szCs w:val="30"/>
        </w:rPr>
      </w:pPr>
    </w:p>
    <w:p w14:paraId="4A3F01A5">
      <w:pPr>
        <w:pStyle w:val="16"/>
        <w:spacing w:line="400" w:lineRule="exact"/>
        <w:ind w:firstLine="1958" w:firstLineChars="650"/>
        <w:rPr>
          <w:rFonts w:hint="eastAsia" w:hAnsi="宋体"/>
          <w:b/>
          <w:bCs/>
          <w:sz w:val="30"/>
          <w:szCs w:val="30"/>
        </w:rPr>
      </w:pPr>
      <w:r>
        <w:rPr>
          <w:rFonts w:hint="eastAsia" w:hAnsi="宋体"/>
          <w:b/>
          <w:bCs/>
          <w:sz w:val="30"/>
          <w:szCs w:val="30"/>
          <w:lang w:val="en-US" w:eastAsia="zh-CN"/>
        </w:rPr>
        <w:t>六</w:t>
      </w:r>
      <w:r>
        <w:rPr>
          <w:rFonts w:hint="eastAsia" w:hAnsi="宋体"/>
          <w:b/>
          <w:bCs/>
          <w:sz w:val="30"/>
          <w:szCs w:val="30"/>
        </w:rPr>
        <w:t>、响应方案说明</w:t>
      </w:r>
    </w:p>
    <w:p w14:paraId="7414BCF6">
      <w:pPr>
        <w:pStyle w:val="16"/>
        <w:spacing w:line="400" w:lineRule="exact"/>
        <w:ind w:firstLine="1958" w:firstLineChars="650"/>
        <w:rPr>
          <w:rFonts w:hint="eastAsia" w:hAnsi="宋体"/>
          <w:b/>
          <w:bCs/>
          <w:sz w:val="30"/>
          <w:szCs w:val="30"/>
        </w:rPr>
      </w:pPr>
    </w:p>
    <w:p w14:paraId="609938F0">
      <w:pPr>
        <w:pStyle w:val="16"/>
        <w:spacing w:line="400" w:lineRule="exact"/>
        <w:ind w:firstLine="1958" w:firstLineChars="650"/>
        <w:rPr>
          <w:rFonts w:hAnsi="宋体"/>
          <w:b/>
          <w:bCs/>
          <w:sz w:val="30"/>
          <w:szCs w:val="30"/>
        </w:rPr>
      </w:pPr>
      <w:r>
        <w:rPr>
          <w:rFonts w:hint="eastAsia" w:hAnsi="宋体"/>
          <w:b/>
          <w:bCs/>
          <w:sz w:val="30"/>
          <w:szCs w:val="30"/>
          <w:lang w:val="en-US" w:eastAsia="zh-CN"/>
        </w:rPr>
        <w:t>七</w:t>
      </w:r>
      <w:r>
        <w:rPr>
          <w:rFonts w:hint="eastAsia" w:hAnsi="宋体"/>
          <w:b/>
          <w:bCs/>
          <w:sz w:val="30"/>
          <w:szCs w:val="30"/>
        </w:rPr>
        <w:t>、供应商承诺书</w:t>
      </w:r>
    </w:p>
    <w:p w14:paraId="40E56EF5">
      <w:pPr>
        <w:pStyle w:val="16"/>
        <w:spacing w:line="400" w:lineRule="exact"/>
        <w:ind w:firstLine="1958" w:firstLineChars="650"/>
        <w:rPr>
          <w:rFonts w:hAnsi="宋体"/>
          <w:b/>
          <w:bCs/>
          <w:sz w:val="30"/>
          <w:szCs w:val="30"/>
        </w:rPr>
      </w:pPr>
    </w:p>
    <w:p w14:paraId="1C9E449B">
      <w:pPr>
        <w:pStyle w:val="16"/>
        <w:spacing w:line="400" w:lineRule="exact"/>
        <w:ind w:firstLine="1958" w:firstLineChars="650"/>
        <w:rPr>
          <w:rFonts w:hint="eastAsia" w:hAnsi="宋体"/>
          <w:b/>
          <w:bCs/>
          <w:sz w:val="30"/>
          <w:szCs w:val="30"/>
        </w:rPr>
      </w:pPr>
      <w:r>
        <w:rPr>
          <w:rFonts w:hint="eastAsia" w:hAnsi="宋体"/>
          <w:b/>
          <w:bCs/>
          <w:sz w:val="30"/>
          <w:szCs w:val="30"/>
          <w:lang w:val="en-US" w:eastAsia="zh-CN"/>
        </w:rPr>
        <w:t>八</w:t>
      </w:r>
      <w:r>
        <w:rPr>
          <w:rFonts w:hint="eastAsia" w:hAnsi="宋体"/>
          <w:b/>
          <w:bCs/>
          <w:sz w:val="30"/>
          <w:szCs w:val="30"/>
        </w:rPr>
        <w:t>、供应商认为需要补充的内容</w:t>
      </w:r>
    </w:p>
    <w:p w14:paraId="3AE945B6">
      <w:pPr>
        <w:spacing w:line="400" w:lineRule="exact"/>
        <w:ind w:right="456"/>
        <w:rPr>
          <w:rFonts w:hint="eastAsia" w:ascii="宋体" w:hAnsi="宋体"/>
          <w:b/>
          <w:bCs/>
          <w:sz w:val="30"/>
          <w:szCs w:val="30"/>
        </w:rPr>
      </w:pPr>
    </w:p>
    <w:p w14:paraId="689EC48F">
      <w:pPr>
        <w:adjustRightInd w:val="0"/>
        <w:snapToGrid w:val="0"/>
        <w:spacing w:line="360" w:lineRule="auto"/>
        <w:ind w:firstLine="1928" w:firstLineChars="600"/>
        <w:jc w:val="both"/>
        <w:rPr>
          <w:rFonts w:hint="eastAsia" w:ascii="Arial" w:hAnsi="Arial" w:eastAsia="宋体" w:cs="Times New Roman"/>
          <w:b/>
          <w:bCs/>
          <w:kern w:val="2"/>
          <w:sz w:val="32"/>
          <w:szCs w:val="32"/>
          <w:lang w:val="en-US" w:eastAsia="zh-CN" w:bidi="ar-SA"/>
        </w:rPr>
      </w:pPr>
      <w:r>
        <w:rPr>
          <w:rFonts w:hint="eastAsia" w:ascii="Arial" w:hAnsi="Arial" w:cs="Times New Roman"/>
          <w:b/>
          <w:bCs/>
          <w:kern w:val="2"/>
          <w:sz w:val="32"/>
          <w:szCs w:val="32"/>
          <w:lang w:val="en-US" w:eastAsia="zh-CN" w:bidi="ar-SA"/>
        </w:rPr>
        <w:t>九</w:t>
      </w:r>
      <w:r>
        <w:rPr>
          <w:rFonts w:hint="eastAsia" w:ascii="Arial" w:hAnsi="Arial" w:eastAsia="宋体" w:cs="Times New Roman"/>
          <w:b/>
          <w:bCs/>
          <w:kern w:val="2"/>
          <w:sz w:val="32"/>
          <w:szCs w:val="32"/>
          <w:lang w:val="en-US" w:eastAsia="zh-CN" w:bidi="ar-SA"/>
        </w:rPr>
        <w:t>、声明函格式</w:t>
      </w:r>
    </w:p>
    <w:p w14:paraId="3D4A64FB">
      <w:pPr>
        <w:pStyle w:val="3"/>
        <w:rPr>
          <w:rFonts w:hint="eastAsia"/>
          <w:sz w:val="32"/>
        </w:rPr>
      </w:pPr>
      <w:r>
        <w:br w:type="page"/>
      </w:r>
      <w:bookmarkStart w:id="15" w:name="_Toc162021010"/>
      <w:r>
        <w:rPr>
          <w:rFonts w:hint="eastAsia"/>
          <w:sz w:val="32"/>
        </w:rPr>
        <w:t>一、响应函</w:t>
      </w:r>
      <w:bookmarkEnd w:id="15"/>
    </w:p>
    <w:p w14:paraId="19E67DEB">
      <w:pPr>
        <w:keepNext w:val="0"/>
        <w:keepLines w:val="0"/>
        <w:pageBreakBefore w:val="0"/>
        <w:widowControl w:val="0"/>
        <w:wordWrap/>
        <w:overflowPunct/>
        <w:topLinePunct w:val="0"/>
        <w:autoSpaceDE/>
        <w:autoSpaceDN/>
        <w:bidi w:val="0"/>
        <w:snapToGrid/>
        <w:spacing w:line="360" w:lineRule="auto"/>
        <w:textAlignment w:val="auto"/>
        <w:rPr>
          <w:rFonts w:ascii="宋体"/>
          <w:b/>
          <w:bCs/>
          <w:sz w:val="24"/>
        </w:rPr>
      </w:pPr>
      <w:r>
        <w:rPr>
          <w:rFonts w:hint="eastAsia" w:ascii="宋体" w:hAnsi="宋体" w:cs="宋体"/>
          <w:b/>
          <w:bCs/>
          <w:sz w:val="24"/>
          <w:lang w:eastAsia="zh-CN"/>
        </w:rPr>
        <w:t>西安市青龙寺遗址保管所</w:t>
      </w:r>
      <w:r>
        <w:rPr>
          <w:rFonts w:hint="eastAsia" w:ascii="宋体" w:hAnsi="宋体" w:cs="宋体"/>
          <w:b/>
          <w:bCs/>
          <w:sz w:val="24"/>
        </w:rPr>
        <w:t>：</w:t>
      </w:r>
    </w:p>
    <w:p w14:paraId="30405D89">
      <w:pPr>
        <w:keepNext w:val="0"/>
        <w:keepLines w:val="0"/>
        <w:pageBreakBefore w:val="0"/>
        <w:widowControl w:val="0"/>
        <w:wordWrap/>
        <w:overflowPunct/>
        <w:topLinePunct w:val="0"/>
        <w:autoSpaceDE/>
        <w:autoSpaceDN/>
        <w:bidi w:val="0"/>
        <w:snapToGrid/>
        <w:spacing w:line="360" w:lineRule="auto"/>
        <w:ind w:firstLine="480" w:firstLineChars="200"/>
        <w:textAlignment w:val="auto"/>
        <w:rPr>
          <w:rFonts w:ascii="宋体"/>
          <w:sz w:val="24"/>
        </w:rPr>
      </w:pPr>
      <w:r>
        <w:rPr>
          <w:rFonts w:hint="eastAsia" w:ascii="宋体" w:hAnsi="宋体" w:cs="宋体"/>
          <w:sz w:val="24"/>
        </w:rPr>
        <w:t>我单位收到贵单位</w:t>
      </w:r>
      <w:r>
        <w:rPr>
          <w:rFonts w:hint="eastAsia" w:ascii="宋体" w:hAnsi="宋体" w:cs="宋体"/>
          <w:sz w:val="24"/>
          <w:u w:val="single"/>
        </w:rPr>
        <w:t>（项目名称）（项目编号）</w:t>
      </w:r>
      <w:r>
        <w:rPr>
          <w:rFonts w:hint="eastAsia" w:ascii="宋体" w:hAnsi="宋体" w:cs="宋体"/>
          <w:sz w:val="24"/>
        </w:rPr>
        <w:t>竞争性磋商文件，我们决定参加该项目磋商活动，并参与磋商会议。为此，乙方郑重声明以下诸点，并负法律责任。</w:t>
      </w:r>
    </w:p>
    <w:p w14:paraId="4BC035BB">
      <w:pPr>
        <w:keepNext w:val="0"/>
        <w:keepLines w:val="0"/>
        <w:pageBreakBefore w:val="0"/>
        <w:widowControl w:val="0"/>
        <w:wordWrap/>
        <w:overflowPunct/>
        <w:topLinePunct w:val="0"/>
        <w:autoSpaceDE/>
        <w:autoSpaceDN/>
        <w:bidi w:val="0"/>
        <w:adjustRightInd w:val="0"/>
        <w:snapToGrid/>
        <w:spacing w:line="360" w:lineRule="auto"/>
        <w:ind w:firstLine="480" w:firstLineChars="200"/>
        <w:jc w:val="left"/>
        <w:textAlignment w:val="auto"/>
        <w:rPr>
          <w:rFonts w:ascii="宋体" w:hAnsi="宋体" w:cs="宋体"/>
          <w:sz w:val="24"/>
        </w:rPr>
      </w:pPr>
      <w:r>
        <w:rPr>
          <w:rFonts w:ascii="宋体" w:hAnsi="宋体" w:cs="宋体"/>
          <w:sz w:val="24"/>
        </w:rPr>
        <w:t>1</w:t>
      </w:r>
      <w:r>
        <w:rPr>
          <w:rFonts w:ascii="宋体" w:cs="宋体"/>
          <w:sz w:val="24"/>
        </w:rPr>
        <w:t>.</w:t>
      </w:r>
      <w:r>
        <w:rPr>
          <w:rFonts w:hint="eastAsia" w:ascii="宋体" w:hAnsi="宋体" w:cs="宋体"/>
          <w:sz w:val="24"/>
        </w:rPr>
        <w:t>愿意按照竞争性磋商文件中的一切要求，磋商总报价为：</w:t>
      </w:r>
    </w:p>
    <w:p w14:paraId="197345F0">
      <w:pPr>
        <w:keepNext w:val="0"/>
        <w:keepLines w:val="0"/>
        <w:pageBreakBefore w:val="0"/>
        <w:widowControl w:val="0"/>
        <w:wordWrap/>
        <w:overflowPunct/>
        <w:topLinePunct w:val="0"/>
        <w:autoSpaceDE/>
        <w:autoSpaceDN/>
        <w:bidi w:val="0"/>
        <w:adjustRightInd w:val="0"/>
        <w:snapToGrid/>
        <w:spacing w:line="360" w:lineRule="auto"/>
        <w:ind w:firstLine="482" w:firstLineChars="200"/>
        <w:jc w:val="left"/>
        <w:textAlignment w:val="auto"/>
        <w:rPr>
          <w:rFonts w:ascii="宋体" w:hAnsi="宋体" w:cs="宋体"/>
          <w:b/>
          <w:bCs/>
          <w:sz w:val="24"/>
        </w:rPr>
      </w:pPr>
      <w:r>
        <w:rPr>
          <w:rFonts w:hint="eastAsia" w:ascii="宋体" w:hAnsi="宋体" w:cs="宋体"/>
          <w:b/>
          <w:bCs/>
          <w:sz w:val="24"/>
        </w:rPr>
        <w:t>人民币（大写）</w:t>
      </w:r>
      <w:r>
        <w:rPr>
          <w:rFonts w:hint="eastAsia" w:ascii="宋体" w:hAnsi="宋体" w:cs="宋体"/>
          <w:sz w:val="32"/>
          <w:szCs w:val="32"/>
          <w:u w:val="single"/>
        </w:rPr>
        <w:t xml:space="preserve">          </w:t>
      </w:r>
      <w:r>
        <w:rPr>
          <w:rFonts w:hint="eastAsia" w:ascii="宋体" w:hAnsi="宋体" w:cs="宋体"/>
          <w:b/>
          <w:bCs/>
          <w:sz w:val="24"/>
        </w:rPr>
        <w:t>；¥</w:t>
      </w:r>
      <w:r>
        <w:rPr>
          <w:rFonts w:hint="eastAsia" w:ascii="宋体" w:hAnsi="宋体" w:cs="宋体"/>
          <w:sz w:val="32"/>
          <w:szCs w:val="32"/>
          <w:u w:val="single"/>
        </w:rPr>
        <w:t xml:space="preserve">          </w:t>
      </w:r>
      <w:r>
        <w:rPr>
          <w:rFonts w:hint="eastAsia" w:ascii="宋体" w:hAnsi="宋体" w:cs="宋体"/>
          <w:b/>
          <w:bCs/>
          <w:sz w:val="24"/>
        </w:rPr>
        <w:t>。</w:t>
      </w:r>
    </w:p>
    <w:p w14:paraId="3498A021">
      <w:pPr>
        <w:keepNext w:val="0"/>
        <w:keepLines w:val="0"/>
        <w:pageBreakBefore w:val="0"/>
        <w:widowControl w:val="0"/>
        <w:wordWrap/>
        <w:overflowPunct/>
        <w:topLinePunct w:val="0"/>
        <w:autoSpaceDE/>
        <w:autoSpaceDN/>
        <w:bidi w:val="0"/>
        <w:adjustRightInd w:val="0"/>
        <w:snapToGrid/>
        <w:spacing w:line="360" w:lineRule="auto"/>
        <w:ind w:firstLine="482" w:firstLineChars="200"/>
        <w:textAlignment w:val="auto"/>
        <w:rPr>
          <w:rFonts w:ascii="宋体" w:hAnsi="宋体" w:cs="宋体"/>
          <w:b/>
          <w:bCs/>
          <w:sz w:val="24"/>
        </w:rPr>
      </w:pPr>
      <w:r>
        <w:rPr>
          <w:rFonts w:hint="eastAsia" w:ascii="宋体" w:hAnsi="宋体" w:cs="宋体"/>
          <w:b/>
          <w:bCs/>
          <w:sz w:val="24"/>
          <w:lang w:val="en-US" w:eastAsia="zh-CN"/>
        </w:rPr>
        <w:t>工期</w:t>
      </w:r>
      <w:r>
        <w:rPr>
          <w:rFonts w:hint="eastAsia" w:ascii="宋体" w:hAnsi="宋体" w:cs="宋体"/>
          <w:b/>
          <w:bCs/>
          <w:sz w:val="24"/>
        </w:rPr>
        <w:t>：</w:t>
      </w:r>
      <w:r>
        <w:rPr>
          <w:rFonts w:hint="eastAsia" w:ascii="宋体" w:hAnsi="宋体" w:cs="宋体"/>
          <w:sz w:val="32"/>
          <w:szCs w:val="32"/>
          <w:u w:val="single"/>
        </w:rPr>
        <w:t xml:space="preserve">          </w:t>
      </w:r>
      <w:r>
        <w:rPr>
          <w:rFonts w:hint="eastAsia" w:ascii="宋体" w:hAnsi="宋体" w:cs="宋体"/>
          <w:b/>
          <w:bCs/>
          <w:sz w:val="24"/>
        </w:rPr>
        <w:t>。</w:t>
      </w:r>
    </w:p>
    <w:p w14:paraId="4599D000">
      <w:pPr>
        <w:keepNext w:val="0"/>
        <w:keepLines w:val="0"/>
        <w:pageBreakBefore w:val="0"/>
        <w:widowControl w:val="0"/>
        <w:wordWrap/>
        <w:overflowPunct/>
        <w:topLinePunct w:val="0"/>
        <w:autoSpaceDE/>
        <w:autoSpaceDN/>
        <w:bidi w:val="0"/>
        <w:snapToGrid/>
        <w:spacing w:line="360" w:lineRule="auto"/>
        <w:ind w:firstLine="480" w:firstLineChars="200"/>
        <w:textAlignment w:val="auto"/>
        <w:rPr>
          <w:rFonts w:ascii="宋体"/>
          <w:sz w:val="24"/>
        </w:rPr>
      </w:pPr>
      <w:r>
        <w:rPr>
          <w:rFonts w:hint="eastAsia" w:ascii="宋体" w:hAnsi="宋体" w:cs="宋体"/>
          <w:sz w:val="24"/>
        </w:rPr>
        <w:t>2</w:t>
      </w:r>
      <w:r>
        <w:rPr>
          <w:rFonts w:ascii="宋体" w:cs="宋体"/>
          <w:sz w:val="24"/>
        </w:rPr>
        <w:t>.</w:t>
      </w:r>
      <w:r>
        <w:rPr>
          <w:rFonts w:hint="eastAsia" w:ascii="宋体" w:hAnsi="宋体" w:cs="宋体"/>
          <w:sz w:val="24"/>
        </w:rPr>
        <w:t>如果我们竞争性磋商文件被接受，我们将履行竞争性磋商文件中规定的每一项要求，按期、按质、按量完成任务。</w:t>
      </w:r>
    </w:p>
    <w:p w14:paraId="25C4AE7C">
      <w:pPr>
        <w:keepNext w:val="0"/>
        <w:keepLines w:val="0"/>
        <w:pageBreakBefore w:val="0"/>
        <w:widowControl w:val="0"/>
        <w:wordWrap/>
        <w:overflowPunct/>
        <w:topLinePunct w:val="0"/>
        <w:autoSpaceDE/>
        <w:autoSpaceDN/>
        <w:bidi w:val="0"/>
        <w:snapToGrid/>
        <w:spacing w:line="360" w:lineRule="auto"/>
        <w:ind w:firstLine="480" w:firstLineChars="200"/>
        <w:textAlignment w:val="auto"/>
        <w:rPr>
          <w:rFonts w:ascii="宋体"/>
          <w:sz w:val="24"/>
        </w:rPr>
      </w:pPr>
      <w:r>
        <w:rPr>
          <w:rFonts w:hint="eastAsia" w:ascii="宋体" w:hAnsi="宋体" w:cs="宋体"/>
          <w:sz w:val="24"/>
        </w:rPr>
        <w:t>3</w:t>
      </w:r>
      <w:r>
        <w:rPr>
          <w:rFonts w:ascii="宋体" w:cs="宋体"/>
          <w:sz w:val="24"/>
        </w:rPr>
        <w:t>.</w:t>
      </w:r>
      <w:r>
        <w:rPr>
          <w:rFonts w:hint="eastAsia" w:ascii="宋体" w:hAnsi="宋体" w:cs="宋体"/>
          <w:sz w:val="24"/>
        </w:rPr>
        <w:t>我们愿按《中华人民共和国民法典》履行自己的全部责任。</w:t>
      </w:r>
    </w:p>
    <w:p w14:paraId="6D473D31">
      <w:pPr>
        <w:keepNext w:val="0"/>
        <w:keepLines w:val="0"/>
        <w:pageBreakBefore w:val="0"/>
        <w:widowControl w:val="0"/>
        <w:wordWrap/>
        <w:overflowPunct/>
        <w:topLinePunct w:val="0"/>
        <w:autoSpaceDE/>
        <w:autoSpaceDN/>
        <w:bidi w:val="0"/>
        <w:snapToGrid/>
        <w:spacing w:line="360" w:lineRule="auto"/>
        <w:ind w:firstLine="480" w:firstLineChars="200"/>
        <w:textAlignment w:val="auto"/>
        <w:rPr>
          <w:rFonts w:ascii="宋体"/>
          <w:sz w:val="24"/>
        </w:rPr>
      </w:pPr>
      <w:r>
        <w:rPr>
          <w:rFonts w:hint="eastAsia" w:ascii="宋体" w:hAnsi="宋体" w:cs="宋体"/>
          <w:sz w:val="24"/>
        </w:rPr>
        <w:t>4</w:t>
      </w:r>
      <w:r>
        <w:rPr>
          <w:rFonts w:ascii="宋体" w:cs="宋体"/>
          <w:sz w:val="24"/>
        </w:rPr>
        <w:t>.</w:t>
      </w:r>
      <w:r>
        <w:rPr>
          <w:rFonts w:hint="eastAsia" w:ascii="宋体" w:hAnsi="宋体" w:cs="宋体"/>
          <w:sz w:val="24"/>
        </w:rPr>
        <w:t>我们同意按竞争性磋商文件规定，遵守有关规定和收费标准。</w:t>
      </w:r>
    </w:p>
    <w:p w14:paraId="1356AEBE">
      <w:pPr>
        <w:keepNext w:val="0"/>
        <w:keepLines w:val="0"/>
        <w:pageBreakBefore w:val="0"/>
        <w:widowControl w:val="0"/>
        <w:wordWrap/>
        <w:overflowPunct/>
        <w:topLinePunct w:val="0"/>
        <w:autoSpaceDE/>
        <w:autoSpaceDN/>
        <w:bidi w:val="0"/>
        <w:snapToGrid/>
        <w:spacing w:line="360" w:lineRule="auto"/>
        <w:ind w:firstLine="480" w:firstLineChars="200"/>
        <w:textAlignment w:val="auto"/>
        <w:rPr>
          <w:rFonts w:ascii="宋体"/>
          <w:sz w:val="24"/>
        </w:rPr>
      </w:pPr>
      <w:r>
        <w:rPr>
          <w:rFonts w:hint="eastAsia" w:ascii="宋体" w:hAnsi="宋体" w:cs="宋体"/>
          <w:sz w:val="24"/>
        </w:rPr>
        <w:t>5</w:t>
      </w:r>
      <w:r>
        <w:rPr>
          <w:rFonts w:ascii="宋体" w:cs="宋体"/>
          <w:sz w:val="24"/>
        </w:rPr>
        <w:t>.</w:t>
      </w:r>
      <w:r>
        <w:rPr>
          <w:rFonts w:hint="eastAsia" w:ascii="宋体" w:hAnsi="宋体" w:cs="宋体"/>
          <w:sz w:val="24"/>
        </w:rPr>
        <w:t>乙方的竞争性磋商响应文件有效期为</w:t>
      </w:r>
      <w:r>
        <w:rPr>
          <w:rFonts w:hint="eastAsia" w:ascii="宋体" w:hAnsi="宋体" w:cs="宋体"/>
          <w:sz w:val="24"/>
          <w:lang w:val="en-US" w:eastAsia="zh-CN"/>
        </w:rPr>
        <w:t>90日历天</w:t>
      </w:r>
      <w:r>
        <w:rPr>
          <w:rFonts w:hint="eastAsia" w:ascii="宋体" w:hAnsi="宋体" w:cs="宋体"/>
          <w:sz w:val="24"/>
        </w:rPr>
        <w:t>。</w:t>
      </w:r>
    </w:p>
    <w:p w14:paraId="22B1942C">
      <w:pPr>
        <w:keepNext w:val="0"/>
        <w:keepLines w:val="0"/>
        <w:pageBreakBefore w:val="0"/>
        <w:widowControl w:val="0"/>
        <w:wordWrap/>
        <w:overflowPunct/>
        <w:topLinePunct w:val="0"/>
        <w:autoSpaceDE/>
        <w:autoSpaceDN/>
        <w:bidi w:val="0"/>
        <w:snapToGrid/>
        <w:spacing w:line="360" w:lineRule="auto"/>
        <w:ind w:firstLine="480" w:firstLineChars="200"/>
        <w:textAlignment w:val="auto"/>
        <w:rPr>
          <w:rFonts w:ascii="宋体" w:cs="宋体"/>
          <w:sz w:val="24"/>
        </w:rPr>
      </w:pPr>
      <w:r>
        <w:rPr>
          <w:rFonts w:hint="eastAsia" w:ascii="宋体" w:hAnsi="宋体" w:cs="宋体"/>
          <w:sz w:val="24"/>
        </w:rPr>
        <w:t>6</w:t>
      </w:r>
      <w:r>
        <w:rPr>
          <w:rFonts w:ascii="宋体" w:hAnsi="宋体" w:cs="宋体"/>
          <w:sz w:val="24"/>
        </w:rPr>
        <w:t>.</w:t>
      </w:r>
      <w:r>
        <w:rPr>
          <w:rFonts w:hint="eastAsia" w:ascii="宋体" w:hAnsi="宋体" w:cs="宋体"/>
          <w:sz w:val="24"/>
        </w:rPr>
        <w:t>所有关于本竞争性磋商响应文件的函电，请按下列地址联系。</w:t>
      </w:r>
    </w:p>
    <w:p w14:paraId="2DE0B4AB">
      <w:pPr>
        <w:keepNext w:val="0"/>
        <w:keepLines w:val="0"/>
        <w:pageBreakBefore w:val="0"/>
        <w:widowControl w:val="0"/>
        <w:wordWrap/>
        <w:overflowPunct/>
        <w:topLinePunct w:val="0"/>
        <w:autoSpaceDE/>
        <w:autoSpaceDN/>
        <w:bidi w:val="0"/>
        <w:snapToGrid/>
        <w:spacing w:line="360" w:lineRule="auto"/>
        <w:ind w:firstLine="840"/>
        <w:textAlignment w:val="auto"/>
        <w:rPr>
          <w:rFonts w:ascii="宋体"/>
          <w:sz w:val="24"/>
        </w:rPr>
      </w:pPr>
      <w:r>
        <w:rPr>
          <w:rFonts w:hint="eastAsia" w:ascii="宋体" w:hAnsi="宋体" w:cs="Arial"/>
          <w:sz w:val="24"/>
        </w:rPr>
        <w:t>供应商</w:t>
      </w:r>
      <w:r>
        <w:rPr>
          <w:rFonts w:hint="eastAsia" w:ascii="宋体" w:hAnsi="宋体" w:cs="宋体"/>
          <w:sz w:val="24"/>
        </w:rPr>
        <w:t>（公章）：</w:t>
      </w:r>
      <w:r>
        <w:rPr>
          <w:rFonts w:hint="eastAsia" w:ascii="宋体" w:hAnsi="宋体" w:cs="宋体"/>
          <w:sz w:val="32"/>
          <w:szCs w:val="32"/>
          <w:u w:val="single"/>
        </w:rPr>
        <w:t xml:space="preserve">                  </w:t>
      </w:r>
    </w:p>
    <w:p w14:paraId="3D1DC495">
      <w:pPr>
        <w:keepNext w:val="0"/>
        <w:keepLines w:val="0"/>
        <w:pageBreakBefore w:val="0"/>
        <w:widowControl w:val="0"/>
        <w:wordWrap/>
        <w:overflowPunct/>
        <w:topLinePunct w:val="0"/>
        <w:autoSpaceDE/>
        <w:autoSpaceDN/>
        <w:bidi w:val="0"/>
        <w:snapToGrid/>
        <w:spacing w:line="360" w:lineRule="auto"/>
        <w:ind w:firstLine="840"/>
        <w:textAlignment w:val="auto"/>
        <w:rPr>
          <w:rFonts w:ascii="宋体"/>
          <w:sz w:val="24"/>
          <w:u w:val="single"/>
        </w:rPr>
      </w:pPr>
      <w:r>
        <w:rPr>
          <w:rFonts w:hint="eastAsia" w:ascii="宋体" w:hAnsi="宋体" w:cs="宋体"/>
          <w:sz w:val="24"/>
        </w:rPr>
        <w:t>地址：</w:t>
      </w:r>
      <w:r>
        <w:rPr>
          <w:rFonts w:hint="eastAsia" w:ascii="宋体" w:hAnsi="宋体" w:cs="宋体"/>
          <w:sz w:val="32"/>
          <w:szCs w:val="32"/>
          <w:u w:val="single"/>
        </w:rPr>
        <w:t xml:space="preserve">                          </w:t>
      </w:r>
    </w:p>
    <w:p w14:paraId="774B3D0C">
      <w:pPr>
        <w:keepNext w:val="0"/>
        <w:keepLines w:val="0"/>
        <w:pageBreakBefore w:val="0"/>
        <w:widowControl w:val="0"/>
        <w:wordWrap/>
        <w:overflowPunct/>
        <w:topLinePunct w:val="0"/>
        <w:autoSpaceDE/>
        <w:autoSpaceDN/>
        <w:bidi w:val="0"/>
        <w:snapToGrid/>
        <w:spacing w:line="360" w:lineRule="auto"/>
        <w:ind w:firstLine="840"/>
        <w:textAlignment w:val="auto"/>
        <w:rPr>
          <w:rFonts w:ascii="宋体"/>
          <w:sz w:val="24"/>
          <w:u w:val="single"/>
        </w:rPr>
      </w:pPr>
      <w:r>
        <w:rPr>
          <w:rFonts w:hint="eastAsia" w:ascii="宋体" w:hAnsi="宋体" w:cs="宋体"/>
          <w:sz w:val="24"/>
        </w:rPr>
        <w:t>开户行：</w:t>
      </w:r>
      <w:r>
        <w:rPr>
          <w:rFonts w:hint="eastAsia" w:ascii="宋体" w:hAnsi="宋体" w:cs="宋体"/>
          <w:sz w:val="32"/>
          <w:szCs w:val="32"/>
          <w:u w:val="single"/>
        </w:rPr>
        <w:t xml:space="preserve">                        </w:t>
      </w:r>
    </w:p>
    <w:p w14:paraId="68B16082">
      <w:pPr>
        <w:keepNext w:val="0"/>
        <w:keepLines w:val="0"/>
        <w:pageBreakBefore w:val="0"/>
        <w:widowControl w:val="0"/>
        <w:wordWrap/>
        <w:overflowPunct/>
        <w:topLinePunct w:val="0"/>
        <w:autoSpaceDE/>
        <w:autoSpaceDN/>
        <w:bidi w:val="0"/>
        <w:snapToGrid/>
        <w:spacing w:line="360" w:lineRule="auto"/>
        <w:ind w:firstLine="840"/>
        <w:textAlignment w:val="auto"/>
        <w:rPr>
          <w:rFonts w:ascii="宋体"/>
          <w:sz w:val="24"/>
        </w:rPr>
      </w:pPr>
      <w:r>
        <w:rPr>
          <w:rFonts w:hint="eastAsia" w:ascii="宋体" w:hAnsi="宋体" w:cs="宋体"/>
          <w:sz w:val="24"/>
        </w:rPr>
        <w:t>账号：</w:t>
      </w:r>
      <w:r>
        <w:rPr>
          <w:rFonts w:hint="eastAsia" w:ascii="宋体" w:hAnsi="宋体" w:cs="宋体"/>
          <w:sz w:val="32"/>
          <w:szCs w:val="32"/>
          <w:u w:val="single"/>
        </w:rPr>
        <w:t xml:space="preserve">                          </w:t>
      </w:r>
    </w:p>
    <w:p w14:paraId="0BC6B0EC">
      <w:pPr>
        <w:keepNext w:val="0"/>
        <w:keepLines w:val="0"/>
        <w:pageBreakBefore w:val="0"/>
        <w:widowControl w:val="0"/>
        <w:wordWrap/>
        <w:overflowPunct/>
        <w:topLinePunct w:val="0"/>
        <w:autoSpaceDE/>
        <w:autoSpaceDN/>
        <w:bidi w:val="0"/>
        <w:snapToGrid/>
        <w:spacing w:line="360" w:lineRule="auto"/>
        <w:ind w:firstLine="840"/>
        <w:textAlignment w:val="auto"/>
        <w:rPr>
          <w:rFonts w:ascii="宋体"/>
          <w:sz w:val="24"/>
        </w:rPr>
      </w:pPr>
      <w:r>
        <w:rPr>
          <w:rFonts w:hint="eastAsia" w:ascii="宋体" w:hAnsi="宋体" w:cs="宋体"/>
          <w:sz w:val="24"/>
        </w:rPr>
        <w:t>电话：</w:t>
      </w:r>
      <w:r>
        <w:rPr>
          <w:rFonts w:hint="eastAsia" w:ascii="宋体" w:hAnsi="宋体" w:cs="宋体"/>
          <w:sz w:val="32"/>
          <w:szCs w:val="32"/>
          <w:u w:val="single"/>
        </w:rPr>
        <w:t xml:space="preserve">                          </w:t>
      </w:r>
    </w:p>
    <w:p w14:paraId="513721BD">
      <w:pPr>
        <w:keepNext w:val="0"/>
        <w:keepLines w:val="0"/>
        <w:pageBreakBefore w:val="0"/>
        <w:widowControl w:val="0"/>
        <w:wordWrap/>
        <w:overflowPunct/>
        <w:topLinePunct w:val="0"/>
        <w:autoSpaceDE/>
        <w:autoSpaceDN/>
        <w:bidi w:val="0"/>
        <w:snapToGrid/>
        <w:spacing w:line="360" w:lineRule="auto"/>
        <w:ind w:firstLine="840"/>
        <w:textAlignment w:val="auto"/>
        <w:rPr>
          <w:rFonts w:ascii="宋体"/>
          <w:sz w:val="24"/>
        </w:rPr>
      </w:pPr>
      <w:r>
        <w:rPr>
          <w:rFonts w:hint="eastAsia" w:ascii="宋体" w:hAnsi="宋体" w:cs="宋体"/>
          <w:sz w:val="24"/>
        </w:rPr>
        <w:t>传真：</w:t>
      </w:r>
      <w:r>
        <w:rPr>
          <w:rFonts w:hint="eastAsia" w:ascii="宋体" w:hAnsi="宋体" w:cs="宋体"/>
          <w:sz w:val="32"/>
          <w:szCs w:val="32"/>
          <w:u w:val="single"/>
        </w:rPr>
        <w:t xml:space="preserve">                          </w:t>
      </w:r>
    </w:p>
    <w:p w14:paraId="6F6ACA85">
      <w:pPr>
        <w:keepNext w:val="0"/>
        <w:keepLines w:val="0"/>
        <w:pageBreakBefore w:val="0"/>
        <w:widowControl w:val="0"/>
        <w:wordWrap/>
        <w:overflowPunct/>
        <w:topLinePunct w:val="0"/>
        <w:autoSpaceDE/>
        <w:autoSpaceDN/>
        <w:bidi w:val="0"/>
        <w:snapToGrid/>
        <w:spacing w:line="360" w:lineRule="auto"/>
        <w:ind w:firstLine="840"/>
        <w:textAlignment w:val="auto"/>
        <w:rPr>
          <w:rFonts w:ascii="宋体"/>
          <w:sz w:val="24"/>
          <w:u w:val="single"/>
        </w:rPr>
      </w:pPr>
      <w:r>
        <w:rPr>
          <w:rFonts w:hint="eastAsia" w:ascii="宋体" w:hAnsi="宋体" w:cs="宋体"/>
          <w:sz w:val="24"/>
        </w:rPr>
        <w:t>邮编：</w:t>
      </w:r>
      <w:r>
        <w:rPr>
          <w:rFonts w:hint="eastAsia" w:ascii="宋体" w:hAnsi="宋体" w:cs="宋体"/>
          <w:sz w:val="32"/>
          <w:szCs w:val="32"/>
          <w:u w:val="single"/>
        </w:rPr>
        <w:t xml:space="preserve">                          </w:t>
      </w:r>
    </w:p>
    <w:p w14:paraId="51E1CECE">
      <w:pPr>
        <w:keepNext w:val="0"/>
        <w:keepLines w:val="0"/>
        <w:pageBreakBefore w:val="0"/>
        <w:widowControl w:val="0"/>
        <w:wordWrap/>
        <w:overflowPunct/>
        <w:topLinePunct w:val="0"/>
        <w:autoSpaceDE/>
        <w:autoSpaceDN/>
        <w:bidi w:val="0"/>
        <w:snapToGrid/>
        <w:spacing w:line="360" w:lineRule="auto"/>
        <w:ind w:firstLine="840"/>
        <w:textAlignment w:val="auto"/>
        <w:rPr>
          <w:rFonts w:hint="default" w:ascii="宋体" w:eastAsia="宋体"/>
          <w:sz w:val="24"/>
          <w:u w:val="none"/>
          <w:lang w:val="en-US" w:eastAsia="zh-CN"/>
        </w:rPr>
      </w:pPr>
      <w:r>
        <w:rPr>
          <w:rFonts w:hint="eastAsia" w:ascii="宋体"/>
          <w:sz w:val="24"/>
          <w:u w:val="none"/>
        </w:rPr>
        <w:t>法定代表人/授权代表签字或盖章：</w:t>
      </w:r>
      <w:r>
        <w:rPr>
          <w:rFonts w:hint="eastAsia" w:ascii="宋体"/>
          <w:sz w:val="24"/>
          <w:u w:val="single"/>
          <w:lang w:val="en-US" w:eastAsia="zh-CN"/>
        </w:rPr>
        <w:t xml:space="preserve">          </w:t>
      </w:r>
    </w:p>
    <w:p w14:paraId="7B6121EC">
      <w:pPr>
        <w:keepNext w:val="0"/>
        <w:keepLines w:val="0"/>
        <w:pageBreakBefore w:val="0"/>
        <w:widowControl w:val="0"/>
        <w:kinsoku w:val="0"/>
        <w:wordWrap/>
        <w:overflowPunct/>
        <w:topLinePunct w:val="0"/>
        <w:autoSpaceDE/>
        <w:autoSpaceDN/>
        <w:bidi w:val="0"/>
        <w:snapToGrid/>
        <w:spacing w:line="360" w:lineRule="auto"/>
        <w:ind w:firstLine="570"/>
        <w:textAlignment w:val="auto"/>
        <w:rPr>
          <w:rFonts w:hint="eastAsia" w:ascii="宋体" w:hAnsi="宋体"/>
          <w:sz w:val="24"/>
        </w:rPr>
      </w:pPr>
      <w:r>
        <w:rPr>
          <w:rFonts w:hint="eastAsia" w:ascii="宋体" w:hAnsi="宋体" w:cs="宋体"/>
          <w:sz w:val="24"/>
        </w:rPr>
        <w:t xml:space="preserve">                                 年   月    日</w:t>
      </w:r>
    </w:p>
    <w:p w14:paraId="206E4854">
      <w:pPr>
        <w:pStyle w:val="3"/>
        <w:rPr>
          <w:rFonts w:hint="eastAsia"/>
          <w:sz w:val="32"/>
        </w:rPr>
      </w:pPr>
      <w:r>
        <w:rPr>
          <w:sz w:val="24"/>
        </w:rPr>
        <w:br w:type="page"/>
      </w:r>
      <w:bookmarkStart w:id="16" w:name="_Toc162021011"/>
      <w:r>
        <w:rPr>
          <w:rFonts w:hint="eastAsia"/>
          <w:sz w:val="32"/>
        </w:rPr>
        <w:t>二、磋商响应第一次报价表</w:t>
      </w:r>
      <w:bookmarkEnd w:id="16"/>
    </w:p>
    <w:p w14:paraId="090E1327">
      <w:pPr>
        <w:spacing w:before="120" w:line="560" w:lineRule="exact"/>
        <w:ind w:firstLine="723" w:firstLineChars="300"/>
        <w:rPr>
          <w:rFonts w:ascii="宋体" w:hAnsi="宋体" w:cs="宋体"/>
          <w:b/>
          <w:sz w:val="24"/>
        </w:rPr>
      </w:pPr>
      <w:r>
        <w:rPr>
          <w:rFonts w:hint="eastAsia" w:ascii="宋体" w:hAnsi="宋体" w:cs="宋体"/>
          <w:b/>
          <w:bCs/>
          <w:sz w:val="24"/>
        </w:rPr>
        <w:t>项目名称：                          项目编号：</w:t>
      </w:r>
    </w:p>
    <w:tbl>
      <w:tblPr>
        <w:tblStyle w:val="30"/>
        <w:tblpPr w:leftFromText="180" w:rightFromText="180" w:vertAnchor="page" w:horzAnchor="margin" w:tblpXSpec="center" w:tblpY="32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41"/>
        <w:gridCol w:w="5331"/>
      </w:tblGrid>
      <w:tr w14:paraId="16926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3141" w:type="dxa"/>
            <w:noWrap w:val="0"/>
            <w:vAlign w:val="center"/>
          </w:tcPr>
          <w:p w14:paraId="04AE25FA">
            <w:pPr>
              <w:spacing w:line="240" w:lineRule="auto"/>
              <w:jc w:val="center"/>
              <w:rPr>
                <w:rFonts w:ascii="宋体" w:hAnsi="宋体"/>
                <w:sz w:val="24"/>
              </w:rPr>
            </w:pPr>
            <w:r>
              <w:rPr>
                <w:rFonts w:hint="eastAsia" w:ascii="宋体" w:hAnsi="宋体"/>
                <w:sz w:val="24"/>
              </w:rPr>
              <w:t>磋商总报价</w:t>
            </w:r>
          </w:p>
          <w:p w14:paraId="37E5B183">
            <w:pPr>
              <w:spacing w:line="240" w:lineRule="auto"/>
              <w:jc w:val="center"/>
              <w:rPr>
                <w:rFonts w:ascii="宋体" w:hAnsi="宋体"/>
                <w:sz w:val="24"/>
              </w:rPr>
            </w:pPr>
            <w:r>
              <w:rPr>
                <w:rFonts w:hint="eastAsia" w:ascii="宋体" w:hAnsi="宋体"/>
                <w:sz w:val="24"/>
              </w:rPr>
              <w:t>(单位：人民币)</w:t>
            </w:r>
          </w:p>
        </w:tc>
        <w:tc>
          <w:tcPr>
            <w:tcW w:w="5331" w:type="dxa"/>
            <w:noWrap w:val="0"/>
            <w:vAlign w:val="center"/>
          </w:tcPr>
          <w:p w14:paraId="27D22152">
            <w:pPr>
              <w:adjustRightInd w:val="0"/>
              <w:snapToGrid w:val="0"/>
              <w:spacing w:line="240" w:lineRule="auto"/>
              <w:jc w:val="both"/>
              <w:rPr>
                <w:rFonts w:ascii="宋体" w:hAnsi="宋体" w:cs="宋体"/>
                <w:sz w:val="24"/>
              </w:rPr>
            </w:pPr>
            <w:r>
              <w:rPr>
                <w:rFonts w:ascii="宋体" w:hAnsi="宋体" w:cs="宋体"/>
                <w:sz w:val="24"/>
              </w:rPr>
              <w:t>(</w:t>
            </w:r>
            <w:r>
              <w:rPr>
                <w:rFonts w:hint="eastAsia" w:ascii="宋体" w:hAnsi="宋体" w:cs="宋体"/>
                <w:sz w:val="24"/>
              </w:rPr>
              <w:t>大写</w:t>
            </w:r>
            <w:r>
              <w:rPr>
                <w:rFonts w:ascii="宋体" w:hAnsi="宋体" w:cs="宋体"/>
                <w:sz w:val="24"/>
              </w:rPr>
              <w:t>)</w:t>
            </w:r>
            <w:r>
              <w:rPr>
                <w:rFonts w:hint="eastAsia" w:ascii="宋体" w:hAnsi="宋体" w:cs="宋体"/>
                <w:sz w:val="24"/>
              </w:rPr>
              <w:t>：</w:t>
            </w:r>
          </w:p>
          <w:p w14:paraId="5663DE95">
            <w:pPr>
              <w:spacing w:line="240" w:lineRule="auto"/>
              <w:jc w:val="both"/>
              <w:rPr>
                <w:rFonts w:hint="default" w:ascii="宋体" w:hAnsi="宋体" w:eastAsia="宋体"/>
                <w:sz w:val="24"/>
                <w:lang w:val="en-US" w:eastAsia="zh-CN"/>
              </w:rPr>
            </w:pPr>
            <w:r>
              <w:rPr>
                <w:rFonts w:ascii="宋体" w:hAnsi="宋体" w:cs="宋体"/>
                <w:sz w:val="24"/>
              </w:rPr>
              <w:t>(</w:t>
            </w:r>
            <w:r>
              <w:rPr>
                <w:rFonts w:hint="eastAsia" w:ascii="宋体" w:hAnsi="宋体" w:cs="宋体"/>
                <w:sz w:val="24"/>
              </w:rPr>
              <w:t>小写</w:t>
            </w:r>
            <w:r>
              <w:rPr>
                <w:rFonts w:ascii="宋体" w:hAnsi="宋体" w:cs="宋体"/>
                <w:sz w:val="24"/>
              </w:rPr>
              <w:t>)</w:t>
            </w:r>
            <w:r>
              <w:rPr>
                <w:rFonts w:hint="eastAsia" w:ascii="宋体" w:hAnsi="宋体" w:cs="宋体"/>
                <w:sz w:val="24"/>
              </w:rPr>
              <w:t>：</w:t>
            </w:r>
            <w:r>
              <w:rPr>
                <w:rFonts w:hint="eastAsia" w:ascii="宋体" w:hAnsi="宋体" w:cs="宋体"/>
                <w:sz w:val="24"/>
                <w:lang w:val="en-US" w:eastAsia="zh-CN"/>
              </w:rPr>
              <w:t xml:space="preserve">    </w:t>
            </w:r>
          </w:p>
        </w:tc>
      </w:tr>
      <w:tr w14:paraId="09203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3141" w:type="dxa"/>
            <w:noWrap w:val="0"/>
            <w:vAlign w:val="center"/>
          </w:tcPr>
          <w:p w14:paraId="3C850E94">
            <w:pPr>
              <w:spacing w:line="240" w:lineRule="auto"/>
              <w:jc w:val="center"/>
              <w:rPr>
                <w:rFonts w:ascii="宋体" w:hAnsi="宋体" w:cs="宋体"/>
                <w:sz w:val="24"/>
              </w:rPr>
            </w:pPr>
            <w:r>
              <w:rPr>
                <w:rFonts w:hint="eastAsia" w:ascii="宋体" w:hAnsi="宋体" w:cs="仿宋_GB2312"/>
                <w:bCs/>
                <w:sz w:val="24"/>
                <w:lang w:val="en-US" w:eastAsia="zh-CN"/>
              </w:rPr>
              <w:t>工期</w:t>
            </w:r>
          </w:p>
        </w:tc>
        <w:tc>
          <w:tcPr>
            <w:tcW w:w="5331" w:type="dxa"/>
            <w:noWrap w:val="0"/>
            <w:vAlign w:val="center"/>
          </w:tcPr>
          <w:p w14:paraId="1738F740">
            <w:pPr>
              <w:spacing w:line="240" w:lineRule="auto"/>
              <w:jc w:val="center"/>
              <w:rPr>
                <w:rFonts w:ascii="宋体" w:hAnsi="宋体" w:cs="宋体"/>
                <w:sz w:val="24"/>
              </w:rPr>
            </w:pPr>
          </w:p>
        </w:tc>
      </w:tr>
      <w:tr w14:paraId="369F7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3141" w:type="dxa"/>
            <w:noWrap w:val="0"/>
            <w:vAlign w:val="center"/>
          </w:tcPr>
          <w:p w14:paraId="3203A840">
            <w:pPr>
              <w:spacing w:line="240" w:lineRule="auto"/>
              <w:jc w:val="center"/>
              <w:rPr>
                <w:rFonts w:ascii="宋体" w:hAnsi="宋体"/>
                <w:sz w:val="24"/>
              </w:rPr>
            </w:pPr>
            <w:r>
              <w:rPr>
                <w:rFonts w:hint="eastAsia" w:ascii="宋体" w:hAnsi="宋体"/>
                <w:sz w:val="24"/>
              </w:rPr>
              <w:t>备注</w:t>
            </w:r>
          </w:p>
        </w:tc>
        <w:tc>
          <w:tcPr>
            <w:tcW w:w="5331" w:type="dxa"/>
            <w:noWrap w:val="0"/>
            <w:vAlign w:val="center"/>
          </w:tcPr>
          <w:p w14:paraId="734D38A8">
            <w:pPr>
              <w:spacing w:line="240" w:lineRule="auto"/>
              <w:jc w:val="center"/>
              <w:rPr>
                <w:rFonts w:ascii="宋体" w:hAnsi="宋体"/>
                <w:sz w:val="24"/>
              </w:rPr>
            </w:pPr>
          </w:p>
        </w:tc>
      </w:tr>
      <w:tr w14:paraId="3A1C4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8472" w:type="dxa"/>
            <w:gridSpan w:val="2"/>
            <w:noWrap w:val="0"/>
            <w:vAlign w:val="center"/>
          </w:tcPr>
          <w:p w14:paraId="0C2B06CE">
            <w:pPr>
              <w:spacing w:line="240" w:lineRule="auto"/>
              <w:jc w:val="both"/>
              <w:rPr>
                <w:rFonts w:hint="eastAsia" w:ascii="宋体" w:hAnsi="宋体" w:eastAsia="宋体"/>
                <w:sz w:val="24"/>
                <w:lang w:eastAsia="zh-CN"/>
              </w:rPr>
            </w:pPr>
            <w:r>
              <w:rPr>
                <w:rFonts w:hint="eastAsia" w:ascii="宋体" w:hAnsi="宋体"/>
                <w:sz w:val="24"/>
              </w:rPr>
              <w:t>备注：1.表内报价内容以元为单位，精确到小数点后两位</w:t>
            </w:r>
            <w:r>
              <w:rPr>
                <w:rFonts w:hint="eastAsia" w:ascii="宋体" w:hAnsi="宋体"/>
                <w:sz w:val="24"/>
                <w:lang w:eastAsia="zh-CN"/>
              </w:rPr>
              <w:t>。</w:t>
            </w:r>
          </w:p>
        </w:tc>
      </w:tr>
    </w:tbl>
    <w:p w14:paraId="5FB7EC4D">
      <w:pPr>
        <w:spacing w:line="360" w:lineRule="auto"/>
        <w:rPr>
          <w:rFonts w:ascii="宋体" w:hAnsi="宋体" w:cs="Arial"/>
          <w:sz w:val="24"/>
        </w:rPr>
      </w:pPr>
    </w:p>
    <w:p w14:paraId="47A4C64C">
      <w:pPr>
        <w:spacing w:line="360" w:lineRule="auto"/>
        <w:rPr>
          <w:rFonts w:ascii="宋体" w:hAnsi="宋体" w:cs="Arial"/>
          <w:sz w:val="24"/>
        </w:rPr>
      </w:pPr>
    </w:p>
    <w:p w14:paraId="2AC70079">
      <w:pPr>
        <w:spacing w:line="360" w:lineRule="auto"/>
        <w:rPr>
          <w:rFonts w:hint="eastAsia" w:ascii="宋体" w:hAnsi="宋体"/>
          <w:sz w:val="24"/>
        </w:rPr>
      </w:pPr>
      <w:r>
        <w:rPr>
          <w:rFonts w:hint="eastAsia" w:ascii="宋体" w:hAnsi="宋体" w:cs="Arial"/>
          <w:sz w:val="24"/>
        </w:rPr>
        <w:t>供应商</w:t>
      </w:r>
      <w:r>
        <w:rPr>
          <w:rFonts w:hint="eastAsia" w:ascii="宋体" w:hAnsi="宋体"/>
          <w:sz w:val="24"/>
        </w:rPr>
        <w:t>：（公章）</w:t>
      </w:r>
    </w:p>
    <w:p w14:paraId="7A0C8AD2">
      <w:pPr>
        <w:spacing w:line="360" w:lineRule="auto"/>
        <w:rPr>
          <w:rFonts w:hint="eastAsia" w:ascii="宋体" w:hAnsi="宋体"/>
          <w:sz w:val="24"/>
        </w:rPr>
      </w:pPr>
      <w:r>
        <w:rPr>
          <w:rFonts w:hint="eastAsia" w:ascii="宋体" w:hAnsi="宋体"/>
          <w:sz w:val="24"/>
        </w:rPr>
        <w:t>法定代表人</w:t>
      </w:r>
      <w:r>
        <w:rPr>
          <w:rFonts w:hint="eastAsia" w:ascii="宋体" w:hAnsi="宋体"/>
          <w:sz w:val="24"/>
          <w:lang w:val="en-US" w:eastAsia="zh-CN"/>
        </w:rPr>
        <w:t>/</w:t>
      </w:r>
      <w:r>
        <w:rPr>
          <w:rFonts w:hint="eastAsia" w:ascii="宋体" w:hAnsi="宋体"/>
          <w:sz w:val="24"/>
        </w:rPr>
        <w:t>授权代表签字或盖章：</w:t>
      </w:r>
    </w:p>
    <w:p w14:paraId="3B4DC1D9">
      <w:pPr>
        <w:spacing w:line="500" w:lineRule="exact"/>
        <w:rPr>
          <w:rFonts w:ascii="宋体" w:hAnsi="宋体"/>
          <w:sz w:val="24"/>
        </w:rPr>
      </w:pPr>
      <w:r>
        <w:rPr>
          <w:rFonts w:hint="eastAsia" w:ascii="宋体" w:hAnsi="宋体"/>
          <w:sz w:val="24"/>
        </w:rPr>
        <w:t xml:space="preserve">日  期：  </w:t>
      </w:r>
    </w:p>
    <w:p w14:paraId="4B81FA04">
      <w:pPr>
        <w:kinsoku w:val="0"/>
        <w:spacing w:line="500" w:lineRule="exact"/>
        <w:rPr>
          <w:rFonts w:hint="eastAsia" w:ascii="宋体" w:hAnsi="宋体"/>
          <w:sz w:val="24"/>
        </w:rPr>
      </w:pPr>
    </w:p>
    <w:p w14:paraId="2B0FA449">
      <w:pPr>
        <w:pStyle w:val="16"/>
        <w:rPr>
          <w:rFonts w:hint="eastAsia" w:hAnsi="宋体"/>
        </w:rPr>
      </w:pPr>
      <w:r>
        <w:rPr>
          <w:rFonts w:hAnsi="宋体"/>
          <w:b/>
          <w:sz w:val="44"/>
        </w:rPr>
        <w:br w:type="page"/>
      </w:r>
      <w:r>
        <w:rPr>
          <w:rFonts w:hint="eastAsia" w:hAnsi="宋体"/>
          <w:sz w:val="24"/>
          <w:szCs w:val="24"/>
        </w:rPr>
        <w:t>附表1</w:t>
      </w:r>
    </w:p>
    <w:p w14:paraId="0620D04D">
      <w:pPr>
        <w:pStyle w:val="16"/>
        <w:jc w:val="center"/>
        <w:rPr>
          <w:rFonts w:hint="eastAsia" w:hAnsi="宋体" w:eastAsia="宋体"/>
          <w:b/>
          <w:sz w:val="32"/>
          <w:lang w:eastAsia="zh-CN"/>
        </w:rPr>
      </w:pPr>
      <w:r>
        <w:rPr>
          <w:rFonts w:hint="eastAsia" w:hAnsi="宋体"/>
          <w:b/>
          <w:sz w:val="32"/>
        </w:rPr>
        <w:t>分项报价表</w:t>
      </w:r>
      <w:r>
        <w:rPr>
          <w:rFonts w:hint="eastAsia" w:hAnsi="宋体"/>
          <w:b/>
          <w:sz w:val="32"/>
          <w:lang w:eastAsia="zh-CN"/>
        </w:rPr>
        <w:t>（如有）</w:t>
      </w:r>
    </w:p>
    <w:tbl>
      <w:tblPr>
        <w:tblStyle w:val="30"/>
        <w:tblpPr w:leftFromText="180" w:rightFromText="180" w:vertAnchor="text" w:horzAnchor="page" w:tblpX="1393" w:tblpY="413"/>
        <w:tblOverlap w:val="never"/>
        <w:tblW w:w="95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1"/>
        <w:gridCol w:w="1343"/>
        <w:gridCol w:w="1394"/>
        <w:gridCol w:w="784"/>
        <w:gridCol w:w="1020"/>
        <w:gridCol w:w="2752"/>
        <w:gridCol w:w="1287"/>
      </w:tblGrid>
      <w:tr w14:paraId="40D46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1" w:type="dxa"/>
            <w:noWrap w:val="0"/>
            <w:vAlign w:val="center"/>
          </w:tcPr>
          <w:p w14:paraId="271B8206">
            <w:pPr>
              <w:keepNext w:val="0"/>
              <w:keepLines w:val="0"/>
              <w:pageBreakBefore w:val="0"/>
              <w:widowControl w:val="0"/>
              <w:kinsoku/>
              <w:wordWrap/>
              <w:overflowPunct/>
              <w:topLinePunct w:val="0"/>
              <w:autoSpaceDE/>
              <w:autoSpaceDN/>
              <w:bidi w:val="0"/>
              <w:adjustRightInd w:val="0"/>
              <w:snapToGrid w:val="0"/>
              <w:spacing w:line="360" w:lineRule="exact"/>
              <w:ind w:right="0"/>
              <w:jc w:val="center"/>
              <w:textAlignment w:val="auto"/>
              <w:rPr>
                <w:rFonts w:ascii="宋体" w:hAnsi="宋体" w:cs="宋体"/>
                <w:sz w:val="24"/>
                <w:szCs w:val="24"/>
              </w:rPr>
            </w:pPr>
            <w:r>
              <w:rPr>
                <w:rFonts w:hint="eastAsia" w:ascii="宋体" w:hAnsi="宋体" w:cs="宋体"/>
                <w:sz w:val="24"/>
                <w:szCs w:val="24"/>
              </w:rPr>
              <w:t>序号</w:t>
            </w:r>
          </w:p>
        </w:tc>
        <w:tc>
          <w:tcPr>
            <w:tcW w:w="1343" w:type="dxa"/>
            <w:noWrap w:val="0"/>
            <w:vAlign w:val="center"/>
          </w:tcPr>
          <w:p w14:paraId="4DE174D3">
            <w:pPr>
              <w:keepNext w:val="0"/>
              <w:keepLines w:val="0"/>
              <w:pageBreakBefore w:val="0"/>
              <w:widowControl w:val="0"/>
              <w:kinsoku/>
              <w:wordWrap/>
              <w:overflowPunct/>
              <w:topLinePunct w:val="0"/>
              <w:autoSpaceDE/>
              <w:autoSpaceDN/>
              <w:bidi w:val="0"/>
              <w:adjustRightInd w:val="0"/>
              <w:snapToGrid w:val="0"/>
              <w:spacing w:line="360" w:lineRule="exact"/>
              <w:ind w:right="0"/>
              <w:jc w:val="center"/>
              <w:textAlignment w:val="auto"/>
              <w:rPr>
                <w:rFonts w:ascii="宋体" w:hAnsi="宋体" w:cs="宋体"/>
                <w:sz w:val="24"/>
                <w:szCs w:val="24"/>
              </w:rPr>
            </w:pPr>
            <w:r>
              <w:rPr>
                <w:rFonts w:hint="eastAsia" w:ascii="宋体" w:hAnsi="宋体" w:cs="宋体"/>
                <w:sz w:val="24"/>
                <w:szCs w:val="24"/>
              </w:rPr>
              <w:t>内容</w:t>
            </w:r>
          </w:p>
        </w:tc>
        <w:tc>
          <w:tcPr>
            <w:tcW w:w="1394" w:type="dxa"/>
            <w:noWrap w:val="0"/>
            <w:vAlign w:val="center"/>
          </w:tcPr>
          <w:p w14:paraId="7A6C85B5">
            <w:pPr>
              <w:keepNext w:val="0"/>
              <w:keepLines w:val="0"/>
              <w:pageBreakBefore w:val="0"/>
              <w:widowControl w:val="0"/>
              <w:kinsoku/>
              <w:wordWrap/>
              <w:overflowPunct/>
              <w:topLinePunct w:val="0"/>
              <w:autoSpaceDE/>
              <w:autoSpaceDN/>
              <w:bidi w:val="0"/>
              <w:adjustRightInd w:val="0"/>
              <w:snapToGrid w:val="0"/>
              <w:spacing w:line="360" w:lineRule="exact"/>
              <w:ind w:right="0"/>
              <w:jc w:val="center"/>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规格</w:t>
            </w:r>
          </w:p>
        </w:tc>
        <w:tc>
          <w:tcPr>
            <w:tcW w:w="784" w:type="dxa"/>
            <w:noWrap w:val="0"/>
            <w:vAlign w:val="center"/>
          </w:tcPr>
          <w:p w14:paraId="770AA318">
            <w:pPr>
              <w:keepNext w:val="0"/>
              <w:keepLines w:val="0"/>
              <w:pageBreakBefore w:val="0"/>
              <w:widowControl w:val="0"/>
              <w:kinsoku/>
              <w:wordWrap/>
              <w:overflowPunct/>
              <w:topLinePunct w:val="0"/>
              <w:autoSpaceDE/>
              <w:autoSpaceDN/>
              <w:bidi w:val="0"/>
              <w:adjustRightInd w:val="0"/>
              <w:snapToGrid w:val="0"/>
              <w:spacing w:line="360" w:lineRule="exact"/>
              <w:ind w:right="0"/>
              <w:jc w:val="center"/>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数量</w:t>
            </w:r>
          </w:p>
        </w:tc>
        <w:tc>
          <w:tcPr>
            <w:tcW w:w="1020" w:type="dxa"/>
            <w:noWrap w:val="0"/>
            <w:vAlign w:val="center"/>
          </w:tcPr>
          <w:p w14:paraId="41DF99AD">
            <w:pPr>
              <w:keepNext w:val="0"/>
              <w:keepLines w:val="0"/>
              <w:pageBreakBefore w:val="0"/>
              <w:widowControl w:val="0"/>
              <w:kinsoku/>
              <w:wordWrap/>
              <w:overflowPunct/>
              <w:topLinePunct w:val="0"/>
              <w:autoSpaceDE/>
              <w:autoSpaceDN/>
              <w:bidi w:val="0"/>
              <w:adjustRightInd w:val="0"/>
              <w:snapToGrid w:val="0"/>
              <w:spacing w:line="360" w:lineRule="exact"/>
              <w:ind w:right="0"/>
              <w:jc w:val="center"/>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单位</w:t>
            </w:r>
          </w:p>
        </w:tc>
        <w:tc>
          <w:tcPr>
            <w:tcW w:w="2752" w:type="dxa"/>
            <w:noWrap w:val="0"/>
            <w:vAlign w:val="center"/>
          </w:tcPr>
          <w:p w14:paraId="4442EDCA">
            <w:pPr>
              <w:keepNext w:val="0"/>
              <w:keepLines w:val="0"/>
              <w:pageBreakBefore w:val="0"/>
              <w:widowControl w:val="0"/>
              <w:kinsoku/>
              <w:wordWrap/>
              <w:overflowPunct/>
              <w:topLinePunct w:val="0"/>
              <w:autoSpaceDE/>
              <w:autoSpaceDN/>
              <w:bidi w:val="0"/>
              <w:adjustRightInd w:val="0"/>
              <w:snapToGrid w:val="0"/>
              <w:spacing w:line="360" w:lineRule="exact"/>
              <w:ind w:right="0"/>
              <w:jc w:val="center"/>
              <w:textAlignment w:val="auto"/>
              <w:rPr>
                <w:rFonts w:hint="eastAsia" w:ascii="宋体" w:hAnsi="宋体" w:cs="宋体"/>
                <w:sz w:val="24"/>
                <w:szCs w:val="24"/>
              </w:rPr>
            </w:pPr>
            <w:r>
              <w:rPr>
                <w:rFonts w:hint="eastAsia" w:ascii="宋体" w:hAnsi="宋体" w:cs="宋体"/>
                <w:sz w:val="24"/>
                <w:szCs w:val="24"/>
              </w:rPr>
              <w:t>价格</w:t>
            </w:r>
          </w:p>
          <w:p w14:paraId="65498ABF">
            <w:pPr>
              <w:keepNext w:val="0"/>
              <w:keepLines w:val="0"/>
              <w:pageBreakBefore w:val="0"/>
              <w:widowControl w:val="0"/>
              <w:kinsoku/>
              <w:wordWrap/>
              <w:overflowPunct/>
              <w:topLinePunct w:val="0"/>
              <w:autoSpaceDE/>
              <w:autoSpaceDN/>
              <w:bidi w:val="0"/>
              <w:adjustRightInd w:val="0"/>
              <w:snapToGrid w:val="0"/>
              <w:spacing w:line="360" w:lineRule="exact"/>
              <w:ind w:right="0"/>
              <w:jc w:val="center"/>
              <w:textAlignment w:val="auto"/>
              <w:rPr>
                <w:rFonts w:ascii="宋体" w:hAnsi="宋体" w:cs="宋体"/>
                <w:sz w:val="24"/>
                <w:szCs w:val="24"/>
              </w:rPr>
            </w:pPr>
            <w:r>
              <w:rPr>
                <w:rFonts w:hint="eastAsia" w:ascii="宋体" w:hAnsi="宋体"/>
                <w:sz w:val="24"/>
                <w:szCs w:val="24"/>
              </w:rPr>
              <w:t>(单位：人民币/元)</w:t>
            </w:r>
          </w:p>
        </w:tc>
        <w:tc>
          <w:tcPr>
            <w:tcW w:w="1287" w:type="dxa"/>
            <w:noWrap w:val="0"/>
            <w:vAlign w:val="center"/>
          </w:tcPr>
          <w:p w14:paraId="7DBD2576">
            <w:pPr>
              <w:keepNext w:val="0"/>
              <w:keepLines w:val="0"/>
              <w:pageBreakBefore w:val="0"/>
              <w:widowControl w:val="0"/>
              <w:kinsoku/>
              <w:wordWrap/>
              <w:overflowPunct/>
              <w:topLinePunct w:val="0"/>
              <w:autoSpaceDE/>
              <w:autoSpaceDN/>
              <w:bidi w:val="0"/>
              <w:adjustRightInd w:val="0"/>
              <w:snapToGrid w:val="0"/>
              <w:spacing w:line="360" w:lineRule="exact"/>
              <w:ind w:right="0"/>
              <w:jc w:val="center"/>
              <w:textAlignment w:val="auto"/>
              <w:rPr>
                <w:rFonts w:ascii="宋体" w:hAnsi="宋体" w:cs="宋体"/>
                <w:sz w:val="24"/>
                <w:szCs w:val="24"/>
              </w:rPr>
            </w:pPr>
            <w:r>
              <w:rPr>
                <w:rFonts w:hint="eastAsia" w:ascii="宋体" w:hAnsi="宋体" w:cs="宋体"/>
                <w:sz w:val="24"/>
                <w:szCs w:val="24"/>
              </w:rPr>
              <w:t>备注</w:t>
            </w:r>
          </w:p>
        </w:tc>
      </w:tr>
      <w:tr w14:paraId="4387B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1" w:type="dxa"/>
            <w:noWrap w:val="0"/>
            <w:vAlign w:val="center"/>
          </w:tcPr>
          <w:p w14:paraId="3A4162A2">
            <w:pPr>
              <w:keepNext w:val="0"/>
              <w:keepLines w:val="0"/>
              <w:pageBreakBefore w:val="0"/>
              <w:widowControl w:val="0"/>
              <w:kinsoku/>
              <w:wordWrap/>
              <w:overflowPunct/>
              <w:topLinePunct w:val="0"/>
              <w:autoSpaceDE/>
              <w:autoSpaceDN/>
              <w:bidi w:val="0"/>
              <w:adjustRightInd w:val="0"/>
              <w:snapToGrid w:val="0"/>
              <w:spacing w:line="360" w:lineRule="exact"/>
              <w:ind w:right="0"/>
              <w:jc w:val="center"/>
              <w:textAlignment w:val="auto"/>
              <w:rPr>
                <w:rFonts w:ascii="宋体" w:hAnsi="宋体" w:cs="宋体"/>
                <w:sz w:val="24"/>
                <w:szCs w:val="24"/>
              </w:rPr>
            </w:pPr>
            <w:r>
              <w:rPr>
                <w:rFonts w:hint="eastAsia" w:ascii="宋体" w:hAnsi="宋体" w:cs="宋体"/>
                <w:sz w:val="24"/>
                <w:szCs w:val="24"/>
              </w:rPr>
              <w:t>1</w:t>
            </w:r>
          </w:p>
        </w:tc>
        <w:tc>
          <w:tcPr>
            <w:tcW w:w="1343" w:type="dxa"/>
            <w:noWrap w:val="0"/>
            <w:vAlign w:val="center"/>
          </w:tcPr>
          <w:p w14:paraId="62E4D158">
            <w:pPr>
              <w:keepNext w:val="0"/>
              <w:keepLines w:val="0"/>
              <w:pageBreakBefore w:val="0"/>
              <w:widowControl w:val="0"/>
              <w:kinsoku/>
              <w:wordWrap/>
              <w:overflowPunct/>
              <w:topLinePunct w:val="0"/>
              <w:autoSpaceDE/>
              <w:autoSpaceDN/>
              <w:bidi w:val="0"/>
              <w:adjustRightInd w:val="0"/>
              <w:snapToGrid w:val="0"/>
              <w:spacing w:line="360" w:lineRule="exact"/>
              <w:ind w:right="0"/>
              <w:jc w:val="center"/>
              <w:textAlignment w:val="auto"/>
              <w:rPr>
                <w:rFonts w:ascii="宋体" w:hAnsi="宋体" w:cs="宋体"/>
                <w:sz w:val="24"/>
                <w:szCs w:val="24"/>
              </w:rPr>
            </w:pPr>
          </w:p>
        </w:tc>
        <w:tc>
          <w:tcPr>
            <w:tcW w:w="1394" w:type="dxa"/>
            <w:noWrap w:val="0"/>
            <w:vAlign w:val="center"/>
          </w:tcPr>
          <w:p w14:paraId="5D226DDB">
            <w:pPr>
              <w:keepNext w:val="0"/>
              <w:keepLines w:val="0"/>
              <w:pageBreakBefore w:val="0"/>
              <w:widowControl w:val="0"/>
              <w:kinsoku/>
              <w:wordWrap/>
              <w:overflowPunct/>
              <w:topLinePunct w:val="0"/>
              <w:autoSpaceDE/>
              <w:autoSpaceDN/>
              <w:bidi w:val="0"/>
              <w:adjustRightInd w:val="0"/>
              <w:snapToGrid w:val="0"/>
              <w:spacing w:line="360" w:lineRule="exact"/>
              <w:ind w:right="0"/>
              <w:jc w:val="center"/>
              <w:textAlignment w:val="auto"/>
              <w:rPr>
                <w:rFonts w:ascii="宋体" w:hAnsi="宋体" w:cs="宋体"/>
                <w:b/>
                <w:bCs/>
                <w:sz w:val="24"/>
                <w:szCs w:val="24"/>
              </w:rPr>
            </w:pPr>
          </w:p>
        </w:tc>
        <w:tc>
          <w:tcPr>
            <w:tcW w:w="784" w:type="dxa"/>
            <w:noWrap w:val="0"/>
            <w:vAlign w:val="center"/>
          </w:tcPr>
          <w:p w14:paraId="44039CFD">
            <w:pPr>
              <w:keepNext w:val="0"/>
              <w:keepLines w:val="0"/>
              <w:pageBreakBefore w:val="0"/>
              <w:widowControl w:val="0"/>
              <w:kinsoku/>
              <w:wordWrap/>
              <w:overflowPunct/>
              <w:topLinePunct w:val="0"/>
              <w:autoSpaceDE/>
              <w:autoSpaceDN/>
              <w:bidi w:val="0"/>
              <w:adjustRightInd w:val="0"/>
              <w:snapToGrid w:val="0"/>
              <w:spacing w:line="360" w:lineRule="exact"/>
              <w:ind w:right="0"/>
              <w:jc w:val="center"/>
              <w:textAlignment w:val="auto"/>
              <w:rPr>
                <w:rFonts w:ascii="宋体" w:hAnsi="宋体" w:cs="宋体"/>
                <w:b/>
                <w:bCs/>
                <w:sz w:val="24"/>
                <w:szCs w:val="24"/>
              </w:rPr>
            </w:pPr>
          </w:p>
        </w:tc>
        <w:tc>
          <w:tcPr>
            <w:tcW w:w="1020" w:type="dxa"/>
            <w:noWrap w:val="0"/>
            <w:vAlign w:val="center"/>
          </w:tcPr>
          <w:p w14:paraId="03262AE7">
            <w:pPr>
              <w:keepNext w:val="0"/>
              <w:keepLines w:val="0"/>
              <w:pageBreakBefore w:val="0"/>
              <w:widowControl w:val="0"/>
              <w:kinsoku/>
              <w:wordWrap/>
              <w:overflowPunct/>
              <w:topLinePunct w:val="0"/>
              <w:autoSpaceDE/>
              <w:autoSpaceDN/>
              <w:bidi w:val="0"/>
              <w:adjustRightInd w:val="0"/>
              <w:snapToGrid w:val="0"/>
              <w:spacing w:line="360" w:lineRule="exact"/>
              <w:ind w:right="0"/>
              <w:jc w:val="center"/>
              <w:textAlignment w:val="auto"/>
              <w:rPr>
                <w:rFonts w:ascii="宋体" w:hAnsi="宋体" w:cs="宋体"/>
                <w:b/>
                <w:bCs/>
                <w:sz w:val="24"/>
                <w:szCs w:val="24"/>
              </w:rPr>
            </w:pPr>
          </w:p>
        </w:tc>
        <w:tc>
          <w:tcPr>
            <w:tcW w:w="2752" w:type="dxa"/>
            <w:noWrap w:val="0"/>
            <w:vAlign w:val="center"/>
          </w:tcPr>
          <w:p w14:paraId="5CE1895A">
            <w:pPr>
              <w:keepNext w:val="0"/>
              <w:keepLines w:val="0"/>
              <w:pageBreakBefore w:val="0"/>
              <w:widowControl w:val="0"/>
              <w:kinsoku/>
              <w:wordWrap/>
              <w:overflowPunct/>
              <w:topLinePunct w:val="0"/>
              <w:autoSpaceDE/>
              <w:autoSpaceDN/>
              <w:bidi w:val="0"/>
              <w:adjustRightInd w:val="0"/>
              <w:snapToGrid w:val="0"/>
              <w:spacing w:line="360" w:lineRule="exact"/>
              <w:ind w:right="0"/>
              <w:jc w:val="center"/>
              <w:textAlignment w:val="auto"/>
              <w:rPr>
                <w:rFonts w:ascii="宋体" w:hAnsi="宋体" w:cs="宋体"/>
                <w:b/>
                <w:bCs/>
                <w:sz w:val="24"/>
                <w:szCs w:val="24"/>
              </w:rPr>
            </w:pPr>
          </w:p>
        </w:tc>
        <w:tc>
          <w:tcPr>
            <w:tcW w:w="1287" w:type="dxa"/>
            <w:noWrap w:val="0"/>
            <w:vAlign w:val="center"/>
          </w:tcPr>
          <w:p w14:paraId="49407BAA">
            <w:pPr>
              <w:keepNext w:val="0"/>
              <w:keepLines w:val="0"/>
              <w:pageBreakBefore w:val="0"/>
              <w:widowControl w:val="0"/>
              <w:kinsoku/>
              <w:wordWrap/>
              <w:overflowPunct/>
              <w:topLinePunct w:val="0"/>
              <w:autoSpaceDE/>
              <w:autoSpaceDN/>
              <w:bidi w:val="0"/>
              <w:adjustRightInd w:val="0"/>
              <w:snapToGrid w:val="0"/>
              <w:spacing w:line="360" w:lineRule="exact"/>
              <w:ind w:right="0"/>
              <w:jc w:val="center"/>
              <w:textAlignment w:val="auto"/>
              <w:rPr>
                <w:rFonts w:ascii="宋体" w:hAnsi="宋体" w:cs="宋体"/>
                <w:b/>
                <w:bCs/>
                <w:sz w:val="24"/>
                <w:szCs w:val="24"/>
              </w:rPr>
            </w:pPr>
          </w:p>
        </w:tc>
      </w:tr>
      <w:tr w14:paraId="35180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41" w:type="dxa"/>
            <w:noWrap w:val="0"/>
            <w:vAlign w:val="center"/>
          </w:tcPr>
          <w:p w14:paraId="717352DE">
            <w:pPr>
              <w:keepNext w:val="0"/>
              <w:keepLines w:val="0"/>
              <w:pageBreakBefore w:val="0"/>
              <w:widowControl w:val="0"/>
              <w:kinsoku/>
              <w:wordWrap/>
              <w:overflowPunct/>
              <w:topLinePunct w:val="0"/>
              <w:autoSpaceDE/>
              <w:autoSpaceDN/>
              <w:bidi w:val="0"/>
              <w:adjustRightInd w:val="0"/>
              <w:snapToGrid w:val="0"/>
              <w:spacing w:line="360" w:lineRule="exact"/>
              <w:ind w:right="0"/>
              <w:jc w:val="center"/>
              <w:textAlignment w:val="auto"/>
              <w:rPr>
                <w:rFonts w:ascii="宋体" w:hAnsi="宋体" w:cs="宋体"/>
                <w:sz w:val="24"/>
                <w:szCs w:val="24"/>
              </w:rPr>
            </w:pPr>
            <w:r>
              <w:rPr>
                <w:rFonts w:hint="eastAsia" w:ascii="宋体" w:hAnsi="宋体" w:cs="宋体"/>
                <w:sz w:val="24"/>
                <w:szCs w:val="24"/>
              </w:rPr>
              <w:t>2</w:t>
            </w:r>
          </w:p>
        </w:tc>
        <w:tc>
          <w:tcPr>
            <w:tcW w:w="1343" w:type="dxa"/>
            <w:noWrap w:val="0"/>
            <w:vAlign w:val="center"/>
          </w:tcPr>
          <w:p w14:paraId="49310A7A">
            <w:pPr>
              <w:keepNext w:val="0"/>
              <w:keepLines w:val="0"/>
              <w:pageBreakBefore w:val="0"/>
              <w:widowControl w:val="0"/>
              <w:kinsoku/>
              <w:wordWrap/>
              <w:overflowPunct/>
              <w:topLinePunct w:val="0"/>
              <w:autoSpaceDE/>
              <w:autoSpaceDN/>
              <w:bidi w:val="0"/>
              <w:adjustRightInd w:val="0"/>
              <w:snapToGrid w:val="0"/>
              <w:spacing w:line="360" w:lineRule="exact"/>
              <w:ind w:right="0"/>
              <w:jc w:val="center"/>
              <w:textAlignment w:val="auto"/>
              <w:rPr>
                <w:rFonts w:ascii="宋体" w:hAnsi="宋体" w:cs="宋体"/>
                <w:sz w:val="24"/>
                <w:szCs w:val="24"/>
              </w:rPr>
            </w:pPr>
          </w:p>
        </w:tc>
        <w:tc>
          <w:tcPr>
            <w:tcW w:w="1394" w:type="dxa"/>
            <w:noWrap w:val="0"/>
            <w:vAlign w:val="center"/>
          </w:tcPr>
          <w:p w14:paraId="3372B796">
            <w:pPr>
              <w:keepNext w:val="0"/>
              <w:keepLines w:val="0"/>
              <w:pageBreakBefore w:val="0"/>
              <w:widowControl w:val="0"/>
              <w:kinsoku/>
              <w:wordWrap/>
              <w:overflowPunct/>
              <w:topLinePunct w:val="0"/>
              <w:autoSpaceDE/>
              <w:autoSpaceDN/>
              <w:bidi w:val="0"/>
              <w:adjustRightInd w:val="0"/>
              <w:snapToGrid w:val="0"/>
              <w:spacing w:line="360" w:lineRule="exact"/>
              <w:ind w:right="0"/>
              <w:jc w:val="center"/>
              <w:textAlignment w:val="auto"/>
              <w:rPr>
                <w:rFonts w:ascii="宋体" w:hAnsi="宋体" w:cs="宋体"/>
                <w:b/>
                <w:bCs/>
                <w:sz w:val="24"/>
                <w:szCs w:val="24"/>
              </w:rPr>
            </w:pPr>
          </w:p>
        </w:tc>
        <w:tc>
          <w:tcPr>
            <w:tcW w:w="784" w:type="dxa"/>
            <w:noWrap w:val="0"/>
            <w:vAlign w:val="center"/>
          </w:tcPr>
          <w:p w14:paraId="2049AC4B">
            <w:pPr>
              <w:keepNext w:val="0"/>
              <w:keepLines w:val="0"/>
              <w:pageBreakBefore w:val="0"/>
              <w:widowControl w:val="0"/>
              <w:kinsoku/>
              <w:wordWrap/>
              <w:overflowPunct/>
              <w:topLinePunct w:val="0"/>
              <w:autoSpaceDE/>
              <w:autoSpaceDN/>
              <w:bidi w:val="0"/>
              <w:adjustRightInd w:val="0"/>
              <w:snapToGrid w:val="0"/>
              <w:spacing w:line="360" w:lineRule="exact"/>
              <w:ind w:right="0"/>
              <w:jc w:val="center"/>
              <w:textAlignment w:val="auto"/>
              <w:rPr>
                <w:rFonts w:ascii="宋体" w:hAnsi="宋体" w:cs="宋体"/>
                <w:b/>
                <w:bCs/>
                <w:sz w:val="24"/>
                <w:szCs w:val="24"/>
              </w:rPr>
            </w:pPr>
          </w:p>
        </w:tc>
        <w:tc>
          <w:tcPr>
            <w:tcW w:w="1020" w:type="dxa"/>
            <w:noWrap w:val="0"/>
            <w:vAlign w:val="center"/>
          </w:tcPr>
          <w:p w14:paraId="1FA6A00C">
            <w:pPr>
              <w:keepNext w:val="0"/>
              <w:keepLines w:val="0"/>
              <w:pageBreakBefore w:val="0"/>
              <w:widowControl w:val="0"/>
              <w:kinsoku/>
              <w:wordWrap/>
              <w:overflowPunct/>
              <w:topLinePunct w:val="0"/>
              <w:autoSpaceDE/>
              <w:autoSpaceDN/>
              <w:bidi w:val="0"/>
              <w:adjustRightInd w:val="0"/>
              <w:snapToGrid w:val="0"/>
              <w:spacing w:line="360" w:lineRule="exact"/>
              <w:ind w:right="0"/>
              <w:jc w:val="center"/>
              <w:textAlignment w:val="auto"/>
              <w:rPr>
                <w:rFonts w:ascii="宋体" w:hAnsi="宋体" w:cs="宋体"/>
                <w:b/>
                <w:bCs/>
                <w:sz w:val="24"/>
                <w:szCs w:val="24"/>
              </w:rPr>
            </w:pPr>
          </w:p>
        </w:tc>
        <w:tc>
          <w:tcPr>
            <w:tcW w:w="2752" w:type="dxa"/>
            <w:noWrap w:val="0"/>
            <w:vAlign w:val="center"/>
          </w:tcPr>
          <w:p w14:paraId="13EBDD80">
            <w:pPr>
              <w:keepNext w:val="0"/>
              <w:keepLines w:val="0"/>
              <w:pageBreakBefore w:val="0"/>
              <w:widowControl w:val="0"/>
              <w:kinsoku/>
              <w:wordWrap/>
              <w:overflowPunct/>
              <w:topLinePunct w:val="0"/>
              <w:autoSpaceDE/>
              <w:autoSpaceDN/>
              <w:bidi w:val="0"/>
              <w:adjustRightInd w:val="0"/>
              <w:snapToGrid w:val="0"/>
              <w:spacing w:line="360" w:lineRule="exact"/>
              <w:ind w:right="0"/>
              <w:jc w:val="center"/>
              <w:textAlignment w:val="auto"/>
              <w:rPr>
                <w:rFonts w:ascii="宋体" w:hAnsi="宋体" w:cs="宋体"/>
                <w:b/>
                <w:bCs/>
                <w:sz w:val="24"/>
                <w:szCs w:val="24"/>
              </w:rPr>
            </w:pPr>
          </w:p>
        </w:tc>
        <w:tc>
          <w:tcPr>
            <w:tcW w:w="1287" w:type="dxa"/>
            <w:noWrap w:val="0"/>
            <w:vAlign w:val="center"/>
          </w:tcPr>
          <w:p w14:paraId="1C3098D3">
            <w:pPr>
              <w:keepNext w:val="0"/>
              <w:keepLines w:val="0"/>
              <w:pageBreakBefore w:val="0"/>
              <w:widowControl w:val="0"/>
              <w:kinsoku/>
              <w:wordWrap/>
              <w:overflowPunct/>
              <w:topLinePunct w:val="0"/>
              <w:autoSpaceDE/>
              <w:autoSpaceDN/>
              <w:bidi w:val="0"/>
              <w:adjustRightInd w:val="0"/>
              <w:snapToGrid w:val="0"/>
              <w:spacing w:line="360" w:lineRule="exact"/>
              <w:ind w:right="0"/>
              <w:jc w:val="center"/>
              <w:textAlignment w:val="auto"/>
              <w:rPr>
                <w:rFonts w:ascii="宋体" w:hAnsi="宋体" w:cs="宋体"/>
                <w:b/>
                <w:bCs/>
                <w:sz w:val="24"/>
                <w:szCs w:val="24"/>
              </w:rPr>
            </w:pPr>
          </w:p>
        </w:tc>
      </w:tr>
      <w:tr w14:paraId="4641D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284" w:type="dxa"/>
            <w:gridSpan w:val="2"/>
            <w:noWrap w:val="0"/>
            <w:vAlign w:val="top"/>
          </w:tcPr>
          <w:p w14:paraId="56BA34CA">
            <w:pPr>
              <w:keepNext w:val="0"/>
              <w:keepLines w:val="0"/>
              <w:pageBreakBefore w:val="0"/>
              <w:widowControl w:val="0"/>
              <w:kinsoku/>
              <w:wordWrap/>
              <w:overflowPunct/>
              <w:topLinePunct w:val="0"/>
              <w:autoSpaceDE/>
              <w:autoSpaceDN/>
              <w:bidi w:val="0"/>
              <w:adjustRightInd w:val="0"/>
              <w:snapToGrid w:val="0"/>
              <w:spacing w:line="360" w:lineRule="exact"/>
              <w:ind w:right="0"/>
              <w:jc w:val="center"/>
              <w:textAlignment w:val="auto"/>
              <w:rPr>
                <w:rFonts w:ascii="宋体" w:hAnsi="宋体" w:cs="宋体"/>
                <w:sz w:val="24"/>
                <w:szCs w:val="24"/>
              </w:rPr>
            </w:pPr>
            <w:r>
              <w:rPr>
                <w:rFonts w:hint="eastAsia" w:ascii="宋体" w:hAnsi="宋体" w:cs="宋体"/>
                <w:sz w:val="24"/>
                <w:szCs w:val="24"/>
              </w:rPr>
              <w:t>合计</w:t>
            </w:r>
          </w:p>
          <w:p w14:paraId="55972918">
            <w:pPr>
              <w:keepNext w:val="0"/>
              <w:keepLines w:val="0"/>
              <w:pageBreakBefore w:val="0"/>
              <w:widowControl w:val="0"/>
              <w:kinsoku/>
              <w:wordWrap/>
              <w:overflowPunct/>
              <w:topLinePunct w:val="0"/>
              <w:autoSpaceDE/>
              <w:autoSpaceDN/>
              <w:bidi w:val="0"/>
              <w:adjustRightInd w:val="0"/>
              <w:snapToGrid w:val="0"/>
              <w:spacing w:line="360" w:lineRule="exact"/>
              <w:ind w:right="0"/>
              <w:jc w:val="center"/>
              <w:textAlignment w:val="auto"/>
              <w:rPr>
                <w:rFonts w:ascii="宋体" w:hAnsi="宋体" w:cs="宋体"/>
                <w:b/>
                <w:bCs/>
                <w:sz w:val="24"/>
                <w:szCs w:val="24"/>
              </w:rPr>
            </w:pPr>
            <w:r>
              <w:rPr>
                <w:rFonts w:hint="eastAsia" w:ascii="宋体" w:hAnsi="宋体"/>
                <w:sz w:val="24"/>
                <w:szCs w:val="24"/>
              </w:rPr>
              <w:t>(单位：人民币)</w:t>
            </w:r>
          </w:p>
        </w:tc>
        <w:tc>
          <w:tcPr>
            <w:tcW w:w="7237" w:type="dxa"/>
            <w:gridSpan w:val="5"/>
            <w:noWrap w:val="0"/>
            <w:vAlign w:val="top"/>
          </w:tcPr>
          <w:p w14:paraId="53662869">
            <w:pPr>
              <w:keepNext w:val="0"/>
              <w:keepLines w:val="0"/>
              <w:pageBreakBefore w:val="0"/>
              <w:widowControl w:val="0"/>
              <w:kinsoku/>
              <w:wordWrap/>
              <w:overflowPunct/>
              <w:topLinePunct w:val="0"/>
              <w:autoSpaceDE/>
              <w:autoSpaceDN/>
              <w:bidi w:val="0"/>
              <w:adjustRightInd w:val="0"/>
              <w:snapToGrid w:val="0"/>
              <w:spacing w:line="360" w:lineRule="exact"/>
              <w:ind w:right="0"/>
              <w:textAlignment w:val="auto"/>
              <w:rPr>
                <w:rFonts w:ascii="宋体" w:hAnsi="宋体" w:cs="宋体"/>
                <w:sz w:val="24"/>
                <w:szCs w:val="24"/>
              </w:rPr>
            </w:pPr>
            <w:r>
              <w:rPr>
                <w:rFonts w:ascii="宋体" w:hAnsi="宋体" w:cs="宋体"/>
                <w:sz w:val="24"/>
                <w:szCs w:val="24"/>
              </w:rPr>
              <w:t>(</w:t>
            </w:r>
            <w:r>
              <w:rPr>
                <w:rFonts w:hint="eastAsia" w:ascii="宋体" w:hAnsi="宋体" w:cs="宋体"/>
                <w:sz w:val="24"/>
                <w:szCs w:val="24"/>
              </w:rPr>
              <w:t>大写</w:t>
            </w:r>
            <w:r>
              <w:rPr>
                <w:rFonts w:ascii="宋体" w:hAnsi="宋体" w:cs="宋体"/>
                <w:sz w:val="24"/>
                <w:szCs w:val="24"/>
              </w:rPr>
              <w:t>)</w:t>
            </w:r>
            <w:r>
              <w:rPr>
                <w:rFonts w:hint="eastAsia" w:ascii="宋体" w:hAnsi="宋体" w:cs="宋体"/>
                <w:sz w:val="24"/>
                <w:szCs w:val="24"/>
              </w:rPr>
              <w:t xml:space="preserve">：            </w:t>
            </w:r>
          </w:p>
          <w:p w14:paraId="7C3BB6DE">
            <w:pPr>
              <w:keepNext w:val="0"/>
              <w:keepLines w:val="0"/>
              <w:pageBreakBefore w:val="0"/>
              <w:widowControl w:val="0"/>
              <w:kinsoku/>
              <w:wordWrap/>
              <w:overflowPunct/>
              <w:topLinePunct w:val="0"/>
              <w:autoSpaceDE/>
              <w:autoSpaceDN/>
              <w:bidi w:val="0"/>
              <w:adjustRightInd w:val="0"/>
              <w:snapToGrid w:val="0"/>
              <w:spacing w:line="360" w:lineRule="exact"/>
              <w:ind w:right="0"/>
              <w:textAlignment w:val="auto"/>
              <w:rPr>
                <w:rFonts w:ascii="宋体" w:hAnsi="宋体" w:cs="宋体"/>
                <w:b/>
                <w:bCs/>
                <w:sz w:val="24"/>
                <w:szCs w:val="24"/>
              </w:rPr>
            </w:pPr>
            <w:r>
              <w:rPr>
                <w:rFonts w:ascii="宋体" w:hAnsi="宋体" w:cs="宋体"/>
                <w:sz w:val="24"/>
                <w:szCs w:val="24"/>
              </w:rPr>
              <w:t>(</w:t>
            </w:r>
            <w:r>
              <w:rPr>
                <w:rFonts w:hint="eastAsia" w:ascii="宋体" w:hAnsi="宋体" w:cs="宋体"/>
                <w:sz w:val="24"/>
                <w:szCs w:val="24"/>
              </w:rPr>
              <w:t>小写</w:t>
            </w:r>
            <w:r>
              <w:rPr>
                <w:rFonts w:ascii="宋体" w:hAnsi="宋体" w:cs="宋体"/>
                <w:sz w:val="24"/>
                <w:szCs w:val="24"/>
              </w:rPr>
              <w:t>)</w:t>
            </w:r>
            <w:r>
              <w:rPr>
                <w:rFonts w:hint="eastAsia" w:ascii="宋体" w:hAnsi="宋体" w:cs="宋体"/>
                <w:sz w:val="24"/>
                <w:szCs w:val="24"/>
              </w:rPr>
              <w:t>：</w:t>
            </w:r>
          </w:p>
        </w:tc>
      </w:tr>
    </w:tbl>
    <w:p w14:paraId="5E97F712">
      <w:pPr>
        <w:pStyle w:val="16"/>
        <w:jc w:val="center"/>
        <w:rPr>
          <w:rFonts w:hint="eastAsia" w:hAnsi="宋体"/>
          <w:iCs/>
          <w:sz w:val="24"/>
        </w:rPr>
      </w:pPr>
    </w:p>
    <w:p w14:paraId="1560951F">
      <w:pPr>
        <w:autoSpaceDE w:val="0"/>
        <w:autoSpaceDN w:val="0"/>
        <w:adjustRightInd w:val="0"/>
        <w:spacing w:line="360" w:lineRule="auto"/>
        <w:jc w:val="left"/>
        <w:rPr>
          <w:rFonts w:ascii="宋体" w:hAnsi="宋体" w:cs="Arial"/>
          <w:sz w:val="24"/>
        </w:rPr>
      </w:pPr>
      <w:r>
        <w:rPr>
          <w:rFonts w:hint="eastAsia" w:ascii="宋体" w:hAnsi="宋体"/>
          <w:iCs/>
          <w:sz w:val="24"/>
        </w:rPr>
        <w:t>注：</w:t>
      </w:r>
      <w:r>
        <w:rPr>
          <w:rFonts w:ascii="宋体" w:hAnsi="宋体" w:cs="Arial"/>
          <w:sz w:val="24"/>
        </w:rPr>
        <w:t xml:space="preserve"> </w:t>
      </w:r>
    </w:p>
    <w:p w14:paraId="0447DA07">
      <w:pPr>
        <w:autoSpaceDE w:val="0"/>
        <w:autoSpaceDN w:val="0"/>
        <w:adjustRightInd w:val="0"/>
        <w:spacing w:line="360" w:lineRule="auto"/>
        <w:jc w:val="left"/>
        <w:rPr>
          <w:rFonts w:hint="eastAsia" w:ascii="宋体" w:hAnsi="宋体"/>
          <w:sz w:val="24"/>
          <w:lang w:val="zh-CN"/>
        </w:rPr>
      </w:pPr>
      <w:r>
        <w:rPr>
          <w:rFonts w:hint="eastAsia" w:ascii="宋体" w:hAnsi="宋体"/>
          <w:sz w:val="24"/>
          <w:lang w:val="zh-CN"/>
        </w:rPr>
        <w:t>1.所报货币为人民币。</w:t>
      </w:r>
      <w:r>
        <w:rPr>
          <w:rFonts w:hint="eastAsia" w:ascii="宋体" w:hAnsi="宋体" w:cs="Arial"/>
          <w:sz w:val="24"/>
        </w:rPr>
        <w:t>以上报价为综合报价，是供应商正确、全面完成全部工作内容的全部报酬，供应商自行考虑项目完成过程中可能会发生的一切费用。供应商不得要求采购人在报价之外支付其它任何费用，否则费用由供应商自行承担。</w:t>
      </w:r>
    </w:p>
    <w:p w14:paraId="0C42C4F9">
      <w:pPr>
        <w:autoSpaceDE w:val="0"/>
        <w:autoSpaceDN w:val="0"/>
        <w:adjustRightInd w:val="0"/>
        <w:spacing w:line="360" w:lineRule="auto"/>
        <w:jc w:val="left"/>
        <w:rPr>
          <w:rFonts w:hint="eastAsia" w:ascii="宋体" w:hAnsi="宋体"/>
          <w:sz w:val="24"/>
          <w:lang w:val="zh-CN"/>
        </w:rPr>
      </w:pPr>
      <w:r>
        <w:rPr>
          <w:rFonts w:hint="eastAsia" w:ascii="宋体" w:hAnsi="宋体"/>
          <w:sz w:val="24"/>
          <w:lang w:val="zh-CN"/>
        </w:rPr>
        <w:t>2.本表中的“合计”应与“磋商响应第一次报价表”中的磋商总报价一致。</w:t>
      </w:r>
    </w:p>
    <w:p w14:paraId="2F27A0B8">
      <w:pPr>
        <w:spacing w:line="360" w:lineRule="auto"/>
        <w:rPr>
          <w:rFonts w:ascii="宋体" w:hAnsi="宋体" w:cs="Arial"/>
          <w:sz w:val="24"/>
        </w:rPr>
      </w:pPr>
      <w:r>
        <w:rPr>
          <w:rFonts w:hint="eastAsia" w:ascii="宋体" w:hAnsi="宋体"/>
          <w:sz w:val="24"/>
          <w:lang w:val="zh-CN"/>
        </w:rPr>
        <w:t>3.表格不够，可按此表复制。</w:t>
      </w:r>
    </w:p>
    <w:p w14:paraId="772C531D">
      <w:pPr>
        <w:spacing w:line="360" w:lineRule="auto"/>
        <w:ind w:right="151" w:rightChars="72"/>
        <w:rPr>
          <w:rFonts w:ascii="宋体" w:hAnsi="宋体"/>
          <w:b/>
          <w:bCs/>
          <w:sz w:val="24"/>
        </w:rPr>
      </w:pPr>
    </w:p>
    <w:p w14:paraId="07A4BE42">
      <w:pPr>
        <w:spacing w:line="360" w:lineRule="auto"/>
        <w:rPr>
          <w:rFonts w:hint="eastAsia" w:ascii="宋体" w:hAnsi="宋体"/>
          <w:sz w:val="24"/>
        </w:rPr>
      </w:pPr>
      <w:r>
        <w:rPr>
          <w:rFonts w:hint="eastAsia" w:ascii="宋体" w:hAnsi="宋体" w:cs="Arial"/>
          <w:sz w:val="24"/>
        </w:rPr>
        <w:t>供应商</w:t>
      </w:r>
      <w:r>
        <w:rPr>
          <w:rFonts w:hint="eastAsia" w:ascii="宋体" w:hAnsi="宋体"/>
          <w:sz w:val="24"/>
        </w:rPr>
        <w:t>：（公章）</w:t>
      </w:r>
    </w:p>
    <w:p w14:paraId="1C6F3079">
      <w:pPr>
        <w:spacing w:line="360" w:lineRule="auto"/>
        <w:rPr>
          <w:rFonts w:hint="eastAsia" w:ascii="宋体" w:hAnsi="宋体"/>
          <w:sz w:val="24"/>
        </w:rPr>
      </w:pPr>
      <w:r>
        <w:rPr>
          <w:rFonts w:hint="eastAsia" w:ascii="宋体" w:hAnsi="宋体"/>
          <w:sz w:val="24"/>
        </w:rPr>
        <w:t>法定代表人</w:t>
      </w:r>
      <w:r>
        <w:rPr>
          <w:rFonts w:hint="eastAsia" w:ascii="宋体" w:hAnsi="宋体"/>
          <w:sz w:val="24"/>
          <w:lang w:val="en-US" w:eastAsia="zh-CN"/>
        </w:rPr>
        <w:t>/</w:t>
      </w:r>
      <w:r>
        <w:rPr>
          <w:rFonts w:hint="eastAsia" w:ascii="宋体" w:hAnsi="宋体"/>
          <w:sz w:val="24"/>
        </w:rPr>
        <w:t>授权代表签字或盖章：</w:t>
      </w:r>
    </w:p>
    <w:p w14:paraId="05B2A337">
      <w:pPr>
        <w:pStyle w:val="16"/>
        <w:rPr>
          <w:rFonts w:hint="eastAsia" w:hAnsi="宋体" w:eastAsia="宋体"/>
          <w:sz w:val="24"/>
          <w:szCs w:val="24"/>
          <w:lang w:eastAsia="zh-CN"/>
        </w:rPr>
      </w:pPr>
      <w:r>
        <w:rPr>
          <w:rFonts w:hint="eastAsia" w:hAnsi="宋体"/>
          <w:sz w:val="24"/>
          <w:szCs w:val="24"/>
        </w:rPr>
        <w:t xml:space="preserve">日  期：  </w:t>
      </w:r>
    </w:p>
    <w:p w14:paraId="4FEA2C86">
      <w:pPr>
        <w:pStyle w:val="16"/>
        <w:rPr>
          <w:rFonts w:hint="eastAsia" w:hAnsi="宋体" w:eastAsia="宋体"/>
          <w:sz w:val="24"/>
          <w:szCs w:val="24"/>
          <w:lang w:eastAsia="zh-CN"/>
        </w:rPr>
      </w:pPr>
    </w:p>
    <w:p w14:paraId="64C3F093">
      <w:pPr>
        <w:pStyle w:val="16"/>
        <w:rPr>
          <w:rFonts w:hint="eastAsia" w:hAnsi="宋体"/>
          <w:sz w:val="24"/>
          <w:szCs w:val="24"/>
        </w:rPr>
      </w:pPr>
      <w:r>
        <w:rPr>
          <w:rFonts w:hAnsi="宋体"/>
          <w:sz w:val="24"/>
          <w:szCs w:val="24"/>
        </w:rPr>
        <w:br w:type="page"/>
      </w:r>
      <w:r>
        <w:rPr>
          <w:rFonts w:hint="eastAsia" w:hAnsi="宋体"/>
          <w:sz w:val="24"/>
          <w:szCs w:val="24"/>
        </w:rPr>
        <w:t>附表</w:t>
      </w:r>
      <w:r>
        <w:rPr>
          <w:rFonts w:hAnsi="宋体"/>
          <w:sz w:val="24"/>
          <w:szCs w:val="24"/>
        </w:rPr>
        <w:t>2</w:t>
      </w:r>
    </w:p>
    <w:p w14:paraId="78AD7B08">
      <w:pPr>
        <w:pStyle w:val="16"/>
        <w:jc w:val="center"/>
        <w:rPr>
          <w:rFonts w:hint="eastAsia" w:hAnsi="宋体"/>
          <w:b/>
          <w:bCs/>
          <w:sz w:val="32"/>
          <w:szCs w:val="32"/>
        </w:rPr>
      </w:pPr>
      <w:r>
        <w:rPr>
          <w:rFonts w:hint="eastAsia" w:hAnsi="宋体"/>
          <w:b/>
          <w:bCs/>
          <w:sz w:val="32"/>
          <w:szCs w:val="32"/>
        </w:rPr>
        <w:t>技术指标偏差表</w:t>
      </w:r>
    </w:p>
    <w:tbl>
      <w:tblPr>
        <w:tblStyle w:val="30"/>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1104"/>
        <w:gridCol w:w="2410"/>
        <w:gridCol w:w="2268"/>
        <w:gridCol w:w="1418"/>
        <w:gridCol w:w="1417"/>
      </w:tblGrid>
      <w:tr w14:paraId="3671C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72" w:type="dxa"/>
            <w:noWrap w:val="0"/>
            <w:vAlign w:val="center"/>
          </w:tcPr>
          <w:p w14:paraId="07851B5C">
            <w:pPr>
              <w:pStyle w:val="16"/>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hAnsi="宋体" w:cs="Times New Roman"/>
                <w:sz w:val="24"/>
                <w:szCs w:val="24"/>
              </w:rPr>
            </w:pPr>
            <w:r>
              <w:rPr>
                <w:rFonts w:hint="eastAsia" w:hAnsi="宋体" w:cs="Times New Roman"/>
                <w:sz w:val="24"/>
                <w:szCs w:val="24"/>
              </w:rPr>
              <w:t>序号</w:t>
            </w:r>
          </w:p>
        </w:tc>
        <w:tc>
          <w:tcPr>
            <w:tcW w:w="1104" w:type="dxa"/>
            <w:noWrap w:val="0"/>
            <w:vAlign w:val="center"/>
          </w:tcPr>
          <w:p w14:paraId="770B27F8">
            <w:pPr>
              <w:pStyle w:val="16"/>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hAnsi="宋体" w:cs="Times New Roman"/>
                <w:sz w:val="24"/>
                <w:szCs w:val="24"/>
              </w:rPr>
            </w:pPr>
            <w:r>
              <w:rPr>
                <w:rFonts w:hint="eastAsia" w:hAnsi="宋体" w:cs="Times New Roman"/>
                <w:sz w:val="24"/>
                <w:szCs w:val="24"/>
              </w:rPr>
              <w:t>名称</w:t>
            </w:r>
          </w:p>
        </w:tc>
        <w:tc>
          <w:tcPr>
            <w:tcW w:w="2410" w:type="dxa"/>
            <w:tcBorders>
              <w:right w:val="single" w:color="auto" w:sz="4" w:space="0"/>
            </w:tcBorders>
            <w:noWrap w:val="0"/>
            <w:vAlign w:val="center"/>
          </w:tcPr>
          <w:p w14:paraId="0BC7DAD8">
            <w:pPr>
              <w:pStyle w:val="16"/>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hAnsi="宋体" w:cs="Times New Roman"/>
                <w:sz w:val="24"/>
                <w:szCs w:val="24"/>
              </w:rPr>
            </w:pPr>
            <w:r>
              <w:rPr>
                <w:rFonts w:hint="eastAsia" w:hAnsi="宋体" w:cs="Times New Roman"/>
                <w:sz w:val="24"/>
                <w:szCs w:val="24"/>
              </w:rPr>
              <w:t>磋商要求技术指标</w:t>
            </w:r>
          </w:p>
        </w:tc>
        <w:tc>
          <w:tcPr>
            <w:tcW w:w="2268" w:type="dxa"/>
            <w:tcBorders>
              <w:top w:val="single" w:color="auto" w:sz="4" w:space="0"/>
              <w:left w:val="single" w:color="auto" w:sz="4" w:space="0"/>
              <w:bottom w:val="single" w:color="auto" w:sz="4" w:space="0"/>
              <w:right w:val="single" w:color="auto" w:sz="4" w:space="0"/>
            </w:tcBorders>
            <w:noWrap w:val="0"/>
            <w:vAlign w:val="center"/>
          </w:tcPr>
          <w:p w14:paraId="0BCD5485">
            <w:pPr>
              <w:pStyle w:val="16"/>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hAnsi="宋体" w:cs="Times New Roman"/>
                <w:sz w:val="24"/>
                <w:szCs w:val="24"/>
              </w:rPr>
            </w:pPr>
            <w:r>
              <w:rPr>
                <w:rFonts w:hint="eastAsia" w:hAnsi="宋体" w:cs="Times New Roman"/>
                <w:sz w:val="24"/>
                <w:szCs w:val="24"/>
              </w:rPr>
              <w:t>磋商响应技术指标</w:t>
            </w:r>
          </w:p>
        </w:tc>
        <w:tc>
          <w:tcPr>
            <w:tcW w:w="1418" w:type="dxa"/>
            <w:tcBorders>
              <w:left w:val="single" w:color="auto" w:sz="4" w:space="0"/>
            </w:tcBorders>
            <w:noWrap w:val="0"/>
            <w:vAlign w:val="center"/>
          </w:tcPr>
          <w:p w14:paraId="69869603">
            <w:pPr>
              <w:pStyle w:val="16"/>
              <w:keepNext w:val="0"/>
              <w:keepLines w:val="0"/>
              <w:pageBreakBefore w:val="0"/>
              <w:widowControl w:val="0"/>
              <w:kinsoku/>
              <w:wordWrap/>
              <w:overflowPunct/>
              <w:topLinePunct w:val="0"/>
              <w:autoSpaceDE/>
              <w:autoSpaceDN/>
              <w:bidi w:val="0"/>
              <w:adjustRightInd/>
              <w:snapToGrid w:val="0"/>
              <w:spacing w:line="360" w:lineRule="exact"/>
              <w:ind w:firstLine="120" w:firstLineChars="50"/>
              <w:textAlignment w:val="auto"/>
              <w:rPr>
                <w:rFonts w:hint="eastAsia" w:hAnsi="宋体" w:cs="Times New Roman"/>
                <w:sz w:val="24"/>
                <w:szCs w:val="24"/>
              </w:rPr>
            </w:pPr>
            <w:r>
              <w:rPr>
                <w:rFonts w:hint="eastAsia" w:hAnsi="宋体" w:cs="Times New Roman"/>
                <w:sz w:val="24"/>
                <w:szCs w:val="24"/>
              </w:rPr>
              <w:t>偏离情况</w:t>
            </w:r>
          </w:p>
        </w:tc>
        <w:tc>
          <w:tcPr>
            <w:tcW w:w="1417" w:type="dxa"/>
            <w:tcBorders>
              <w:left w:val="single" w:color="auto" w:sz="4" w:space="0"/>
            </w:tcBorders>
            <w:noWrap w:val="0"/>
            <w:vAlign w:val="center"/>
          </w:tcPr>
          <w:p w14:paraId="0F3448DA">
            <w:pPr>
              <w:pStyle w:val="16"/>
              <w:keepNext w:val="0"/>
              <w:keepLines w:val="0"/>
              <w:pageBreakBefore w:val="0"/>
              <w:widowControl w:val="0"/>
              <w:kinsoku/>
              <w:wordWrap/>
              <w:overflowPunct/>
              <w:topLinePunct w:val="0"/>
              <w:autoSpaceDE/>
              <w:autoSpaceDN/>
              <w:bidi w:val="0"/>
              <w:adjustRightInd/>
              <w:snapToGrid w:val="0"/>
              <w:spacing w:line="360" w:lineRule="exact"/>
              <w:ind w:firstLine="120" w:firstLineChars="50"/>
              <w:textAlignment w:val="auto"/>
              <w:rPr>
                <w:rFonts w:hint="eastAsia" w:hAnsi="宋体" w:cs="Times New Roman"/>
                <w:sz w:val="24"/>
                <w:szCs w:val="24"/>
              </w:rPr>
            </w:pPr>
            <w:r>
              <w:rPr>
                <w:rFonts w:hint="eastAsia" w:hAnsi="宋体" w:cs="Times New Roman"/>
                <w:sz w:val="24"/>
                <w:szCs w:val="24"/>
              </w:rPr>
              <w:t>偏离说明</w:t>
            </w:r>
          </w:p>
        </w:tc>
      </w:tr>
      <w:tr w14:paraId="2C292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72" w:type="dxa"/>
            <w:noWrap w:val="0"/>
            <w:vAlign w:val="top"/>
          </w:tcPr>
          <w:p w14:paraId="1C1881A6">
            <w:pPr>
              <w:pStyle w:val="16"/>
              <w:keepNext w:val="0"/>
              <w:keepLines w:val="0"/>
              <w:pageBreakBefore w:val="0"/>
              <w:widowControl w:val="0"/>
              <w:kinsoku/>
              <w:wordWrap/>
              <w:overflowPunct/>
              <w:topLinePunct w:val="0"/>
              <w:autoSpaceDE/>
              <w:autoSpaceDN/>
              <w:bidi w:val="0"/>
              <w:adjustRightInd/>
              <w:snapToGrid w:val="0"/>
              <w:spacing w:line="360" w:lineRule="exact"/>
              <w:ind w:left="-120" w:leftChars="-57"/>
              <w:textAlignment w:val="auto"/>
              <w:rPr>
                <w:rFonts w:hint="eastAsia" w:hAnsi="宋体"/>
                <w:sz w:val="28"/>
                <w:szCs w:val="28"/>
              </w:rPr>
            </w:pPr>
          </w:p>
        </w:tc>
        <w:tc>
          <w:tcPr>
            <w:tcW w:w="1104" w:type="dxa"/>
            <w:noWrap w:val="0"/>
            <w:vAlign w:val="top"/>
          </w:tcPr>
          <w:p w14:paraId="663CDEBD">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2410" w:type="dxa"/>
            <w:noWrap w:val="0"/>
            <w:vAlign w:val="center"/>
          </w:tcPr>
          <w:p w14:paraId="2A28F93B">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2268" w:type="dxa"/>
            <w:tcBorders>
              <w:top w:val="single" w:color="auto" w:sz="4" w:space="0"/>
            </w:tcBorders>
            <w:noWrap w:val="0"/>
            <w:vAlign w:val="center"/>
          </w:tcPr>
          <w:p w14:paraId="016ADA00">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1418" w:type="dxa"/>
            <w:noWrap w:val="0"/>
            <w:vAlign w:val="center"/>
          </w:tcPr>
          <w:p w14:paraId="3DE352A6">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1417" w:type="dxa"/>
            <w:noWrap w:val="0"/>
            <w:vAlign w:val="center"/>
          </w:tcPr>
          <w:p w14:paraId="1EB9070E">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r>
      <w:tr w14:paraId="2DB89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72" w:type="dxa"/>
            <w:noWrap w:val="0"/>
            <w:vAlign w:val="top"/>
          </w:tcPr>
          <w:p w14:paraId="29F51349">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1104" w:type="dxa"/>
            <w:noWrap w:val="0"/>
            <w:vAlign w:val="top"/>
          </w:tcPr>
          <w:p w14:paraId="1FC23DC7">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2410" w:type="dxa"/>
            <w:noWrap w:val="0"/>
            <w:vAlign w:val="top"/>
          </w:tcPr>
          <w:p w14:paraId="376CF1AB">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2268" w:type="dxa"/>
            <w:noWrap w:val="0"/>
            <w:vAlign w:val="top"/>
          </w:tcPr>
          <w:p w14:paraId="0C6226B5">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1418" w:type="dxa"/>
            <w:noWrap w:val="0"/>
            <w:vAlign w:val="top"/>
          </w:tcPr>
          <w:p w14:paraId="6A579BD0">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1417" w:type="dxa"/>
            <w:noWrap w:val="0"/>
            <w:vAlign w:val="top"/>
          </w:tcPr>
          <w:p w14:paraId="07407C49">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r>
      <w:tr w14:paraId="14604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72" w:type="dxa"/>
            <w:noWrap w:val="0"/>
            <w:vAlign w:val="top"/>
          </w:tcPr>
          <w:p w14:paraId="366D2B2C">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1104" w:type="dxa"/>
            <w:noWrap w:val="0"/>
            <w:vAlign w:val="top"/>
          </w:tcPr>
          <w:p w14:paraId="4A9A8508">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2410" w:type="dxa"/>
            <w:noWrap w:val="0"/>
            <w:vAlign w:val="top"/>
          </w:tcPr>
          <w:p w14:paraId="005E619C">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2268" w:type="dxa"/>
            <w:noWrap w:val="0"/>
            <w:vAlign w:val="top"/>
          </w:tcPr>
          <w:p w14:paraId="0C505F3B">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1418" w:type="dxa"/>
            <w:noWrap w:val="0"/>
            <w:vAlign w:val="top"/>
          </w:tcPr>
          <w:p w14:paraId="2233B7F2">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1417" w:type="dxa"/>
            <w:noWrap w:val="0"/>
            <w:vAlign w:val="top"/>
          </w:tcPr>
          <w:p w14:paraId="4CD40351">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r>
      <w:tr w14:paraId="537F4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72" w:type="dxa"/>
            <w:noWrap w:val="0"/>
            <w:vAlign w:val="top"/>
          </w:tcPr>
          <w:p w14:paraId="00BEAB7E">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1104" w:type="dxa"/>
            <w:noWrap w:val="0"/>
            <w:vAlign w:val="top"/>
          </w:tcPr>
          <w:p w14:paraId="447BFF9C">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2410" w:type="dxa"/>
            <w:noWrap w:val="0"/>
            <w:vAlign w:val="top"/>
          </w:tcPr>
          <w:p w14:paraId="7771169E">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2268" w:type="dxa"/>
            <w:noWrap w:val="0"/>
            <w:vAlign w:val="top"/>
          </w:tcPr>
          <w:p w14:paraId="5A5FA2A1">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1418" w:type="dxa"/>
            <w:noWrap w:val="0"/>
            <w:vAlign w:val="top"/>
          </w:tcPr>
          <w:p w14:paraId="76D4BEBC">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1417" w:type="dxa"/>
            <w:noWrap w:val="0"/>
            <w:vAlign w:val="top"/>
          </w:tcPr>
          <w:p w14:paraId="00059543">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r>
      <w:tr w14:paraId="36DB1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72" w:type="dxa"/>
            <w:noWrap w:val="0"/>
            <w:vAlign w:val="top"/>
          </w:tcPr>
          <w:p w14:paraId="6B35315F">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1104" w:type="dxa"/>
            <w:noWrap w:val="0"/>
            <w:vAlign w:val="top"/>
          </w:tcPr>
          <w:p w14:paraId="0DFE732B">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2410" w:type="dxa"/>
            <w:noWrap w:val="0"/>
            <w:vAlign w:val="top"/>
          </w:tcPr>
          <w:p w14:paraId="61E9F698">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2268" w:type="dxa"/>
            <w:noWrap w:val="0"/>
            <w:vAlign w:val="top"/>
          </w:tcPr>
          <w:p w14:paraId="6BCB94F6">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1418" w:type="dxa"/>
            <w:noWrap w:val="0"/>
            <w:vAlign w:val="top"/>
          </w:tcPr>
          <w:p w14:paraId="3B7FC6E7">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1417" w:type="dxa"/>
            <w:noWrap w:val="0"/>
            <w:vAlign w:val="top"/>
          </w:tcPr>
          <w:p w14:paraId="3AC956A7">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r>
      <w:tr w14:paraId="3FDB8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72" w:type="dxa"/>
            <w:noWrap w:val="0"/>
            <w:vAlign w:val="top"/>
          </w:tcPr>
          <w:p w14:paraId="7DB613F7">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1104" w:type="dxa"/>
            <w:noWrap w:val="0"/>
            <w:vAlign w:val="top"/>
          </w:tcPr>
          <w:p w14:paraId="25C0ADA9">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2410" w:type="dxa"/>
            <w:noWrap w:val="0"/>
            <w:vAlign w:val="top"/>
          </w:tcPr>
          <w:p w14:paraId="40F2EFDE">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2268" w:type="dxa"/>
            <w:noWrap w:val="0"/>
            <w:vAlign w:val="top"/>
          </w:tcPr>
          <w:p w14:paraId="7CD58B8F">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1418" w:type="dxa"/>
            <w:noWrap w:val="0"/>
            <w:vAlign w:val="top"/>
          </w:tcPr>
          <w:p w14:paraId="3FF81A03">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1417" w:type="dxa"/>
            <w:noWrap w:val="0"/>
            <w:vAlign w:val="top"/>
          </w:tcPr>
          <w:p w14:paraId="01ECAE73">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r>
      <w:tr w14:paraId="6EA63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72" w:type="dxa"/>
            <w:noWrap w:val="0"/>
            <w:vAlign w:val="top"/>
          </w:tcPr>
          <w:p w14:paraId="478D3EF2">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1104" w:type="dxa"/>
            <w:noWrap w:val="0"/>
            <w:vAlign w:val="top"/>
          </w:tcPr>
          <w:p w14:paraId="1309037F">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2410" w:type="dxa"/>
            <w:noWrap w:val="0"/>
            <w:vAlign w:val="top"/>
          </w:tcPr>
          <w:p w14:paraId="533C0CF7">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2268" w:type="dxa"/>
            <w:noWrap w:val="0"/>
            <w:vAlign w:val="top"/>
          </w:tcPr>
          <w:p w14:paraId="6B230789">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1418" w:type="dxa"/>
            <w:noWrap w:val="0"/>
            <w:vAlign w:val="top"/>
          </w:tcPr>
          <w:p w14:paraId="10094468">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1417" w:type="dxa"/>
            <w:noWrap w:val="0"/>
            <w:vAlign w:val="top"/>
          </w:tcPr>
          <w:p w14:paraId="7C52EBD6">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r>
      <w:tr w14:paraId="4DDCB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72" w:type="dxa"/>
            <w:noWrap w:val="0"/>
            <w:vAlign w:val="top"/>
          </w:tcPr>
          <w:p w14:paraId="10DA3030">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1104" w:type="dxa"/>
            <w:noWrap w:val="0"/>
            <w:vAlign w:val="top"/>
          </w:tcPr>
          <w:p w14:paraId="0A6ABA0D">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2410" w:type="dxa"/>
            <w:noWrap w:val="0"/>
            <w:vAlign w:val="top"/>
          </w:tcPr>
          <w:p w14:paraId="36701695">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2268" w:type="dxa"/>
            <w:noWrap w:val="0"/>
            <w:vAlign w:val="top"/>
          </w:tcPr>
          <w:p w14:paraId="615315FA">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1418" w:type="dxa"/>
            <w:noWrap w:val="0"/>
            <w:vAlign w:val="top"/>
          </w:tcPr>
          <w:p w14:paraId="71132D72">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1417" w:type="dxa"/>
            <w:noWrap w:val="0"/>
            <w:vAlign w:val="top"/>
          </w:tcPr>
          <w:p w14:paraId="78C702D5">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r>
      <w:tr w14:paraId="67355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72" w:type="dxa"/>
            <w:noWrap w:val="0"/>
            <w:vAlign w:val="top"/>
          </w:tcPr>
          <w:p w14:paraId="0AE2E74A">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1104" w:type="dxa"/>
            <w:noWrap w:val="0"/>
            <w:vAlign w:val="top"/>
          </w:tcPr>
          <w:p w14:paraId="24FB0EC5">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2410" w:type="dxa"/>
            <w:noWrap w:val="0"/>
            <w:vAlign w:val="top"/>
          </w:tcPr>
          <w:p w14:paraId="07AC70BC">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2268" w:type="dxa"/>
            <w:noWrap w:val="0"/>
            <w:vAlign w:val="top"/>
          </w:tcPr>
          <w:p w14:paraId="4F56F0C1">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1418" w:type="dxa"/>
            <w:noWrap w:val="0"/>
            <w:vAlign w:val="top"/>
          </w:tcPr>
          <w:p w14:paraId="7ABF416C">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c>
          <w:tcPr>
            <w:tcW w:w="1417" w:type="dxa"/>
            <w:noWrap w:val="0"/>
            <w:vAlign w:val="top"/>
          </w:tcPr>
          <w:p w14:paraId="489128C3">
            <w:pPr>
              <w:pStyle w:val="16"/>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hAnsi="宋体"/>
                <w:sz w:val="28"/>
                <w:szCs w:val="28"/>
              </w:rPr>
            </w:pPr>
          </w:p>
        </w:tc>
      </w:tr>
    </w:tbl>
    <w:p w14:paraId="660BDA4F">
      <w:pPr>
        <w:pStyle w:val="16"/>
        <w:spacing w:line="360" w:lineRule="auto"/>
        <w:rPr>
          <w:rFonts w:hint="eastAsia" w:hAnsi="宋体"/>
          <w:sz w:val="24"/>
          <w:szCs w:val="24"/>
        </w:rPr>
      </w:pPr>
      <w:r>
        <w:rPr>
          <w:rFonts w:hint="eastAsia" w:hAnsi="宋体"/>
          <w:sz w:val="24"/>
          <w:szCs w:val="24"/>
        </w:rPr>
        <w:t>说明：</w:t>
      </w:r>
    </w:p>
    <w:p w14:paraId="01198D05">
      <w:pPr>
        <w:spacing w:line="360" w:lineRule="auto"/>
        <w:ind w:firstLine="480" w:firstLineChars="200"/>
        <w:rPr>
          <w:rFonts w:ascii="宋体" w:hAnsi="宋体" w:cs="宋体"/>
          <w:sz w:val="24"/>
        </w:rPr>
      </w:pPr>
      <w:r>
        <w:rPr>
          <w:rFonts w:hint="eastAsia" w:ascii="宋体" w:hAnsi="宋体" w:cs="宋体"/>
          <w:sz w:val="24"/>
        </w:rPr>
        <w:t>1.本表只填写</w:t>
      </w:r>
      <w:r>
        <w:rPr>
          <w:rFonts w:hint="eastAsia" w:ascii="宋体" w:hAnsi="宋体" w:cs="Calibri Light"/>
          <w:sz w:val="24"/>
        </w:rPr>
        <w:t>磋商响应</w:t>
      </w:r>
      <w:r>
        <w:rPr>
          <w:rFonts w:ascii="宋体" w:hAnsi="宋体" w:cs="Calibri Light"/>
          <w:sz w:val="24"/>
        </w:rPr>
        <w:t>文件</w:t>
      </w:r>
      <w:r>
        <w:rPr>
          <w:rFonts w:hint="eastAsia" w:ascii="宋体" w:hAnsi="宋体" w:cs="宋体"/>
          <w:sz w:val="24"/>
        </w:rPr>
        <w:t>中与</w:t>
      </w:r>
      <w:r>
        <w:rPr>
          <w:rFonts w:hint="eastAsia" w:ascii="宋体" w:hAnsi="宋体" w:cs="Calibri Light"/>
          <w:sz w:val="24"/>
        </w:rPr>
        <w:t>磋商</w:t>
      </w:r>
      <w:r>
        <w:rPr>
          <w:rFonts w:ascii="宋体" w:hAnsi="宋体" w:cs="Calibri Light"/>
          <w:sz w:val="24"/>
        </w:rPr>
        <w:t>文件</w:t>
      </w:r>
      <w:r>
        <w:rPr>
          <w:rFonts w:hint="eastAsia" w:ascii="宋体" w:hAnsi="宋体" w:cs="宋体"/>
          <w:sz w:val="24"/>
        </w:rPr>
        <w:t>有偏离（包括正偏离和负偏离）的内容，必须一一对应填写，</w:t>
      </w:r>
      <w:r>
        <w:rPr>
          <w:rFonts w:hint="eastAsia" w:ascii="宋体" w:hAnsi="宋体" w:cs="宋体"/>
          <w:b/>
          <w:sz w:val="24"/>
        </w:rPr>
        <w:t>若无偏离则可附此空表加盖单位公章</w:t>
      </w:r>
      <w:r>
        <w:rPr>
          <w:rFonts w:hint="eastAsia" w:ascii="宋体" w:hAnsi="宋体" w:cs="宋体"/>
          <w:sz w:val="24"/>
        </w:rPr>
        <w:t>。</w:t>
      </w:r>
    </w:p>
    <w:p w14:paraId="6A7AB761">
      <w:pPr>
        <w:spacing w:line="360" w:lineRule="auto"/>
        <w:ind w:firstLine="480" w:firstLineChars="200"/>
        <w:rPr>
          <w:rFonts w:hint="eastAsia" w:ascii="宋体" w:hAnsi="宋体" w:cs="宋体"/>
          <w:sz w:val="24"/>
        </w:rPr>
      </w:pPr>
      <w:r>
        <w:rPr>
          <w:rFonts w:hint="eastAsia" w:ascii="宋体" w:hAnsi="宋体" w:cs="宋体"/>
          <w:sz w:val="24"/>
        </w:rPr>
        <w:t>2.供应商必须据实填写，不得虚假响应，否则将取消其磋商或成交资格，并按有关规定进处罚。</w:t>
      </w:r>
    </w:p>
    <w:p w14:paraId="215D92ED">
      <w:pPr>
        <w:pStyle w:val="16"/>
        <w:rPr>
          <w:rFonts w:hint="eastAsia" w:hAnsi="宋体"/>
          <w:sz w:val="24"/>
          <w:szCs w:val="24"/>
        </w:rPr>
      </w:pPr>
    </w:p>
    <w:p w14:paraId="66B45F52">
      <w:pPr>
        <w:spacing w:line="360" w:lineRule="auto"/>
        <w:rPr>
          <w:rFonts w:hint="eastAsia" w:ascii="宋体" w:hAnsi="宋体"/>
          <w:sz w:val="24"/>
        </w:rPr>
      </w:pPr>
      <w:r>
        <w:rPr>
          <w:rFonts w:hint="eastAsia" w:ascii="宋体" w:hAnsi="宋体" w:cs="Arial"/>
          <w:sz w:val="24"/>
        </w:rPr>
        <w:t>供应商</w:t>
      </w:r>
      <w:r>
        <w:rPr>
          <w:rFonts w:hint="eastAsia" w:ascii="宋体" w:hAnsi="宋体"/>
          <w:sz w:val="24"/>
        </w:rPr>
        <w:t>：（公章）</w:t>
      </w:r>
    </w:p>
    <w:p w14:paraId="514B951D">
      <w:pPr>
        <w:spacing w:line="360" w:lineRule="auto"/>
        <w:rPr>
          <w:rFonts w:hint="eastAsia" w:ascii="宋体" w:hAnsi="宋体"/>
          <w:sz w:val="24"/>
        </w:rPr>
      </w:pPr>
      <w:r>
        <w:rPr>
          <w:rFonts w:hint="eastAsia" w:ascii="宋体" w:hAnsi="宋体"/>
          <w:sz w:val="24"/>
        </w:rPr>
        <w:t>法定代表人</w:t>
      </w:r>
      <w:r>
        <w:rPr>
          <w:rFonts w:hint="eastAsia" w:ascii="宋体" w:hAnsi="宋体"/>
          <w:sz w:val="24"/>
          <w:lang w:val="en-US" w:eastAsia="zh-CN"/>
        </w:rPr>
        <w:t>/</w:t>
      </w:r>
      <w:r>
        <w:rPr>
          <w:rFonts w:hint="eastAsia" w:ascii="宋体" w:hAnsi="宋体"/>
          <w:sz w:val="24"/>
        </w:rPr>
        <w:t>授权代表签字或盖章：</w:t>
      </w:r>
    </w:p>
    <w:p w14:paraId="15AB593F">
      <w:pPr>
        <w:pStyle w:val="16"/>
        <w:rPr>
          <w:rFonts w:hint="eastAsia" w:hAnsi="宋体"/>
          <w:sz w:val="24"/>
          <w:szCs w:val="24"/>
          <w:u w:val="single"/>
        </w:rPr>
      </w:pPr>
      <w:r>
        <w:rPr>
          <w:rFonts w:hint="eastAsia" w:hAnsi="宋体"/>
          <w:sz w:val="24"/>
          <w:szCs w:val="24"/>
        </w:rPr>
        <w:t xml:space="preserve">日  期：                                </w:t>
      </w:r>
    </w:p>
    <w:p w14:paraId="1418A2C4">
      <w:pPr>
        <w:adjustRightInd w:val="0"/>
        <w:snapToGrid w:val="0"/>
        <w:spacing w:line="360" w:lineRule="auto"/>
        <w:rPr>
          <w:rFonts w:hint="eastAsia" w:ascii="宋体" w:hAnsi="宋体"/>
          <w:u w:val="single"/>
        </w:rPr>
      </w:pPr>
      <w:r>
        <w:rPr>
          <w:rFonts w:ascii="宋体" w:hAnsi="宋体"/>
          <w:u w:val="single"/>
        </w:rPr>
        <w:br w:type="page"/>
      </w:r>
      <w:r>
        <w:rPr>
          <w:rFonts w:hint="eastAsia" w:ascii="宋体" w:hAnsi="宋体"/>
          <w:sz w:val="24"/>
        </w:rPr>
        <w:t>附表</w:t>
      </w:r>
      <w:r>
        <w:rPr>
          <w:rFonts w:ascii="宋体" w:hAnsi="宋体"/>
          <w:sz w:val="24"/>
        </w:rPr>
        <w:t>3</w:t>
      </w:r>
    </w:p>
    <w:p w14:paraId="1C77E59C">
      <w:pPr>
        <w:pStyle w:val="73"/>
        <w:jc w:val="center"/>
        <w:rPr>
          <w:rFonts w:cs="仿宋_GB2312"/>
          <w:bCs/>
          <w:sz w:val="24"/>
          <w:szCs w:val="24"/>
        </w:rPr>
      </w:pPr>
      <w:r>
        <w:rPr>
          <w:rFonts w:hint="eastAsia" w:ascii="宋体" w:hAnsi="宋体"/>
          <w:b/>
          <w:sz w:val="32"/>
          <w:szCs w:val="32"/>
        </w:rPr>
        <w:t>合同条款偏差表</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698"/>
        <w:gridCol w:w="3145"/>
        <w:gridCol w:w="1134"/>
        <w:gridCol w:w="2449"/>
      </w:tblGrid>
      <w:tr w14:paraId="2254F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67" w:type="dxa"/>
            <w:noWrap w:val="0"/>
            <w:vAlign w:val="center"/>
          </w:tcPr>
          <w:p w14:paraId="43E1AFB4">
            <w:pPr>
              <w:widowControl/>
              <w:spacing w:line="320" w:lineRule="exact"/>
              <w:jc w:val="center"/>
              <w:rPr>
                <w:rFonts w:ascii="宋体" w:hAnsi="宋体" w:cs="Calibri Light"/>
                <w:sz w:val="24"/>
              </w:rPr>
            </w:pPr>
            <w:r>
              <w:rPr>
                <w:rFonts w:ascii="宋体" w:hAnsi="宋体" w:cs="Calibri Light"/>
                <w:sz w:val="24"/>
              </w:rPr>
              <w:t>序号</w:t>
            </w:r>
          </w:p>
        </w:tc>
        <w:tc>
          <w:tcPr>
            <w:tcW w:w="1698" w:type="dxa"/>
            <w:noWrap w:val="0"/>
            <w:vAlign w:val="center"/>
          </w:tcPr>
          <w:p w14:paraId="1FE13527">
            <w:pPr>
              <w:widowControl/>
              <w:spacing w:line="320" w:lineRule="exact"/>
              <w:jc w:val="center"/>
              <w:rPr>
                <w:rFonts w:ascii="宋体" w:hAnsi="宋体" w:cs="Calibri Light"/>
                <w:sz w:val="24"/>
              </w:rPr>
            </w:pPr>
            <w:r>
              <w:rPr>
                <w:rFonts w:hint="eastAsia" w:ascii="宋体" w:hAnsi="宋体" w:cs="Calibri Light"/>
                <w:sz w:val="24"/>
              </w:rPr>
              <w:t>磋商</w:t>
            </w:r>
            <w:r>
              <w:rPr>
                <w:rFonts w:ascii="宋体" w:hAnsi="宋体" w:cs="Calibri Light"/>
                <w:sz w:val="24"/>
              </w:rPr>
              <w:t>文件</w:t>
            </w:r>
            <w:r>
              <w:rPr>
                <w:rFonts w:hint="eastAsia" w:ascii="宋体" w:hAnsi="宋体" w:cs="Calibri Light"/>
                <w:sz w:val="24"/>
              </w:rPr>
              <w:t>要求</w:t>
            </w:r>
          </w:p>
        </w:tc>
        <w:tc>
          <w:tcPr>
            <w:tcW w:w="3145" w:type="dxa"/>
            <w:noWrap w:val="0"/>
            <w:vAlign w:val="center"/>
          </w:tcPr>
          <w:p w14:paraId="50B9C453">
            <w:pPr>
              <w:widowControl/>
              <w:spacing w:line="320" w:lineRule="exact"/>
              <w:jc w:val="center"/>
              <w:rPr>
                <w:rFonts w:ascii="宋体" w:hAnsi="宋体" w:cs="Calibri Light"/>
                <w:sz w:val="24"/>
              </w:rPr>
            </w:pPr>
            <w:r>
              <w:rPr>
                <w:rFonts w:hint="eastAsia" w:ascii="宋体" w:hAnsi="宋体" w:cs="Calibri Light"/>
                <w:sz w:val="24"/>
              </w:rPr>
              <w:t>磋商响应</w:t>
            </w:r>
            <w:r>
              <w:rPr>
                <w:rFonts w:ascii="宋体" w:hAnsi="宋体" w:cs="Calibri Light"/>
                <w:sz w:val="24"/>
              </w:rPr>
              <w:t>文件</w:t>
            </w:r>
            <w:r>
              <w:rPr>
                <w:rFonts w:hint="eastAsia" w:ascii="宋体" w:hAnsi="宋体" w:cs="Calibri Light"/>
                <w:sz w:val="24"/>
              </w:rPr>
              <w:t>响应</w:t>
            </w:r>
            <w:r>
              <w:rPr>
                <w:rFonts w:ascii="宋体" w:hAnsi="宋体" w:cs="Calibri Light"/>
                <w:sz w:val="24"/>
              </w:rPr>
              <w:t>条款</w:t>
            </w:r>
          </w:p>
        </w:tc>
        <w:tc>
          <w:tcPr>
            <w:tcW w:w="1134" w:type="dxa"/>
            <w:noWrap w:val="0"/>
            <w:vAlign w:val="center"/>
          </w:tcPr>
          <w:p w14:paraId="2EBDED6A">
            <w:pPr>
              <w:widowControl/>
              <w:spacing w:line="320" w:lineRule="exact"/>
              <w:jc w:val="center"/>
              <w:rPr>
                <w:rFonts w:ascii="宋体" w:hAnsi="宋体" w:cs="Calibri Light"/>
                <w:sz w:val="24"/>
              </w:rPr>
            </w:pPr>
            <w:r>
              <w:rPr>
                <w:rFonts w:hint="eastAsia" w:ascii="宋体" w:hAnsi="宋体" w:cs="Calibri Light"/>
                <w:sz w:val="24"/>
              </w:rPr>
              <w:t>偏离</w:t>
            </w:r>
          </w:p>
        </w:tc>
        <w:tc>
          <w:tcPr>
            <w:tcW w:w="2449" w:type="dxa"/>
            <w:noWrap w:val="0"/>
            <w:vAlign w:val="center"/>
          </w:tcPr>
          <w:p w14:paraId="2E157C7C">
            <w:pPr>
              <w:widowControl/>
              <w:spacing w:line="320" w:lineRule="exact"/>
              <w:jc w:val="center"/>
              <w:rPr>
                <w:rFonts w:ascii="宋体" w:hAnsi="宋体" w:cs="Calibri Light"/>
                <w:sz w:val="24"/>
              </w:rPr>
            </w:pPr>
            <w:r>
              <w:rPr>
                <w:rFonts w:hint="eastAsia" w:ascii="宋体" w:hAnsi="宋体" w:cs="Calibri Light"/>
                <w:sz w:val="24"/>
              </w:rPr>
              <w:t>偏离简述</w:t>
            </w:r>
          </w:p>
          <w:p w14:paraId="7D77CA21">
            <w:pPr>
              <w:widowControl/>
              <w:spacing w:line="320" w:lineRule="exact"/>
              <w:jc w:val="center"/>
              <w:rPr>
                <w:rFonts w:ascii="宋体" w:hAnsi="宋体" w:cs="Calibri Light"/>
                <w:sz w:val="24"/>
              </w:rPr>
            </w:pPr>
            <w:r>
              <w:rPr>
                <w:rFonts w:hint="eastAsia" w:ascii="宋体" w:hAnsi="宋体" w:cs="Calibri Light"/>
                <w:sz w:val="24"/>
              </w:rPr>
              <w:t>或相关证明材料</w:t>
            </w:r>
          </w:p>
        </w:tc>
      </w:tr>
      <w:tr w14:paraId="6A572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67" w:type="dxa"/>
            <w:noWrap w:val="0"/>
            <w:vAlign w:val="center"/>
          </w:tcPr>
          <w:p w14:paraId="3439AB28">
            <w:pPr>
              <w:widowControl/>
              <w:spacing w:line="440" w:lineRule="exact"/>
              <w:jc w:val="center"/>
              <w:rPr>
                <w:rFonts w:ascii="宋体" w:hAnsi="宋体" w:cs="Calibri Light"/>
                <w:sz w:val="24"/>
              </w:rPr>
            </w:pPr>
            <w:r>
              <w:rPr>
                <w:rFonts w:hint="eastAsia" w:ascii="宋体" w:hAnsi="宋体" w:cs="Calibri Light"/>
                <w:sz w:val="24"/>
              </w:rPr>
              <w:t>1</w:t>
            </w:r>
          </w:p>
        </w:tc>
        <w:tc>
          <w:tcPr>
            <w:tcW w:w="1698" w:type="dxa"/>
            <w:noWrap w:val="0"/>
            <w:vAlign w:val="center"/>
          </w:tcPr>
          <w:p w14:paraId="0B014E0F">
            <w:pPr>
              <w:widowControl/>
              <w:spacing w:line="440" w:lineRule="exact"/>
              <w:rPr>
                <w:rFonts w:ascii="宋体" w:hAnsi="宋体" w:cs="Calibri Light"/>
                <w:sz w:val="24"/>
              </w:rPr>
            </w:pPr>
          </w:p>
        </w:tc>
        <w:tc>
          <w:tcPr>
            <w:tcW w:w="3145" w:type="dxa"/>
            <w:noWrap w:val="0"/>
            <w:vAlign w:val="center"/>
          </w:tcPr>
          <w:p w14:paraId="32EB0ADE">
            <w:pPr>
              <w:widowControl/>
              <w:spacing w:line="440" w:lineRule="exact"/>
              <w:rPr>
                <w:rFonts w:ascii="宋体" w:hAnsi="宋体" w:cs="Calibri Light"/>
                <w:sz w:val="24"/>
              </w:rPr>
            </w:pPr>
          </w:p>
        </w:tc>
        <w:tc>
          <w:tcPr>
            <w:tcW w:w="1134" w:type="dxa"/>
            <w:noWrap w:val="0"/>
            <w:vAlign w:val="center"/>
          </w:tcPr>
          <w:p w14:paraId="35ABA2F8">
            <w:pPr>
              <w:widowControl/>
              <w:spacing w:line="440" w:lineRule="exact"/>
              <w:rPr>
                <w:rFonts w:ascii="宋体" w:hAnsi="宋体" w:cs="Calibri Light"/>
                <w:sz w:val="24"/>
              </w:rPr>
            </w:pPr>
          </w:p>
        </w:tc>
        <w:tc>
          <w:tcPr>
            <w:tcW w:w="2449" w:type="dxa"/>
            <w:noWrap w:val="0"/>
            <w:vAlign w:val="center"/>
          </w:tcPr>
          <w:p w14:paraId="394A84A6">
            <w:pPr>
              <w:widowControl/>
              <w:spacing w:line="440" w:lineRule="exact"/>
              <w:rPr>
                <w:rFonts w:ascii="宋体" w:hAnsi="宋体" w:cs="Calibri Light"/>
                <w:sz w:val="24"/>
              </w:rPr>
            </w:pPr>
          </w:p>
        </w:tc>
      </w:tr>
      <w:tr w14:paraId="7E395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67" w:type="dxa"/>
            <w:noWrap w:val="0"/>
            <w:vAlign w:val="center"/>
          </w:tcPr>
          <w:p w14:paraId="5358E32C">
            <w:pPr>
              <w:widowControl/>
              <w:spacing w:line="440" w:lineRule="exact"/>
              <w:jc w:val="center"/>
              <w:rPr>
                <w:rFonts w:ascii="宋体" w:hAnsi="宋体" w:cs="Calibri Light"/>
                <w:sz w:val="24"/>
              </w:rPr>
            </w:pPr>
            <w:r>
              <w:rPr>
                <w:rFonts w:hint="eastAsia" w:ascii="宋体" w:hAnsi="宋体" w:cs="Calibri Light"/>
                <w:sz w:val="24"/>
              </w:rPr>
              <w:t>2</w:t>
            </w:r>
          </w:p>
        </w:tc>
        <w:tc>
          <w:tcPr>
            <w:tcW w:w="1698" w:type="dxa"/>
            <w:noWrap w:val="0"/>
            <w:vAlign w:val="center"/>
          </w:tcPr>
          <w:p w14:paraId="6107E559">
            <w:pPr>
              <w:widowControl/>
              <w:spacing w:line="440" w:lineRule="exact"/>
              <w:rPr>
                <w:rFonts w:ascii="宋体" w:hAnsi="宋体" w:cs="Calibri Light"/>
                <w:sz w:val="24"/>
              </w:rPr>
            </w:pPr>
          </w:p>
        </w:tc>
        <w:tc>
          <w:tcPr>
            <w:tcW w:w="3145" w:type="dxa"/>
            <w:noWrap w:val="0"/>
            <w:vAlign w:val="center"/>
          </w:tcPr>
          <w:p w14:paraId="3AB0B06B">
            <w:pPr>
              <w:widowControl/>
              <w:spacing w:line="440" w:lineRule="exact"/>
              <w:rPr>
                <w:rFonts w:ascii="宋体" w:hAnsi="宋体" w:cs="Calibri Light"/>
                <w:sz w:val="24"/>
              </w:rPr>
            </w:pPr>
          </w:p>
        </w:tc>
        <w:tc>
          <w:tcPr>
            <w:tcW w:w="1134" w:type="dxa"/>
            <w:noWrap w:val="0"/>
            <w:vAlign w:val="center"/>
          </w:tcPr>
          <w:p w14:paraId="14476EDB">
            <w:pPr>
              <w:widowControl/>
              <w:spacing w:line="440" w:lineRule="exact"/>
              <w:rPr>
                <w:rFonts w:ascii="宋体" w:hAnsi="宋体" w:cs="Calibri Light"/>
                <w:sz w:val="24"/>
              </w:rPr>
            </w:pPr>
          </w:p>
        </w:tc>
        <w:tc>
          <w:tcPr>
            <w:tcW w:w="2449" w:type="dxa"/>
            <w:noWrap w:val="0"/>
            <w:vAlign w:val="center"/>
          </w:tcPr>
          <w:p w14:paraId="163391CB">
            <w:pPr>
              <w:widowControl/>
              <w:spacing w:line="440" w:lineRule="exact"/>
              <w:rPr>
                <w:rFonts w:ascii="宋体" w:hAnsi="宋体" w:cs="Calibri Light"/>
                <w:sz w:val="24"/>
              </w:rPr>
            </w:pPr>
          </w:p>
        </w:tc>
      </w:tr>
      <w:tr w14:paraId="76F88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67" w:type="dxa"/>
            <w:noWrap w:val="0"/>
            <w:vAlign w:val="center"/>
          </w:tcPr>
          <w:p w14:paraId="5BDFE74B">
            <w:pPr>
              <w:widowControl/>
              <w:spacing w:line="440" w:lineRule="exact"/>
              <w:jc w:val="center"/>
              <w:rPr>
                <w:rFonts w:ascii="宋体" w:hAnsi="宋体" w:cs="Calibri Light"/>
                <w:sz w:val="24"/>
              </w:rPr>
            </w:pPr>
            <w:r>
              <w:rPr>
                <w:rFonts w:hint="eastAsia" w:ascii="宋体" w:hAnsi="宋体" w:cs="Calibri Light"/>
                <w:sz w:val="24"/>
              </w:rPr>
              <w:t>3</w:t>
            </w:r>
          </w:p>
        </w:tc>
        <w:tc>
          <w:tcPr>
            <w:tcW w:w="1698" w:type="dxa"/>
            <w:noWrap w:val="0"/>
            <w:vAlign w:val="center"/>
          </w:tcPr>
          <w:p w14:paraId="3078500F">
            <w:pPr>
              <w:widowControl/>
              <w:spacing w:line="440" w:lineRule="exact"/>
              <w:rPr>
                <w:rFonts w:ascii="宋体" w:hAnsi="宋体" w:cs="Calibri Light"/>
                <w:sz w:val="24"/>
              </w:rPr>
            </w:pPr>
          </w:p>
        </w:tc>
        <w:tc>
          <w:tcPr>
            <w:tcW w:w="3145" w:type="dxa"/>
            <w:noWrap w:val="0"/>
            <w:vAlign w:val="center"/>
          </w:tcPr>
          <w:p w14:paraId="0464A99C">
            <w:pPr>
              <w:widowControl/>
              <w:spacing w:line="440" w:lineRule="exact"/>
              <w:rPr>
                <w:rFonts w:ascii="宋体" w:hAnsi="宋体" w:cs="Calibri Light"/>
                <w:sz w:val="24"/>
              </w:rPr>
            </w:pPr>
          </w:p>
        </w:tc>
        <w:tc>
          <w:tcPr>
            <w:tcW w:w="1134" w:type="dxa"/>
            <w:noWrap w:val="0"/>
            <w:vAlign w:val="center"/>
          </w:tcPr>
          <w:p w14:paraId="779D8537">
            <w:pPr>
              <w:widowControl/>
              <w:spacing w:line="440" w:lineRule="exact"/>
              <w:rPr>
                <w:rFonts w:ascii="宋体" w:hAnsi="宋体" w:cs="Calibri Light"/>
                <w:sz w:val="24"/>
              </w:rPr>
            </w:pPr>
          </w:p>
        </w:tc>
        <w:tc>
          <w:tcPr>
            <w:tcW w:w="2449" w:type="dxa"/>
            <w:noWrap w:val="0"/>
            <w:vAlign w:val="center"/>
          </w:tcPr>
          <w:p w14:paraId="0C9E96D3">
            <w:pPr>
              <w:widowControl/>
              <w:spacing w:line="440" w:lineRule="exact"/>
              <w:rPr>
                <w:rFonts w:ascii="宋体" w:hAnsi="宋体" w:cs="Calibri Light"/>
                <w:sz w:val="24"/>
              </w:rPr>
            </w:pPr>
          </w:p>
        </w:tc>
      </w:tr>
      <w:tr w14:paraId="42336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67" w:type="dxa"/>
            <w:noWrap w:val="0"/>
            <w:vAlign w:val="center"/>
          </w:tcPr>
          <w:p w14:paraId="273D66E4">
            <w:pPr>
              <w:widowControl/>
              <w:spacing w:line="440" w:lineRule="exact"/>
              <w:jc w:val="center"/>
              <w:rPr>
                <w:rFonts w:ascii="宋体" w:hAnsi="宋体" w:cs="Calibri Light"/>
                <w:sz w:val="24"/>
              </w:rPr>
            </w:pPr>
          </w:p>
        </w:tc>
        <w:tc>
          <w:tcPr>
            <w:tcW w:w="1698" w:type="dxa"/>
            <w:noWrap w:val="0"/>
            <w:vAlign w:val="center"/>
          </w:tcPr>
          <w:p w14:paraId="2BE5A7CE">
            <w:pPr>
              <w:widowControl/>
              <w:spacing w:line="440" w:lineRule="exact"/>
              <w:rPr>
                <w:rFonts w:ascii="宋体" w:hAnsi="宋体" w:cs="Calibri Light"/>
                <w:sz w:val="24"/>
              </w:rPr>
            </w:pPr>
          </w:p>
        </w:tc>
        <w:tc>
          <w:tcPr>
            <w:tcW w:w="3145" w:type="dxa"/>
            <w:noWrap w:val="0"/>
            <w:vAlign w:val="center"/>
          </w:tcPr>
          <w:p w14:paraId="465DEA41">
            <w:pPr>
              <w:widowControl/>
              <w:spacing w:line="440" w:lineRule="exact"/>
              <w:rPr>
                <w:rFonts w:ascii="宋体" w:hAnsi="宋体" w:cs="Calibri Light"/>
                <w:sz w:val="24"/>
              </w:rPr>
            </w:pPr>
          </w:p>
        </w:tc>
        <w:tc>
          <w:tcPr>
            <w:tcW w:w="1134" w:type="dxa"/>
            <w:noWrap w:val="0"/>
            <w:vAlign w:val="center"/>
          </w:tcPr>
          <w:p w14:paraId="21B0FC2A">
            <w:pPr>
              <w:widowControl/>
              <w:spacing w:line="440" w:lineRule="exact"/>
              <w:rPr>
                <w:rFonts w:ascii="宋体" w:hAnsi="宋体" w:cs="Calibri Light"/>
                <w:sz w:val="24"/>
              </w:rPr>
            </w:pPr>
          </w:p>
        </w:tc>
        <w:tc>
          <w:tcPr>
            <w:tcW w:w="2449" w:type="dxa"/>
            <w:noWrap w:val="0"/>
            <w:vAlign w:val="center"/>
          </w:tcPr>
          <w:p w14:paraId="78093B9D">
            <w:pPr>
              <w:widowControl/>
              <w:spacing w:line="440" w:lineRule="exact"/>
              <w:rPr>
                <w:rFonts w:ascii="宋体" w:hAnsi="宋体" w:cs="Calibri Light"/>
                <w:sz w:val="24"/>
              </w:rPr>
            </w:pPr>
          </w:p>
        </w:tc>
      </w:tr>
      <w:tr w14:paraId="58E50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67" w:type="dxa"/>
            <w:noWrap w:val="0"/>
            <w:vAlign w:val="center"/>
          </w:tcPr>
          <w:p w14:paraId="6C79149F">
            <w:pPr>
              <w:widowControl/>
              <w:spacing w:line="440" w:lineRule="exact"/>
              <w:jc w:val="center"/>
              <w:rPr>
                <w:rFonts w:ascii="宋体" w:hAnsi="宋体" w:cs="Calibri Light"/>
                <w:sz w:val="24"/>
              </w:rPr>
            </w:pPr>
          </w:p>
        </w:tc>
        <w:tc>
          <w:tcPr>
            <w:tcW w:w="1698" w:type="dxa"/>
            <w:noWrap w:val="0"/>
            <w:vAlign w:val="center"/>
          </w:tcPr>
          <w:p w14:paraId="05A252DF">
            <w:pPr>
              <w:widowControl/>
              <w:spacing w:line="440" w:lineRule="exact"/>
              <w:rPr>
                <w:rFonts w:ascii="宋体" w:hAnsi="宋体" w:cs="Calibri Light"/>
                <w:sz w:val="24"/>
              </w:rPr>
            </w:pPr>
          </w:p>
        </w:tc>
        <w:tc>
          <w:tcPr>
            <w:tcW w:w="3145" w:type="dxa"/>
            <w:noWrap w:val="0"/>
            <w:vAlign w:val="center"/>
          </w:tcPr>
          <w:p w14:paraId="1A4F0197">
            <w:pPr>
              <w:widowControl/>
              <w:spacing w:line="440" w:lineRule="exact"/>
              <w:rPr>
                <w:rFonts w:ascii="宋体" w:hAnsi="宋体" w:cs="Calibri Light"/>
                <w:sz w:val="24"/>
              </w:rPr>
            </w:pPr>
          </w:p>
        </w:tc>
        <w:tc>
          <w:tcPr>
            <w:tcW w:w="1134" w:type="dxa"/>
            <w:noWrap w:val="0"/>
            <w:vAlign w:val="center"/>
          </w:tcPr>
          <w:p w14:paraId="7E94B446">
            <w:pPr>
              <w:widowControl/>
              <w:spacing w:line="440" w:lineRule="exact"/>
              <w:rPr>
                <w:rFonts w:ascii="宋体" w:hAnsi="宋体" w:cs="Calibri Light"/>
                <w:sz w:val="24"/>
              </w:rPr>
            </w:pPr>
          </w:p>
        </w:tc>
        <w:tc>
          <w:tcPr>
            <w:tcW w:w="2449" w:type="dxa"/>
            <w:noWrap w:val="0"/>
            <w:vAlign w:val="center"/>
          </w:tcPr>
          <w:p w14:paraId="56121844">
            <w:pPr>
              <w:widowControl/>
              <w:spacing w:line="440" w:lineRule="exact"/>
              <w:rPr>
                <w:rFonts w:ascii="宋体" w:hAnsi="宋体" w:cs="Calibri Light"/>
                <w:sz w:val="24"/>
              </w:rPr>
            </w:pPr>
          </w:p>
        </w:tc>
      </w:tr>
      <w:tr w14:paraId="64C03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67" w:type="dxa"/>
            <w:noWrap w:val="0"/>
            <w:vAlign w:val="center"/>
          </w:tcPr>
          <w:p w14:paraId="6F1DE3ED">
            <w:pPr>
              <w:widowControl/>
              <w:spacing w:line="440" w:lineRule="exact"/>
              <w:jc w:val="center"/>
              <w:rPr>
                <w:rFonts w:ascii="宋体" w:hAnsi="宋体" w:cs="Calibri Light"/>
                <w:sz w:val="24"/>
              </w:rPr>
            </w:pPr>
          </w:p>
        </w:tc>
        <w:tc>
          <w:tcPr>
            <w:tcW w:w="1698" w:type="dxa"/>
            <w:noWrap w:val="0"/>
            <w:vAlign w:val="center"/>
          </w:tcPr>
          <w:p w14:paraId="7DBDA1F9">
            <w:pPr>
              <w:widowControl/>
              <w:spacing w:line="440" w:lineRule="exact"/>
              <w:rPr>
                <w:rFonts w:ascii="宋体" w:hAnsi="宋体" w:cs="Calibri Light"/>
                <w:sz w:val="24"/>
              </w:rPr>
            </w:pPr>
          </w:p>
        </w:tc>
        <w:tc>
          <w:tcPr>
            <w:tcW w:w="3145" w:type="dxa"/>
            <w:noWrap w:val="0"/>
            <w:vAlign w:val="center"/>
          </w:tcPr>
          <w:p w14:paraId="4BE40910">
            <w:pPr>
              <w:widowControl/>
              <w:spacing w:line="440" w:lineRule="exact"/>
              <w:rPr>
                <w:rFonts w:ascii="宋体" w:hAnsi="宋体" w:cs="Calibri Light"/>
                <w:sz w:val="24"/>
              </w:rPr>
            </w:pPr>
          </w:p>
        </w:tc>
        <w:tc>
          <w:tcPr>
            <w:tcW w:w="1134" w:type="dxa"/>
            <w:noWrap w:val="0"/>
            <w:vAlign w:val="center"/>
          </w:tcPr>
          <w:p w14:paraId="1791B3C7">
            <w:pPr>
              <w:widowControl/>
              <w:spacing w:line="440" w:lineRule="exact"/>
              <w:rPr>
                <w:rFonts w:ascii="宋体" w:hAnsi="宋体" w:cs="Calibri Light"/>
                <w:sz w:val="24"/>
              </w:rPr>
            </w:pPr>
          </w:p>
        </w:tc>
        <w:tc>
          <w:tcPr>
            <w:tcW w:w="2449" w:type="dxa"/>
            <w:noWrap w:val="0"/>
            <w:vAlign w:val="center"/>
          </w:tcPr>
          <w:p w14:paraId="78C1ADEE">
            <w:pPr>
              <w:widowControl/>
              <w:spacing w:line="440" w:lineRule="exact"/>
              <w:rPr>
                <w:rFonts w:ascii="宋体" w:hAnsi="宋体" w:cs="Calibri Light"/>
                <w:sz w:val="24"/>
              </w:rPr>
            </w:pPr>
          </w:p>
        </w:tc>
      </w:tr>
      <w:tr w14:paraId="59740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67" w:type="dxa"/>
            <w:noWrap w:val="0"/>
            <w:vAlign w:val="center"/>
          </w:tcPr>
          <w:p w14:paraId="537BEABB">
            <w:pPr>
              <w:widowControl/>
              <w:spacing w:line="440" w:lineRule="exact"/>
              <w:jc w:val="center"/>
              <w:rPr>
                <w:rFonts w:ascii="宋体" w:hAnsi="宋体" w:cs="Calibri Light"/>
                <w:sz w:val="24"/>
              </w:rPr>
            </w:pPr>
            <w:r>
              <w:rPr>
                <w:rFonts w:hint="eastAsia" w:ascii="宋体" w:hAnsi="宋体" w:cs="Calibri Light"/>
                <w:sz w:val="24"/>
              </w:rPr>
              <w:t>……</w:t>
            </w:r>
          </w:p>
        </w:tc>
        <w:tc>
          <w:tcPr>
            <w:tcW w:w="1698" w:type="dxa"/>
            <w:noWrap w:val="0"/>
            <w:vAlign w:val="center"/>
          </w:tcPr>
          <w:p w14:paraId="60971252">
            <w:pPr>
              <w:widowControl/>
              <w:spacing w:line="440" w:lineRule="exact"/>
              <w:rPr>
                <w:rFonts w:ascii="宋体" w:hAnsi="宋体" w:cs="Calibri Light"/>
                <w:sz w:val="24"/>
              </w:rPr>
            </w:pPr>
          </w:p>
        </w:tc>
        <w:tc>
          <w:tcPr>
            <w:tcW w:w="3145" w:type="dxa"/>
            <w:noWrap w:val="0"/>
            <w:vAlign w:val="center"/>
          </w:tcPr>
          <w:p w14:paraId="0C1C2A7B">
            <w:pPr>
              <w:widowControl/>
              <w:spacing w:line="440" w:lineRule="exact"/>
              <w:rPr>
                <w:rFonts w:ascii="宋体" w:hAnsi="宋体" w:cs="Calibri Light"/>
                <w:sz w:val="24"/>
              </w:rPr>
            </w:pPr>
          </w:p>
        </w:tc>
        <w:tc>
          <w:tcPr>
            <w:tcW w:w="1134" w:type="dxa"/>
            <w:noWrap w:val="0"/>
            <w:vAlign w:val="center"/>
          </w:tcPr>
          <w:p w14:paraId="263AF920">
            <w:pPr>
              <w:widowControl/>
              <w:spacing w:line="440" w:lineRule="exact"/>
              <w:rPr>
                <w:rFonts w:ascii="宋体" w:hAnsi="宋体" w:cs="Calibri Light"/>
                <w:sz w:val="24"/>
              </w:rPr>
            </w:pPr>
          </w:p>
        </w:tc>
        <w:tc>
          <w:tcPr>
            <w:tcW w:w="2449" w:type="dxa"/>
            <w:noWrap w:val="0"/>
            <w:vAlign w:val="center"/>
          </w:tcPr>
          <w:p w14:paraId="4E8543A5">
            <w:pPr>
              <w:widowControl/>
              <w:spacing w:line="440" w:lineRule="exact"/>
              <w:rPr>
                <w:rFonts w:ascii="宋体" w:hAnsi="宋体" w:cs="Calibri Light"/>
                <w:sz w:val="24"/>
              </w:rPr>
            </w:pPr>
          </w:p>
        </w:tc>
      </w:tr>
    </w:tbl>
    <w:p w14:paraId="4925DBDB">
      <w:pPr>
        <w:spacing w:line="360" w:lineRule="auto"/>
        <w:ind w:firstLine="480" w:firstLineChars="200"/>
        <w:rPr>
          <w:rFonts w:ascii="宋体" w:hAnsi="宋体" w:cs="宋体"/>
          <w:sz w:val="24"/>
        </w:rPr>
      </w:pPr>
      <w:r>
        <w:rPr>
          <w:rFonts w:hint="eastAsia" w:ascii="宋体" w:hAnsi="宋体" w:cs="宋体"/>
          <w:sz w:val="24"/>
        </w:rPr>
        <w:t>备注：</w:t>
      </w:r>
    </w:p>
    <w:p w14:paraId="380B7FEB">
      <w:pPr>
        <w:spacing w:line="360" w:lineRule="auto"/>
        <w:ind w:firstLine="480" w:firstLineChars="200"/>
        <w:rPr>
          <w:rFonts w:ascii="宋体" w:hAnsi="宋体" w:cs="宋体"/>
          <w:sz w:val="24"/>
        </w:rPr>
      </w:pPr>
      <w:r>
        <w:rPr>
          <w:rFonts w:hint="eastAsia" w:ascii="宋体" w:hAnsi="宋体" w:cs="宋体"/>
          <w:sz w:val="24"/>
        </w:rPr>
        <w:t>1.本表只填写</w:t>
      </w:r>
      <w:r>
        <w:rPr>
          <w:rFonts w:hint="eastAsia" w:ascii="宋体" w:hAnsi="宋体" w:cs="Calibri Light"/>
          <w:sz w:val="24"/>
        </w:rPr>
        <w:t>磋商响应</w:t>
      </w:r>
      <w:r>
        <w:rPr>
          <w:rFonts w:ascii="宋体" w:hAnsi="宋体" w:cs="Calibri Light"/>
          <w:sz w:val="24"/>
        </w:rPr>
        <w:t>文件</w:t>
      </w:r>
      <w:r>
        <w:rPr>
          <w:rFonts w:hint="eastAsia" w:ascii="宋体" w:hAnsi="宋体" w:cs="宋体"/>
          <w:sz w:val="24"/>
        </w:rPr>
        <w:t>中与</w:t>
      </w:r>
      <w:r>
        <w:rPr>
          <w:rFonts w:hint="eastAsia" w:ascii="宋体" w:hAnsi="宋体" w:cs="Calibri Light"/>
          <w:sz w:val="24"/>
        </w:rPr>
        <w:t>磋商</w:t>
      </w:r>
      <w:r>
        <w:rPr>
          <w:rFonts w:ascii="宋体" w:hAnsi="宋体" w:cs="Calibri Light"/>
          <w:sz w:val="24"/>
        </w:rPr>
        <w:t>文件</w:t>
      </w:r>
      <w:r>
        <w:rPr>
          <w:rFonts w:hint="eastAsia" w:ascii="宋体" w:hAnsi="宋体" w:cs="宋体"/>
          <w:sz w:val="24"/>
        </w:rPr>
        <w:t>有偏离（包括正偏离和负偏离）的内容，必须一一对应填写，</w:t>
      </w:r>
      <w:r>
        <w:rPr>
          <w:rFonts w:hint="eastAsia" w:ascii="宋体" w:hAnsi="宋体" w:cs="宋体"/>
          <w:b/>
          <w:sz w:val="24"/>
        </w:rPr>
        <w:t>若无偏离则可附此空表加盖单位公章</w:t>
      </w:r>
      <w:r>
        <w:rPr>
          <w:rFonts w:hint="eastAsia" w:ascii="宋体" w:hAnsi="宋体" w:cs="宋体"/>
          <w:sz w:val="24"/>
        </w:rPr>
        <w:t>。</w:t>
      </w:r>
    </w:p>
    <w:p w14:paraId="67ECA85D">
      <w:pPr>
        <w:spacing w:line="360" w:lineRule="auto"/>
        <w:ind w:firstLine="480" w:firstLineChars="200"/>
        <w:rPr>
          <w:rFonts w:ascii="宋体" w:hAnsi="宋体" w:cs="宋体"/>
          <w:sz w:val="24"/>
        </w:rPr>
      </w:pPr>
      <w:r>
        <w:rPr>
          <w:rFonts w:hint="eastAsia" w:ascii="宋体" w:hAnsi="宋体" w:cs="宋体"/>
          <w:sz w:val="24"/>
        </w:rPr>
        <w:t>2.供应商必须据实填写，不得虚假响应，否则将取消其磋商或成交资格，并按有关规定进处罚。</w:t>
      </w:r>
    </w:p>
    <w:p w14:paraId="395F21A9">
      <w:pPr>
        <w:widowControl/>
        <w:tabs>
          <w:tab w:val="right" w:pos="9070"/>
        </w:tabs>
        <w:spacing w:line="500" w:lineRule="exact"/>
        <w:ind w:firstLine="480" w:firstLineChars="200"/>
        <w:rPr>
          <w:rFonts w:hint="eastAsia" w:ascii="宋体" w:hAnsi="宋体" w:cs="Calibri Light"/>
          <w:bCs/>
          <w:sz w:val="24"/>
        </w:rPr>
      </w:pPr>
    </w:p>
    <w:p w14:paraId="04015304">
      <w:pPr>
        <w:pStyle w:val="27"/>
        <w:shd w:val="clear" w:color="auto" w:fill="FFFFFF"/>
        <w:wordWrap w:val="0"/>
        <w:adjustRightInd w:val="0"/>
        <w:snapToGrid w:val="0"/>
        <w:spacing w:line="360" w:lineRule="auto"/>
        <w:rPr>
          <w:rFonts w:cs="Tahoma"/>
        </w:rPr>
      </w:pPr>
      <w:r>
        <w:rPr>
          <w:rFonts w:hint="eastAsia" w:cs="Tahoma"/>
        </w:rPr>
        <w:t>供应商：</w:t>
      </w:r>
      <w:r>
        <w:rPr>
          <w:rFonts w:hint="eastAsia"/>
        </w:rPr>
        <w:t>（公章）</w:t>
      </w:r>
    </w:p>
    <w:p w14:paraId="227430AC">
      <w:pPr>
        <w:spacing w:line="360" w:lineRule="auto"/>
        <w:rPr>
          <w:rFonts w:hint="eastAsia" w:ascii="宋体" w:hAnsi="宋体"/>
          <w:sz w:val="24"/>
        </w:rPr>
      </w:pPr>
      <w:r>
        <w:rPr>
          <w:rFonts w:hint="eastAsia" w:ascii="宋体" w:hAnsi="宋体"/>
          <w:sz w:val="24"/>
        </w:rPr>
        <w:t>法定代表人</w:t>
      </w:r>
      <w:r>
        <w:rPr>
          <w:rFonts w:hint="eastAsia" w:ascii="宋体" w:hAnsi="宋体"/>
          <w:sz w:val="24"/>
          <w:lang w:val="en-US" w:eastAsia="zh-CN"/>
        </w:rPr>
        <w:t>/</w:t>
      </w:r>
      <w:r>
        <w:rPr>
          <w:rFonts w:hint="eastAsia" w:ascii="宋体" w:hAnsi="宋体"/>
          <w:sz w:val="24"/>
        </w:rPr>
        <w:t>授权代表签字或盖章：</w:t>
      </w:r>
    </w:p>
    <w:p w14:paraId="067257E1">
      <w:pPr>
        <w:pStyle w:val="16"/>
        <w:rPr>
          <w:rFonts w:hint="eastAsia" w:cs="Tahoma"/>
        </w:rPr>
      </w:pPr>
    </w:p>
    <w:p w14:paraId="58632F6D">
      <w:pPr>
        <w:pStyle w:val="16"/>
        <w:rPr>
          <w:rFonts w:hint="eastAsia" w:hAnsi="宋体"/>
          <w:sz w:val="24"/>
          <w:szCs w:val="24"/>
          <w:u w:val="single"/>
        </w:rPr>
      </w:pPr>
      <w:r>
        <w:rPr>
          <w:rFonts w:hint="eastAsia" w:cs="Tahoma"/>
        </w:rPr>
        <w:t xml:space="preserve">日 期： </w:t>
      </w:r>
      <w:r>
        <w:rPr>
          <w:rFonts w:hint="eastAsia" w:hAnsi="宋体"/>
          <w:sz w:val="24"/>
        </w:rPr>
        <w:t xml:space="preserve"> </w:t>
      </w:r>
      <w:r>
        <w:rPr>
          <w:rFonts w:hint="eastAsia" w:hAnsi="宋体"/>
          <w:sz w:val="24"/>
          <w:szCs w:val="24"/>
        </w:rPr>
        <w:t xml:space="preserve">                            </w:t>
      </w:r>
    </w:p>
    <w:p w14:paraId="3377710F">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sz w:val="36"/>
        </w:rPr>
      </w:pPr>
      <w:r>
        <w:br w:type="page"/>
      </w:r>
      <w:r>
        <w:rPr>
          <w:rFonts w:hint="eastAsia" w:ascii="宋体" w:hAnsi="宋体" w:eastAsia="宋体" w:cs="宋体"/>
          <w:b/>
          <w:sz w:val="32"/>
          <w:szCs w:val="32"/>
          <w:lang w:val="en-US" w:eastAsia="zh-CN"/>
        </w:rPr>
        <w:t>三、</w:t>
      </w:r>
      <w:r>
        <w:rPr>
          <w:rFonts w:hint="eastAsia" w:ascii="宋体" w:hAnsi="宋体" w:cs="宋体"/>
          <w:b/>
          <w:sz w:val="32"/>
          <w:szCs w:val="32"/>
        </w:rPr>
        <w:t>法定代表人身份证明</w:t>
      </w:r>
    </w:p>
    <w:p w14:paraId="71DA674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宋体"/>
          <w:sz w:val="24"/>
        </w:rPr>
      </w:pPr>
    </w:p>
    <w:p w14:paraId="3B5CDF6B">
      <w:pPr>
        <w:keepNext w:val="0"/>
        <w:keepLines w:val="0"/>
        <w:pageBreakBefore w:val="0"/>
        <w:widowControl w:val="0"/>
        <w:kinsoku/>
        <w:wordWrap/>
        <w:overflowPunct/>
        <w:topLinePunct w:val="0"/>
        <w:autoSpaceDE/>
        <w:autoSpaceDN/>
        <w:bidi w:val="0"/>
        <w:adjustRightInd/>
        <w:snapToGrid w:val="0"/>
        <w:spacing w:line="360" w:lineRule="auto"/>
        <w:textAlignment w:val="auto"/>
        <w:rPr>
          <w:rFonts w:ascii="宋体"/>
          <w:sz w:val="24"/>
        </w:rPr>
      </w:pPr>
      <w:r>
        <w:rPr>
          <w:rFonts w:hint="eastAsia" w:ascii="宋体" w:hAnsi="宋体" w:cs="宋体"/>
          <w:sz w:val="24"/>
        </w:rPr>
        <w:t>供 应 商：</w:t>
      </w:r>
      <w:r>
        <w:rPr>
          <w:rFonts w:hint="eastAsia" w:ascii="宋体" w:hAnsi="宋体" w:cs="宋体"/>
          <w:b/>
          <w:bCs/>
          <w:sz w:val="32"/>
          <w:szCs w:val="32"/>
          <w:u w:val="single"/>
        </w:rPr>
        <w:t xml:space="preserve">                                 </w:t>
      </w:r>
      <w:r>
        <w:rPr>
          <w:rFonts w:hint="eastAsia" w:ascii="宋体" w:hAnsi="宋体" w:cs="宋体"/>
          <w:sz w:val="24"/>
        </w:rPr>
        <w:t>；</w:t>
      </w:r>
    </w:p>
    <w:p w14:paraId="061977CE">
      <w:pPr>
        <w:keepNext w:val="0"/>
        <w:keepLines w:val="0"/>
        <w:pageBreakBefore w:val="0"/>
        <w:widowControl w:val="0"/>
        <w:kinsoku/>
        <w:wordWrap/>
        <w:overflowPunct/>
        <w:topLinePunct w:val="0"/>
        <w:autoSpaceDE/>
        <w:autoSpaceDN/>
        <w:bidi w:val="0"/>
        <w:adjustRightInd/>
        <w:snapToGrid w:val="0"/>
        <w:spacing w:line="360" w:lineRule="auto"/>
        <w:textAlignment w:val="auto"/>
        <w:rPr>
          <w:rFonts w:ascii="宋体"/>
          <w:sz w:val="24"/>
        </w:rPr>
      </w:pPr>
      <w:r>
        <w:rPr>
          <w:rFonts w:hint="eastAsia" w:ascii="宋体" w:hAnsi="宋体" w:cs="宋体"/>
          <w:sz w:val="24"/>
        </w:rPr>
        <w:t>单位性质：</w:t>
      </w:r>
      <w:r>
        <w:rPr>
          <w:rFonts w:hint="eastAsia" w:ascii="宋体" w:hAnsi="宋体" w:cs="宋体"/>
          <w:b/>
          <w:bCs/>
          <w:sz w:val="32"/>
          <w:szCs w:val="32"/>
          <w:u w:val="single"/>
        </w:rPr>
        <w:t xml:space="preserve">                                 </w:t>
      </w:r>
      <w:r>
        <w:rPr>
          <w:rFonts w:hint="eastAsia" w:ascii="宋体" w:hAnsi="宋体" w:cs="宋体"/>
          <w:sz w:val="24"/>
        </w:rPr>
        <w:t>；</w:t>
      </w:r>
    </w:p>
    <w:p w14:paraId="009FF823">
      <w:pPr>
        <w:keepNext w:val="0"/>
        <w:keepLines w:val="0"/>
        <w:pageBreakBefore w:val="0"/>
        <w:widowControl w:val="0"/>
        <w:kinsoku/>
        <w:wordWrap/>
        <w:overflowPunct/>
        <w:topLinePunct w:val="0"/>
        <w:autoSpaceDE/>
        <w:autoSpaceDN/>
        <w:bidi w:val="0"/>
        <w:adjustRightInd/>
        <w:snapToGrid w:val="0"/>
        <w:spacing w:line="360" w:lineRule="auto"/>
        <w:textAlignment w:val="auto"/>
        <w:rPr>
          <w:rFonts w:ascii="宋体"/>
          <w:sz w:val="24"/>
        </w:rPr>
      </w:pPr>
      <w:r>
        <w:rPr>
          <w:rFonts w:hint="eastAsia" w:ascii="宋体" w:hAnsi="宋体" w:cs="宋体"/>
          <w:sz w:val="24"/>
        </w:rPr>
        <w:t>地址：</w:t>
      </w:r>
      <w:r>
        <w:rPr>
          <w:rFonts w:hint="eastAsia" w:ascii="宋体" w:hAnsi="宋体" w:cs="宋体"/>
          <w:b/>
          <w:bCs/>
          <w:sz w:val="32"/>
          <w:szCs w:val="32"/>
          <w:u w:val="single"/>
        </w:rPr>
        <w:t xml:space="preserve">                                    </w:t>
      </w:r>
      <w:r>
        <w:rPr>
          <w:rFonts w:hint="eastAsia" w:ascii="宋体" w:hAnsi="宋体" w:cs="宋体"/>
          <w:sz w:val="24"/>
        </w:rPr>
        <w:t>；</w:t>
      </w:r>
    </w:p>
    <w:p w14:paraId="777287C9">
      <w:pPr>
        <w:keepNext w:val="0"/>
        <w:keepLines w:val="0"/>
        <w:pageBreakBefore w:val="0"/>
        <w:widowControl w:val="0"/>
        <w:kinsoku/>
        <w:wordWrap/>
        <w:overflowPunct/>
        <w:topLinePunct w:val="0"/>
        <w:autoSpaceDE/>
        <w:autoSpaceDN/>
        <w:bidi w:val="0"/>
        <w:adjustRightInd/>
        <w:snapToGrid w:val="0"/>
        <w:spacing w:line="360" w:lineRule="auto"/>
        <w:textAlignment w:val="auto"/>
        <w:rPr>
          <w:rFonts w:ascii="宋体"/>
          <w:sz w:val="24"/>
        </w:rPr>
      </w:pPr>
      <w:r>
        <w:rPr>
          <w:rFonts w:hint="eastAsia" w:ascii="宋体" w:hAnsi="宋体" w:cs="宋体"/>
          <w:sz w:val="24"/>
        </w:rPr>
        <w:t>成立时间：</w:t>
      </w:r>
      <w:r>
        <w:rPr>
          <w:rFonts w:hint="eastAsia" w:ascii="宋体" w:hAnsi="宋体" w:cs="宋体"/>
          <w:b/>
          <w:bCs/>
          <w:sz w:val="32"/>
          <w:szCs w:val="32"/>
          <w:u w:val="single"/>
        </w:rPr>
        <w:t xml:space="preserve">     </w:t>
      </w:r>
      <w:r>
        <w:rPr>
          <w:rFonts w:hint="eastAsia" w:ascii="宋体" w:hAnsi="宋体" w:cs="宋体"/>
          <w:sz w:val="24"/>
        </w:rPr>
        <w:t>年</w:t>
      </w:r>
      <w:r>
        <w:rPr>
          <w:rFonts w:hint="eastAsia" w:ascii="宋体" w:hAnsi="宋体" w:cs="宋体"/>
          <w:b/>
          <w:bCs/>
          <w:sz w:val="32"/>
          <w:szCs w:val="32"/>
          <w:u w:val="single"/>
        </w:rPr>
        <w:t xml:space="preserve">     </w:t>
      </w:r>
      <w:r>
        <w:rPr>
          <w:rFonts w:hint="eastAsia" w:ascii="宋体" w:hAnsi="宋体" w:cs="宋体"/>
          <w:sz w:val="24"/>
        </w:rPr>
        <w:t>月</w:t>
      </w:r>
      <w:r>
        <w:rPr>
          <w:rFonts w:hint="eastAsia" w:ascii="宋体" w:hAnsi="宋体" w:cs="宋体"/>
          <w:b/>
          <w:bCs/>
          <w:sz w:val="32"/>
          <w:szCs w:val="32"/>
          <w:u w:val="single"/>
        </w:rPr>
        <w:t xml:space="preserve">     </w:t>
      </w:r>
      <w:r>
        <w:rPr>
          <w:rFonts w:hint="eastAsia" w:ascii="宋体" w:hAnsi="宋体" w:cs="宋体"/>
          <w:sz w:val="24"/>
        </w:rPr>
        <w:t>日</w:t>
      </w:r>
    </w:p>
    <w:p w14:paraId="0B356A7A">
      <w:pPr>
        <w:keepNext w:val="0"/>
        <w:keepLines w:val="0"/>
        <w:pageBreakBefore w:val="0"/>
        <w:widowControl w:val="0"/>
        <w:kinsoku/>
        <w:wordWrap/>
        <w:overflowPunct/>
        <w:topLinePunct w:val="0"/>
        <w:autoSpaceDE/>
        <w:autoSpaceDN/>
        <w:bidi w:val="0"/>
        <w:adjustRightInd/>
        <w:snapToGrid w:val="0"/>
        <w:spacing w:line="360" w:lineRule="auto"/>
        <w:textAlignment w:val="auto"/>
        <w:rPr>
          <w:rFonts w:ascii="宋体"/>
          <w:sz w:val="24"/>
        </w:rPr>
      </w:pPr>
      <w:r>
        <w:rPr>
          <w:rFonts w:hint="eastAsia" w:ascii="宋体" w:hAnsi="宋体" w:cs="宋体"/>
          <w:sz w:val="24"/>
        </w:rPr>
        <w:t>经营期限：</w:t>
      </w:r>
      <w:r>
        <w:rPr>
          <w:rFonts w:hint="eastAsia" w:ascii="宋体" w:hAnsi="宋体" w:cs="宋体"/>
          <w:b/>
          <w:bCs/>
          <w:sz w:val="32"/>
          <w:szCs w:val="32"/>
          <w:u w:val="single"/>
        </w:rPr>
        <w:t xml:space="preserve">                                 </w:t>
      </w:r>
      <w:r>
        <w:rPr>
          <w:rFonts w:hint="eastAsia" w:ascii="宋体" w:hAnsi="宋体" w:cs="宋体"/>
          <w:sz w:val="24"/>
        </w:rPr>
        <w:t>；</w:t>
      </w:r>
    </w:p>
    <w:p w14:paraId="6F42140C">
      <w:pPr>
        <w:keepNext w:val="0"/>
        <w:keepLines w:val="0"/>
        <w:pageBreakBefore w:val="0"/>
        <w:widowControl w:val="0"/>
        <w:kinsoku/>
        <w:wordWrap/>
        <w:overflowPunct/>
        <w:topLinePunct w:val="0"/>
        <w:autoSpaceDE/>
        <w:autoSpaceDN/>
        <w:bidi w:val="0"/>
        <w:adjustRightInd/>
        <w:snapToGrid w:val="0"/>
        <w:spacing w:line="360" w:lineRule="auto"/>
        <w:textAlignment w:val="auto"/>
        <w:rPr>
          <w:rFonts w:ascii="宋体"/>
          <w:sz w:val="24"/>
        </w:rPr>
      </w:pPr>
      <w:r>
        <w:rPr>
          <w:rFonts w:hint="eastAsia" w:ascii="宋体" w:hAnsi="宋体" w:cs="宋体"/>
          <w:sz w:val="24"/>
        </w:rPr>
        <w:t>姓名：</w:t>
      </w:r>
      <w:r>
        <w:rPr>
          <w:rFonts w:hint="eastAsia" w:ascii="宋体" w:hAnsi="宋体" w:cs="宋体"/>
          <w:b/>
          <w:bCs/>
          <w:sz w:val="32"/>
          <w:szCs w:val="32"/>
          <w:u w:val="single"/>
        </w:rPr>
        <w:t xml:space="preserve">               </w:t>
      </w:r>
      <w:r>
        <w:rPr>
          <w:rFonts w:hint="eastAsia" w:ascii="宋体" w:hAnsi="宋体" w:cs="宋体"/>
          <w:sz w:val="24"/>
        </w:rPr>
        <w:t>性    别：</w:t>
      </w:r>
      <w:r>
        <w:rPr>
          <w:rFonts w:hint="eastAsia" w:ascii="宋体" w:hAnsi="宋体" w:cs="宋体"/>
          <w:b/>
          <w:bCs/>
          <w:sz w:val="32"/>
          <w:szCs w:val="32"/>
          <w:u w:val="single"/>
        </w:rPr>
        <w:t xml:space="preserve">               </w:t>
      </w:r>
      <w:r>
        <w:rPr>
          <w:rFonts w:hint="eastAsia" w:ascii="宋体" w:hAnsi="宋体" w:cs="宋体"/>
          <w:sz w:val="24"/>
        </w:rPr>
        <w:t>；</w:t>
      </w:r>
    </w:p>
    <w:p w14:paraId="4400995C">
      <w:pPr>
        <w:keepNext w:val="0"/>
        <w:keepLines w:val="0"/>
        <w:pageBreakBefore w:val="0"/>
        <w:widowControl w:val="0"/>
        <w:kinsoku/>
        <w:wordWrap/>
        <w:overflowPunct/>
        <w:topLinePunct w:val="0"/>
        <w:autoSpaceDE/>
        <w:autoSpaceDN/>
        <w:bidi w:val="0"/>
        <w:adjustRightInd/>
        <w:snapToGrid w:val="0"/>
        <w:spacing w:line="360" w:lineRule="auto"/>
        <w:textAlignment w:val="auto"/>
        <w:rPr>
          <w:rFonts w:ascii="宋体"/>
          <w:sz w:val="24"/>
        </w:rPr>
      </w:pPr>
      <w:r>
        <w:rPr>
          <w:rFonts w:hint="eastAsia" w:ascii="宋体" w:hAnsi="宋体" w:cs="宋体"/>
          <w:sz w:val="24"/>
        </w:rPr>
        <w:t>年龄：</w:t>
      </w:r>
      <w:r>
        <w:rPr>
          <w:rFonts w:hint="eastAsia" w:ascii="宋体" w:hAnsi="宋体" w:cs="宋体"/>
          <w:b/>
          <w:bCs/>
          <w:sz w:val="32"/>
          <w:szCs w:val="32"/>
          <w:u w:val="single"/>
        </w:rPr>
        <w:t xml:space="preserve">               </w:t>
      </w:r>
      <w:r>
        <w:rPr>
          <w:rFonts w:hint="eastAsia" w:ascii="宋体" w:hAnsi="宋体" w:cs="宋体"/>
          <w:sz w:val="24"/>
        </w:rPr>
        <w:t>身份证号：</w:t>
      </w:r>
      <w:r>
        <w:rPr>
          <w:rFonts w:hint="eastAsia" w:ascii="宋体" w:hAnsi="宋体" w:cs="宋体"/>
          <w:b/>
          <w:bCs/>
          <w:sz w:val="32"/>
          <w:szCs w:val="32"/>
          <w:u w:val="single"/>
        </w:rPr>
        <w:t xml:space="preserve">               </w:t>
      </w:r>
      <w:r>
        <w:rPr>
          <w:rFonts w:hint="eastAsia" w:ascii="宋体" w:hAnsi="宋体" w:cs="宋体"/>
          <w:sz w:val="24"/>
        </w:rPr>
        <w:t>；</w:t>
      </w:r>
    </w:p>
    <w:p w14:paraId="28F9AEB5">
      <w:pPr>
        <w:keepNext w:val="0"/>
        <w:keepLines w:val="0"/>
        <w:pageBreakBefore w:val="0"/>
        <w:widowControl w:val="0"/>
        <w:kinsoku/>
        <w:wordWrap/>
        <w:overflowPunct/>
        <w:topLinePunct w:val="0"/>
        <w:autoSpaceDE/>
        <w:autoSpaceDN/>
        <w:bidi w:val="0"/>
        <w:adjustRightInd/>
        <w:snapToGrid w:val="0"/>
        <w:spacing w:line="360" w:lineRule="auto"/>
        <w:textAlignment w:val="auto"/>
        <w:rPr>
          <w:rFonts w:ascii="宋体"/>
          <w:sz w:val="24"/>
        </w:rPr>
      </w:pPr>
      <w:r>
        <w:rPr>
          <w:rFonts w:hint="eastAsia" w:ascii="宋体" w:hAnsi="宋体" w:cs="宋体"/>
          <w:sz w:val="24"/>
        </w:rPr>
        <w:t>系（供应商名称）的法定代表人。</w:t>
      </w:r>
    </w:p>
    <w:p w14:paraId="425977DF">
      <w:pPr>
        <w:keepNext w:val="0"/>
        <w:keepLines w:val="0"/>
        <w:pageBreakBefore w:val="0"/>
        <w:widowControl w:val="0"/>
        <w:kinsoku/>
        <w:wordWrap/>
        <w:overflowPunct/>
        <w:topLinePunct w:val="0"/>
        <w:autoSpaceDE/>
        <w:autoSpaceDN/>
        <w:bidi w:val="0"/>
        <w:adjustRightInd/>
        <w:snapToGrid w:val="0"/>
        <w:spacing w:line="360" w:lineRule="auto"/>
        <w:textAlignment w:val="auto"/>
        <w:rPr>
          <w:rFonts w:ascii="宋体"/>
          <w:sz w:val="24"/>
        </w:rPr>
      </w:pPr>
      <w:r>
        <w:rPr>
          <w:rFonts w:hint="eastAsia" w:ascii="宋体" w:hAnsi="宋体" w:cs="宋体"/>
          <w:sz w:val="24"/>
        </w:rPr>
        <w:t>特此证明。</w:t>
      </w:r>
    </w:p>
    <w:p w14:paraId="7C0D961B">
      <w:pPr>
        <w:keepNext w:val="0"/>
        <w:keepLines w:val="0"/>
        <w:pageBreakBefore w:val="0"/>
        <w:widowControl w:val="0"/>
        <w:kinsoku/>
        <w:wordWrap/>
        <w:overflowPunct/>
        <w:topLinePunct w:val="0"/>
        <w:autoSpaceDE/>
        <w:autoSpaceDN/>
        <w:bidi w:val="0"/>
        <w:adjustRightInd/>
        <w:snapToGrid w:val="0"/>
        <w:spacing w:line="360" w:lineRule="auto"/>
        <w:textAlignment w:val="auto"/>
        <w:rPr>
          <w:rFonts w:ascii="宋体"/>
          <w:sz w:val="24"/>
        </w:rPr>
      </w:pPr>
    </w:p>
    <w:p w14:paraId="5E0C1981">
      <w:pPr>
        <w:keepNext w:val="0"/>
        <w:keepLines w:val="0"/>
        <w:pageBreakBefore w:val="0"/>
        <w:widowControl w:val="0"/>
        <w:kinsoku/>
        <w:wordWrap/>
        <w:overflowPunct/>
        <w:topLinePunct w:val="0"/>
        <w:autoSpaceDE/>
        <w:autoSpaceDN/>
        <w:bidi w:val="0"/>
        <w:adjustRightInd/>
        <w:snapToGrid w:val="0"/>
        <w:spacing w:line="360" w:lineRule="auto"/>
        <w:textAlignment w:val="auto"/>
        <w:rPr>
          <w:rFonts w:ascii="宋体"/>
          <w:sz w:val="24"/>
        </w:rPr>
      </w:pPr>
      <w:r>
        <w:rPr>
          <w:rFonts w:hint="eastAsia" w:ascii="宋体" w:hAnsi="宋体" w:cs="宋体"/>
          <w:sz w:val="24"/>
        </w:rPr>
        <w:t>（附法定代表人身份证复印件）</w:t>
      </w:r>
    </w:p>
    <w:p w14:paraId="2AD4504E">
      <w:pPr>
        <w:keepNext w:val="0"/>
        <w:keepLines w:val="0"/>
        <w:pageBreakBefore w:val="0"/>
        <w:widowControl w:val="0"/>
        <w:kinsoku/>
        <w:wordWrap/>
        <w:overflowPunct/>
        <w:topLinePunct w:val="0"/>
        <w:autoSpaceDE/>
        <w:autoSpaceDN/>
        <w:bidi w:val="0"/>
        <w:adjustRightInd/>
        <w:snapToGrid w:val="0"/>
        <w:spacing w:line="360" w:lineRule="auto"/>
        <w:textAlignment w:val="auto"/>
        <w:rPr>
          <w:rFonts w:ascii="宋体"/>
          <w:sz w:val="24"/>
        </w:rPr>
      </w:pPr>
    </w:p>
    <w:p w14:paraId="74567159">
      <w:pPr>
        <w:pStyle w:val="73"/>
        <w:keepNext w:val="0"/>
        <w:keepLines w:val="0"/>
        <w:pageBreakBefore w:val="0"/>
        <w:widowControl w:val="0"/>
        <w:kinsoku/>
        <w:wordWrap/>
        <w:overflowPunct/>
        <w:topLinePunct w:val="0"/>
        <w:autoSpaceDE/>
        <w:autoSpaceDN/>
        <w:bidi w:val="0"/>
        <w:adjustRightInd/>
        <w:snapToGrid w:val="0"/>
        <w:spacing w:line="360" w:lineRule="auto"/>
        <w:textAlignment w:val="auto"/>
      </w:pPr>
    </w:p>
    <w:p w14:paraId="74FC98E7">
      <w:pPr>
        <w:keepNext w:val="0"/>
        <w:keepLines w:val="0"/>
        <w:pageBreakBefore w:val="0"/>
        <w:widowControl w:val="0"/>
        <w:kinsoku/>
        <w:wordWrap/>
        <w:overflowPunct/>
        <w:topLinePunct w:val="0"/>
        <w:autoSpaceDE/>
        <w:autoSpaceDN/>
        <w:bidi w:val="0"/>
        <w:adjustRightInd/>
        <w:snapToGrid w:val="0"/>
        <w:spacing w:line="360" w:lineRule="auto"/>
        <w:jc w:val="right"/>
        <w:textAlignment w:val="auto"/>
        <w:rPr>
          <w:rFonts w:hint="eastAsia" w:ascii="宋体" w:hAnsi="宋体" w:cs="宋体"/>
          <w:sz w:val="24"/>
        </w:rPr>
      </w:pPr>
      <w:r>
        <w:rPr>
          <w:rFonts w:hint="eastAsia" w:ascii="宋体" w:hAnsi="宋体" w:cs="宋体"/>
          <w:sz w:val="24"/>
        </w:rPr>
        <w:t>供应商：（公章）</w:t>
      </w:r>
    </w:p>
    <w:p w14:paraId="43B5C75E">
      <w:pPr>
        <w:keepNext w:val="0"/>
        <w:keepLines w:val="0"/>
        <w:pageBreakBefore w:val="0"/>
        <w:widowControl w:val="0"/>
        <w:kinsoku/>
        <w:wordWrap/>
        <w:overflowPunct/>
        <w:topLinePunct w:val="0"/>
        <w:autoSpaceDE/>
        <w:autoSpaceDN/>
        <w:bidi w:val="0"/>
        <w:adjustRightInd/>
        <w:snapToGrid w:val="0"/>
        <w:spacing w:line="360" w:lineRule="auto"/>
        <w:jc w:val="right"/>
        <w:textAlignment w:val="auto"/>
        <w:rPr>
          <w:rFonts w:ascii="宋体" w:hAnsi="宋体"/>
          <w:b/>
          <w:sz w:val="24"/>
        </w:rPr>
      </w:pPr>
      <w:r>
        <w:rPr>
          <w:rFonts w:hint="eastAsia" w:ascii="宋体" w:hAnsi="宋体" w:cs="宋体"/>
          <w:sz w:val="24"/>
        </w:rPr>
        <w:t>年   月   日</w:t>
      </w:r>
    </w:p>
    <w:p w14:paraId="2CC59AC7">
      <w:pPr>
        <w:spacing w:line="360" w:lineRule="atLeast"/>
        <w:jc w:val="center"/>
        <w:rPr>
          <w:rFonts w:hint="eastAsia" w:ascii="宋体" w:hAnsi="宋体"/>
          <w:b/>
          <w:sz w:val="32"/>
          <w:szCs w:val="32"/>
        </w:rPr>
      </w:pPr>
    </w:p>
    <w:p w14:paraId="432A96BC">
      <w:r>
        <w:br w:type="page"/>
      </w:r>
    </w:p>
    <w:p w14:paraId="242D8B3C">
      <w:pPr>
        <w:pStyle w:val="3"/>
        <w:rPr>
          <w:sz w:val="32"/>
        </w:rPr>
      </w:pPr>
      <w:bookmarkStart w:id="17" w:name="_Toc162021012"/>
      <w:r>
        <w:rPr>
          <w:rFonts w:hint="eastAsia" w:eastAsia="宋体" w:cs="Times New Roman"/>
          <w:sz w:val="32"/>
          <w:lang w:val="en-US" w:eastAsia="zh-CN"/>
        </w:rPr>
        <w:t>四</w:t>
      </w:r>
      <w:r>
        <w:rPr>
          <w:rFonts w:hint="eastAsia" w:eastAsia="宋体" w:cs="Times New Roman"/>
          <w:sz w:val="32"/>
        </w:rPr>
        <w:t>、授</w:t>
      </w:r>
      <w:r>
        <w:rPr>
          <w:rFonts w:hint="eastAsia"/>
          <w:sz w:val="32"/>
        </w:rPr>
        <w:t>权委托书</w:t>
      </w:r>
      <w:bookmarkEnd w:id="17"/>
    </w:p>
    <w:p w14:paraId="65AF7F38">
      <w:pPr>
        <w:spacing w:line="360" w:lineRule="auto"/>
        <w:rPr>
          <w:rFonts w:ascii="宋体" w:hAnsi="宋体"/>
          <w:b/>
          <w:sz w:val="24"/>
        </w:rPr>
      </w:pPr>
      <w:r>
        <w:rPr>
          <w:rFonts w:hint="eastAsia" w:ascii="宋体" w:hAnsi="宋体"/>
          <w:b/>
          <w:sz w:val="24"/>
        </w:rPr>
        <w:t>致：</w:t>
      </w:r>
      <w:r>
        <w:rPr>
          <w:rFonts w:hint="eastAsia" w:ascii="宋体" w:hAnsi="宋体"/>
          <w:b/>
          <w:sz w:val="24"/>
          <w:lang w:eastAsia="zh-CN"/>
        </w:rPr>
        <w:t>西安市青龙寺遗址保管所</w:t>
      </w:r>
      <w:r>
        <w:rPr>
          <w:rFonts w:hint="eastAsia" w:ascii="宋体" w:hAnsi="宋体"/>
          <w:b/>
          <w:sz w:val="24"/>
        </w:rPr>
        <w:t>：</w:t>
      </w:r>
    </w:p>
    <w:p w14:paraId="310D9301">
      <w:pPr>
        <w:spacing w:line="420" w:lineRule="auto"/>
        <w:rPr>
          <w:rFonts w:ascii="宋体" w:hAnsi="宋体"/>
          <w:sz w:val="24"/>
        </w:rPr>
      </w:pPr>
      <w:r>
        <w:rPr>
          <w:rFonts w:hint="eastAsia" w:ascii="宋体" w:hAnsi="宋体"/>
          <w:sz w:val="24"/>
        </w:rPr>
        <w:t xml:space="preserve">    </w:t>
      </w:r>
      <w:r>
        <w:rPr>
          <w:rFonts w:hint="eastAsia" w:ascii="宋体" w:hAnsi="宋体"/>
          <w:sz w:val="24"/>
          <w:u w:val="single"/>
        </w:rPr>
        <w:t>注册于（工商行政管理局名称）</w:t>
      </w:r>
      <w:r>
        <w:rPr>
          <w:rFonts w:hint="eastAsia" w:ascii="宋体" w:hAnsi="宋体"/>
          <w:sz w:val="24"/>
        </w:rPr>
        <w:t>之</w:t>
      </w:r>
      <w:r>
        <w:rPr>
          <w:rFonts w:hint="eastAsia" w:ascii="宋体" w:hAnsi="宋体"/>
          <w:sz w:val="24"/>
          <w:u w:val="single"/>
        </w:rPr>
        <w:t>（供应商全称）（法定代表人姓名、职务）</w:t>
      </w:r>
      <w:r>
        <w:rPr>
          <w:rFonts w:hint="eastAsia" w:ascii="宋体" w:hAnsi="宋体"/>
          <w:sz w:val="24"/>
        </w:rPr>
        <w:t>授权</w:t>
      </w:r>
      <w:r>
        <w:rPr>
          <w:rFonts w:hint="eastAsia" w:ascii="宋体" w:hAnsi="宋体"/>
          <w:sz w:val="24"/>
          <w:u w:val="single"/>
        </w:rPr>
        <w:t>（被授权人姓名、职务）</w:t>
      </w:r>
      <w:r>
        <w:rPr>
          <w:rFonts w:hint="eastAsia" w:ascii="宋体" w:hAnsi="宋体"/>
          <w:sz w:val="24"/>
        </w:rPr>
        <w:t>为全权代表，参加贵公司组织的</w:t>
      </w:r>
      <w:r>
        <w:rPr>
          <w:rFonts w:hint="eastAsia" w:ascii="宋体" w:hAnsi="宋体"/>
          <w:sz w:val="24"/>
          <w:u w:val="single"/>
        </w:rPr>
        <w:t>（项目名称</w:t>
      </w:r>
      <w:r>
        <w:rPr>
          <w:rFonts w:ascii="宋体" w:hAnsi="宋体"/>
          <w:sz w:val="24"/>
          <w:u w:val="single"/>
        </w:rPr>
        <w:t>）</w:t>
      </w:r>
      <w:r>
        <w:rPr>
          <w:rFonts w:hint="eastAsia" w:ascii="宋体" w:hAnsi="宋体"/>
          <w:sz w:val="24"/>
          <w:u w:val="single"/>
        </w:rPr>
        <w:t xml:space="preserve">（项目编号：      </w:t>
      </w:r>
      <w:r>
        <w:rPr>
          <w:rFonts w:ascii="宋体" w:hAnsi="宋体"/>
          <w:sz w:val="24"/>
          <w:u w:val="single"/>
        </w:rPr>
        <w:t>）</w:t>
      </w:r>
      <w:r>
        <w:rPr>
          <w:rFonts w:hint="eastAsia" w:ascii="宋体" w:hAnsi="宋体"/>
          <w:sz w:val="24"/>
        </w:rPr>
        <w:t>磋商活动，全权办理该项目竞争性磋商活动中的一切事宜。我公司对被授权人的签名负全部责任。</w:t>
      </w:r>
    </w:p>
    <w:p w14:paraId="3D00920A">
      <w:pPr>
        <w:spacing w:line="420" w:lineRule="auto"/>
        <w:rPr>
          <w:sz w:val="24"/>
        </w:rPr>
      </w:pPr>
      <w:bookmarkStart w:id="18" w:name="_Toc6110"/>
      <w:bookmarkStart w:id="19" w:name="_Toc21894"/>
      <w:bookmarkStart w:id="20" w:name="_Toc25199"/>
      <w:r>
        <w:rPr>
          <w:rFonts w:hint="eastAsia"/>
          <w:sz w:val="24"/>
        </w:rPr>
        <w:t>法定代表人签字（或盖章）：                被授权人签字（或盖章）：</w:t>
      </w:r>
      <w:bookmarkEnd w:id="18"/>
      <w:bookmarkEnd w:id="19"/>
      <w:bookmarkEnd w:id="20"/>
    </w:p>
    <w:p w14:paraId="2B1B5878">
      <w:pPr>
        <w:spacing w:line="420" w:lineRule="auto"/>
      </w:pPr>
      <w:bookmarkStart w:id="21" w:name="_Toc27707"/>
      <w:bookmarkStart w:id="22" w:name="_Toc4094"/>
      <w:bookmarkStart w:id="23" w:name="_Toc30295"/>
      <w:r>
        <w:rPr>
          <w:rFonts w:hint="eastAsia"/>
          <w:sz w:val="24"/>
        </w:rPr>
        <w:t>身 份 证 号 ：                            身 份 证 号 ：</w:t>
      </w:r>
      <w:bookmarkEnd w:id="21"/>
      <w:bookmarkEnd w:id="22"/>
      <w:bookmarkEnd w:id="23"/>
      <w:bookmarkStart w:id="24" w:name="_Toc13019"/>
      <w:bookmarkStart w:id="25" w:name="_Toc12911"/>
      <w:bookmarkStart w:id="26" w:name="_Toc23546"/>
    </w:p>
    <w:p w14:paraId="1BECE6D8">
      <w:pPr>
        <w:spacing w:line="420" w:lineRule="auto"/>
      </w:pPr>
      <w:r>
        <w:rPr>
          <w:rFonts w:hint="eastAsia" w:ascii="宋体" w:hAnsi="宋体"/>
          <w:sz w:val="24"/>
        </w:rPr>
        <w:t>附：法人代表、被授权人身份证复印件。（二代身份证人像、国徽两面都需扫描）</w:t>
      </w:r>
      <w:bookmarkEnd w:id="24"/>
      <w:bookmarkEnd w:id="25"/>
      <w:bookmarkEnd w:id="26"/>
    </w:p>
    <w:tbl>
      <w:tblPr>
        <w:tblStyle w:val="30"/>
        <w:tblW w:w="0" w:type="auto"/>
        <w:tblInd w:w="-113" w:type="dxa"/>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fixed"/>
        <w:tblCellMar>
          <w:top w:w="0" w:type="dxa"/>
          <w:left w:w="108" w:type="dxa"/>
          <w:bottom w:w="0" w:type="dxa"/>
          <w:right w:w="108" w:type="dxa"/>
        </w:tblCellMar>
      </w:tblPr>
      <w:tblGrid>
        <w:gridCol w:w="4630"/>
        <w:gridCol w:w="4631"/>
      </w:tblGrid>
      <w:tr w14:paraId="39FBA92B">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1944" w:hRule="atLeast"/>
        </w:trPr>
        <w:tc>
          <w:tcPr>
            <w:tcW w:w="4630" w:type="dxa"/>
            <w:noWrap w:val="0"/>
            <w:vAlign w:val="center"/>
          </w:tcPr>
          <w:p w14:paraId="0B9E49CD">
            <w:pPr>
              <w:spacing w:line="360" w:lineRule="auto"/>
              <w:jc w:val="center"/>
              <w:outlineLvl w:val="0"/>
              <w:rPr>
                <w:rFonts w:ascii="宋体" w:hAnsi="宋体"/>
                <w:sz w:val="24"/>
              </w:rPr>
            </w:pPr>
            <w:bookmarkStart w:id="27" w:name="_Toc3685"/>
            <w:bookmarkStart w:id="28" w:name="_Toc162021013"/>
            <w:bookmarkStart w:id="29" w:name="_Toc119355456"/>
            <w:bookmarkStart w:id="30" w:name="_Toc5340"/>
            <w:bookmarkStart w:id="31" w:name="_Toc28599"/>
            <w:r>
              <w:rPr>
                <w:rFonts w:hint="eastAsia" w:ascii="宋体" w:hAnsi="宋体"/>
                <w:sz w:val="24"/>
              </w:rPr>
              <w:t>法定代表人身份证复印件</w:t>
            </w:r>
            <w:bookmarkEnd w:id="27"/>
            <w:bookmarkEnd w:id="28"/>
            <w:bookmarkEnd w:id="29"/>
            <w:bookmarkEnd w:id="30"/>
            <w:bookmarkEnd w:id="31"/>
          </w:p>
          <w:p w14:paraId="2BE66350">
            <w:pPr>
              <w:spacing w:line="360" w:lineRule="auto"/>
              <w:jc w:val="center"/>
              <w:outlineLvl w:val="0"/>
              <w:rPr>
                <w:rFonts w:ascii="宋体" w:hAnsi="宋体"/>
                <w:sz w:val="24"/>
              </w:rPr>
            </w:pPr>
            <w:bookmarkStart w:id="32" w:name="_Toc19008"/>
            <w:bookmarkStart w:id="33" w:name="_Toc6104"/>
            <w:bookmarkStart w:id="34" w:name="_Toc119355457"/>
            <w:bookmarkStart w:id="35" w:name="_Toc162021014"/>
            <w:bookmarkStart w:id="36" w:name="_Toc28325"/>
            <w:r>
              <w:rPr>
                <w:rFonts w:hint="eastAsia" w:ascii="宋体" w:hAnsi="宋体"/>
                <w:sz w:val="24"/>
              </w:rPr>
              <w:t>（人像面）</w:t>
            </w:r>
            <w:bookmarkEnd w:id="32"/>
            <w:bookmarkEnd w:id="33"/>
            <w:bookmarkEnd w:id="34"/>
            <w:bookmarkEnd w:id="35"/>
            <w:bookmarkEnd w:id="36"/>
          </w:p>
        </w:tc>
        <w:tc>
          <w:tcPr>
            <w:tcW w:w="4631" w:type="dxa"/>
            <w:noWrap w:val="0"/>
            <w:vAlign w:val="center"/>
          </w:tcPr>
          <w:p w14:paraId="060F1410">
            <w:pPr>
              <w:spacing w:line="360" w:lineRule="auto"/>
              <w:jc w:val="center"/>
              <w:outlineLvl w:val="0"/>
              <w:rPr>
                <w:rFonts w:ascii="宋体" w:hAnsi="宋体"/>
                <w:sz w:val="24"/>
              </w:rPr>
            </w:pPr>
            <w:bookmarkStart w:id="37" w:name="_Toc15752"/>
            <w:bookmarkStart w:id="38" w:name="_Toc3668"/>
            <w:bookmarkStart w:id="39" w:name="_Toc162021015"/>
            <w:bookmarkStart w:id="40" w:name="_Toc11768"/>
            <w:bookmarkStart w:id="41" w:name="_Toc119355458"/>
            <w:r>
              <w:rPr>
                <w:rFonts w:hint="eastAsia" w:ascii="宋体" w:hAnsi="宋体"/>
                <w:sz w:val="24"/>
              </w:rPr>
              <w:t>被授权人身份证复印件</w:t>
            </w:r>
            <w:bookmarkEnd w:id="37"/>
            <w:bookmarkEnd w:id="38"/>
            <w:bookmarkEnd w:id="39"/>
            <w:bookmarkEnd w:id="40"/>
            <w:bookmarkEnd w:id="41"/>
          </w:p>
          <w:p w14:paraId="072D0351">
            <w:pPr>
              <w:spacing w:line="360" w:lineRule="auto"/>
              <w:jc w:val="center"/>
              <w:outlineLvl w:val="0"/>
              <w:rPr>
                <w:rFonts w:ascii="宋体" w:hAnsi="宋体"/>
                <w:sz w:val="24"/>
              </w:rPr>
            </w:pPr>
            <w:bookmarkStart w:id="42" w:name="_Toc24026"/>
            <w:bookmarkStart w:id="43" w:name="_Toc119355459"/>
            <w:bookmarkStart w:id="44" w:name="_Toc162021016"/>
            <w:bookmarkStart w:id="45" w:name="_Toc26"/>
            <w:bookmarkStart w:id="46" w:name="_Toc18494"/>
            <w:r>
              <w:rPr>
                <w:rFonts w:hint="eastAsia" w:ascii="宋体" w:hAnsi="宋体"/>
                <w:sz w:val="24"/>
              </w:rPr>
              <w:t>（人像面）</w:t>
            </w:r>
            <w:bookmarkEnd w:id="42"/>
            <w:bookmarkEnd w:id="43"/>
            <w:bookmarkEnd w:id="44"/>
            <w:bookmarkEnd w:id="45"/>
            <w:bookmarkEnd w:id="46"/>
          </w:p>
        </w:tc>
      </w:tr>
      <w:tr w14:paraId="0EE9CE07">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1956" w:hRule="atLeast"/>
        </w:trPr>
        <w:tc>
          <w:tcPr>
            <w:tcW w:w="4630" w:type="dxa"/>
            <w:noWrap w:val="0"/>
            <w:vAlign w:val="center"/>
          </w:tcPr>
          <w:p w14:paraId="1662EB0D">
            <w:pPr>
              <w:spacing w:line="360" w:lineRule="auto"/>
              <w:jc w:val="center"/>
              <w:outlineLvl w:val="0"/>
              <w:rPr>
                <w:rFonts w:ascii="宋体" w:hAnsi="宋体"/>
                <w:sz w:val="24"/>
              </w:rPr>
            </w:pPr>
            <w:bookmarkStart w:id="47" w:name="_Toc119355460"/>
            <w:bookmarkStart w:id="48" w:name="_Toc162021017"/>
            <w:bookmarkStart w:id="49" w:name="_Toc12518"/>
            <w:bookmarkStart w:id="50" w:name="_Toc17537"/>
            <w:bookmarkStart w:id="51" w:name="_Toc2144"/>
            <w:r>
              <w:rPr>
                <w:rFonts w:hint="eastAsia" w:ascii="宋体" w:hAnsi="宋体"/>
                <w:sz w:val="24"/>
              </w:rPr>
              <w:t>法定代表人身份证复印件</w:t>
            </w:r>
            <w:bookmarkEnd w:id="47"/>
            <w:bookmarkEnd w:id="48"/>
            <w:bookmarkEnd w:id="49"/>
            <w:bookmarkEnd w:id="50"/>
            <w:bookmarkEnd w:id="51"/>
          </w:p>
          <w:p w14:paraId="4821512E">
            <w:pPr>
              <w:spacing w:line="360" w:lineRule="auto"/>
              <w:jc w:val="center"/>
              <w:outlineLvl w:val="0"/>
              <w:rPr>
                <w:rFonts w:ascii="宋体" w:hAnsi="宋体"/>
                <w:sz w:val="24"/>
              </w:rPr>
            </w:pPr>
            <w:bookmarkStart w:id="52" w:name="_Toc32507"/>
            <w:bookmarkStart w:id="53" w:name="_Toc19180"/>
            <w:bookmarkStart w:id="54" w:name="_Toc119355461"/>
            <w:bookmarkStart w:id="55" w:name="_Toc162021018"/>
            <w:bookmarkStart w:id="56" w:name="_Toc23649"/>
            <w:r>
              <w:rPr>
                <w:rFonts w:hint="eastAsia" w:ascii="宋体" w:hAnsi="宋体"/>
                <w:sz w:val="24"/>
              </w:rPr>
              <w:t>（国徽面）</w:t>
            </w:r>
            <w:bookmarkEnd w:id="52"/>
            <w:bookmarkEnd w:id="53"/>
            <w:bookmarkEnd w:id="54"/>
            <w:bookmarkEnd w:id="55"/>
            <w:bookmarkEnd w:id="56"/>
          </w:p>
        </w:tc>
        <w:tc>
          <w:tcPr>
            <w:tcW w:w="4631" w:type="dxa"/>
            <w:noWrap w:val="0"/>
            <w:vAlign w:val="center"/>
          </w:tcPr>
          <w:p w14:paraId="6BF3EB45">
            <w:pPr>
              <w:spacing w:line="360" w:lineRule="auto"/>
              <w:jc w:val="center"/>
              <w:outlineLvl w:val="0"/>
              <w:rPr>
                <w:rFonts w:ascii="宋体" w:hAnsi="宋体"/>
                <w:sz w:val="24"/>
              </w:rPr>
            </w:pPr>
            <w:bookmarkStart w:id="57" w:name="_Toc30154"/>
            <w:bookmarkStart w:id="58" w:name="_Toc162021019"/>
            <w:bookmarkStart w:id="59" w:name="_Toc2712"/>
            <w:bookmarkStart w:id="60" w:name="_Toc3769"/>
            <w:bookmarkStart w:id="61" w:name="_Toc119355462"/>
            <w:r>
              <w:rPr>
                <w:rFonts w:hint="eastAsia" w:ascii="宋体" w:hAnsi="宋体"/>
                <w:sz w:val="24"/>
              </w:rPr>
              <w:t>被授权人身份证复印件</w:t>
            </w:r>
            <w:bookmarkEnd w:id="57"/>
            <w:bookmarkEnd w:id="58"/>
            <w:bookmarkEnd w:id="59"/>
            <w:bookmarkEnd w:id="60"/>
            <w:bookmarkEnd w:id="61"/>
          </w:p>
          <w:p w14:paraId="100E9543">
            <w:pPr>
              <w:spacing w:line="360" w:lineRule="auto"/>
              <w:jc w:val="center"/>
              <w:outlineLvl w:val="0"/>
              <w:rPr>
                <w:rFonts w:ascii="宋体" w:hAnsi="宋体"/>
                <w:sz w:val="24"/>
              </w:rPr>
            </w:pPr>
            <w:bookmarkStart w:id="62" w:name="_Toc27122"/>
            <w:bookmarkStart w:id="63" w:name="_Toc105"/>
            <w:bookmarkStart w:id="64" w:name="_Toc162021020"/>
            <w:bookmarkStart w:id="65" w:name="_Toc119355463"/>
            <w:bookmarkStart w:id="66" w:name="_Toc13066"/>
            <w:r>
              <w:rPr>
                <w:rFonts w:hint="eastAsia" w:ascii="宋体" w:hAnsi="宋体"/>
                <w:sz w:val="24"/>
              </w:rPr>
              <w:t>（国徽面）</w:t>
            </w:r>
            <w:bookmarkEnd w:id="62"/>
            <w:bookmarkEnd w:id="63"/>
            <w:bookmarkEnd w:id="64"/>
            <w:bookmarkEnd w:id="65"/>
            <w:bookmarkEnd w:id="66"/>
          </w:p>
        </w:tc>
      </w:tr>
    </w:tbl>
    <w:p w14:paraId="2E85CFDB">
      <w:pPr>
        <w:rPr>
          <w:sz w:val="24"/>
        </w:rPr>
      </w:pPr>
      <w:bookmarkStart w:id="67" w:name="_Toc1969"/>
      <w:bookmarkStart w:id="68" w:name="_Toc24617"/>
      <w:bookmarkStart w:id="69" w:name="_Toc8436"/>
    </w:p>
    <w:p w14:paraId="38BF59F9">
      <w:r>
        <w:rPr>
          <w:rFonts w:hint="eastAsia"/>
          <w:sz w:val="24"/>
        </w:rPr>
        <w:t>本授权的有效期为</w:t>
      </w:r>
      <w:bookmarkEnd w:id="67"/>
      <w:bookmarkEnd w:id="68"/>
      <w:bookmarkEnd w:id="69"/>
      <w:r>
        <w:rPr>
          <w:rFonts w:hint="eastAsia"/>
          <w:sz w:val="24"/>
        </w:rPr>
        <w:t>自委托之日起至合同签订之日止。</w:t>
      </w:r>
    </w:p>
    <w:p w14:paraId="627F2631"/>
    <w:p w14:paraId="01059C74"/>
    <w:p w14:paraId="12EC25C7">
      <w:pPr>
        <w:pStyle w:val="73"/>
        <w:jc w:val="right"/>
        <w:rPr>
          <w:rFonts w:hint="eastAsia"/>
          <w:sz w:val="24"/>
          <w:szCs w:val="24"/>
        </w:rPr>
      </w:pPr>
    </w:p>
    <w:p w14:paraId="631577D9">
      <w:pPr>
        <w:jc w:val="right"/>
      </w:pPr>
      <w:bookmarkStart w:id="70" w:name="_Toc7099"/>
      <w:bookmarkStart w:id="71" w:name="_Toc921"/>
      <w:bookmarkStart w:id="72" w:name="_Toc21177"/>
      <w:r>
        <w:rPr>
          <w:rFonts w:hint="eastAsia"/>
          <w:sz w:val="24"/>
        </w:rPr>
        <w:t>供应商：（公章）</w:t>
      </w:r>
      <w:bookmarkEnd w:id="70"/>
      <w:bookmarkEnd w:id="71"/>
      <w:bookmarkEnd w:id="72"/>
    </w:p>
    <w:p w14:paraId="28CF2866">
      <w:pPr>
        <w:spacing w:line="480" w:lineRule="auto"/>
        <w:ind w:firstLine="720" w:firstLineChars="300"/>
        <w:jc w:val="right"/>
        <w:rPr>
          <w:rFonts w:ascii="宋体" w:hAnsi="宋体"/>
          <w:sz w:val="24"/>
        </w:rPr>
      </w:pPr>
      <w:r>
        <w:rPr>
          <w:rFonts w:hint="eastAsia" w:ascii="宋体" w:hAnsi="宋体"/>
          <w:sz w:val="24"/>
        </w:rPr>
        <w:t xml:space="preserve">                                    年  月  日</w:t>
      </w:r>
    </w:p>
    <w:p w14:paraId="0F20846E">
      <w:pPr>
        <w:pStyle w:val="3"/>
        <w:rPr>
          <w:sz w:val="32"/>
        </w:rPr>
      </w:pPr>
      <w:r>
        <w:br w:type="page"/>
      </w:r>
      <w:bookmarkStart w:id="73" w:name="_Toc162021021"/>
      <w:r>
        <w:rPr>
          <w:rFonts w:hint="eastAsia"/>
          <w:sz w:val="32"/>
          <w:lang w:val="en-US" w:eastAsia="zh-CN"/>
        </w:rPr>
        <w:t>五</w:t>
      </w:r>
      <w:r>
        <w:rPr>
          <w:rFonts w:hint="eastAsia"/>
          <w:sz w:val="32"/>
        </w:rPr>
        <w:t>、供应商资格条件证明文件</w:t>
      </w:r>
      <w:bookmarkEnd w:id="73"/>
    </w:p>
    <w:p w14:paraId="62A99CBC">
      <w:pPr>
        <w:spacing w:line="360" w:lineRule="auto"/>
        <w:rPr>
          <w:rFonts w:ascii="宋体" w:hAnsi="宋体"/>
          <w:b/>
          <w:bCs/>
          <w:sz w:val="24"/>
        </w:rPr>
      </w:pPr>
      <w:r>
        <w:rPr>
          <w:rFonts w:hint="eastAsia" w:ascii="宋体" w:hAnsi="宋体"/>
          <w:b/>
          <w:bCs/>
          <w:sz w:val="24"/>
        </w:rPr>
        <w:t>（以下相关资料加盖公章的复印件附于磋商响应文件中）：</w:t>
      </w:r>
    </w:p>
    <w:p w14:paraId="22C9A457">
      <w:pPr>
        <w:pStyle w:val="16"/>
        <w:spacing w:line="440" w:lineRule="exact"/>
        <w:jc w:val="left"/>
        <w:rPr>
          <w:rFonts w:hint="eastAsia" w:hAnsi="宋体"/>
          <w:sz w:val="24"/>
          <w:szCs w:val="24"/>
        </w:rPr>
      </w:pPr>
      <w:r>
        <w:rPr>
          <w:rFonts w:hint="eastAsia" w:hAnsi="宋体"/>
          <w:sz w:val="24"/>
          <w:szCs w:val="24"/>
        </w:rPr>
        <w:t>1.满足《中华人民共和国政府采购法》第二十二条规定</w:t>
      </w:r>
    </w:p>
    <w:p w14:paraId="0BA14949">
      <w:pPr>
        <w:pStyle w:val="16"/>
        <w:spacing w:line="440" w:lineRule="exact"/>
        <w:jc w:val="left"/>
        <w:rPr>
          <w:rFonts w:hint="eastAsia" w:hAnsi="宋体"/>
          <w:sz w:val="24"/>
          <w:szCs w:val="24"/>
        </w:rPr>
      </w:pPr>
      <w:r>
        <w:rPr>
          <w:rFonts w:hint="eastAsia" w:hAnsi="宋体"/>
          <w:sz w:val="24"/>
          <w:szCs w:val="24"/>
        </w:rPr>
        <w:t>2.本项目的特定资格要求：</w:t>
      </w:r>
    </w:p>
    <w:p w14:paraId="15A05FD5">
      <w:pPr>
        <w:pStyle w:val="16"/>
        <w:spacing w:line="440" w:lineRule="exact"/>
        <w:ind w:firstLine="480" w:firstLineChars="200"/>
        <w:jc w:val="lef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（1）营业执照：供应商须具有独立承担民事责任能力的法人、其他组织或自然人，并出具合法有效的营业执照或事业单位法人证书等国家规定的相关证明，自然人参与的提供其身份证明；</w:t>
      </w:r>
    </w:p>
    <w:p w14:paraId="5F9973A4">
      <w:pPr>
        <w:pStyle w:val="16"/>
        <w:spacing w:line="440" w:lineRule="exact"/>
        <w:ind w:firstLine="480" w:firstLineChars="200"/>
        <w:jc w:val="lef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2）财务状况报告：供应商须提供2025年度的财务审计报告（至少包括资产负债表、利润表、现金流量表，成立时间至提交磋商响应文件截止时间不足一年的可提供成立后任意时段的资产负债表、利润表、现金流量表），或其基本存款账户开户银行出具的资信证明及基本存款账户开户许可证（或存款信息）；</w:t>
      </w:r>
    </w:p>
    <w:p w14:paraId="1431008E">
      <w:pPr>
        <w:pStyle w:val="16"/>
        <w:spacing w:line="440" w:lineRule="exact"/>
        <w:ind w:firstLine="480" w:firstLineChars="200"/>
        <w:jc w:val="lef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（3）税收缴纳证明：供应商须提供磋商截止日前六个月已缴纳的至少一个月的纳税证明或完税证明，依法免税的单位应提供相关证明材料；</w:t>
      </w:r>
    </w:p>
    <w:p w14:paraId="0C53AF6A">
      <w:pPr>
        <w:pStyle w:val="16"/>
        <w:spacing w:line="440" w:lineRule="exact"/>
        <w:ind w:firstLine="480" w:firstLineChars="200"/>
        <w:jc w:val="lef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4）社会保障资金缴纳证明：供应商须提供磋商截止日前六个月已缴纳的至少一个月的社会保障资金缴存单据或社保机构开具的社会保险参保缴费情况证明，依法不需要缴纳社会保障资金的单位应提供相关证明材料；</w:t>
      </w:r>
    </w:p>
    <w:p w14:paraId="14916A1A">
      <w:pPr>
        <w:pStyle w:val="16"/>
        <w:spacing w:line="440" w:lineRule="exact"/>
        <w:ind w:firstLine="480" w:firstLineChars="200"/>
        <w:jc w:val="lef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5）供应商信誉要求：供应商不得为“信用中国”网站（www.creditchina.gov.cn）中列入重大税收违法失信主体的供应商，不得为“中国执行信息公开网”（http://zxgk.court.gov.cn）网站被列为失信被执行人，不得为“中国政府采购网”（www.ccgp.gov.cn）政府采购严重违法失信行为记录名单中被财政部门禁止参加政府采购活动的供应商（提供相关网站查询截图或承诺书）；</w:t>
      </w:r>
    </w:p>
    <w:p w14:paraId="45096B26">
      <w:pPr>
        <w:pStyle w:val="16"/>
        <w:spacing w:line="440" w:lineRule="exact"/>
        <w:ind w:firstLine="480" w:firstLineChars="200"/>
        <w:jc w:val="lef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（6）关联关系：单位负责人为同一人或者存在直接控股、管理关系的不同供应商，不得参加同一合同项下的政府采购活动（提供承诺书）；</w:t>
      </w:r>
    </w:p>
    <w:p w14:paraId="39B42601">
      <w:pPr>
        <w:pStyle w:val="16"/>
        <w:spacing w:line="440" w:lineRule="exact"/>
        <w:ind w:firstLine="480" w:firstLineChars="200"/>
        <w:jc w:val="lef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（7）书面声明：供应商参加政府采购活动前三年内，在经营活动中没有重大违法记录的书面声明（提供承诺书）；</w:t>
      </w:r>
    </w:p>
    <w:p w14:paraId="528FE31D">
      <w:pPr>
        <w:pStyle w:val="16"/>
        <w:spacing w:line="440" w:lineRule="exact"/>
        <w:ind w:firstLine="480" w:firstLineChars="200"/>
        <w:jc w:val="lef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（8）承诺书：供应商须提供具有履行合同所必需的设备和专业技术能力的承诺（提供承诺书）</w:t>
      </w:r>
    </w:p>
    <w:p w14:paraId="7FB93057">
      <w:pPr>
        <w:pStyle w:val="16"/>
        <w:spacing w:line="440" w:lineRule="exact"/>
        <w:ind w:firstLine="480" w:firstLineChars="200"/>
        <w:jc w:val="lef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（9）非联合体承诺书：本项目不接受联合体磋商（提供承诺书）。</w:t>
      </w:r>
    </w:p>
    <w:p w14:paraId="5E0E6761">
      <w:pPr>
        <w:spacing w:line="360" w:lineRule="auto"/>
        <w:rPr>
          <w:rFonts w:hint="eastAsia" w:ascii="宋体" w:hAnsi="宋体" w:cs="宋体"/>
          <w:b/>
          <w:sz w:val="24"/>
        </w:rPr>
      </w:pPr>
    </w:p>
    <w:p w14:paraId="05770566">
      <w:pPr>
        <w:autoSpaceDE w:val="0"/>
        <w:autoSpaceDN w:val="0"/>
        <w:adjustRightInd w:val="0"/>
        <w:spacing w:line="360" w:lineRule="auto"/>
        <w:jc w:val="center"/>
        <w:textAlignment w:val="baseline"/>
        <w:rPr>
          <w:rFonts w:hint="eastAsia" w:ascii="宋体" w:hAnsi="宋体" w:cs="宋体"/>
          <w:b/>
          <w:spacing w:val="-6"/>
          <w:kern w:val="0"/>
          <w:sz w:val="28"/>
          <w:szCs w:val="28"/>
          <w:lang w:val="zh-CN"/>
        </w:rPr>
      </w:pPr>
      <w:r>
        <w:rPr>
          <w:rFonts w:ascii="宋体" w:hAnsi="宋体" w:cs="宋体"/>
          <w:sz w:val="24"/>
        </w:rPr>
        <w:br w:type="page"/>
      </w:r>
      <w:r>
        <w:rPr>
          <w:rFonts w:hint="eastAsia" w:ascii="宋体" w:hAnsi="宋体" w:cs="宋体"/>
          <w:b/>
          <w:kern w:val="0"/>
          <w:sz w:val="30"/>
          <w:szCs w:val="30"/>
        </w:rPr>
        <w:t>基本资格条件承诺函</w:t>
      </w:r>
    </w:p>
    <w:p w14:paraId="6E215C61">
      <w:pPr>
        <w:widowControl/>
        <w:adjustRightInd w:val="0"/>
        <w:spacing w:line="360" w:lineRule="auto"/>
        <w:jc w:val="left"/>
        <w:rPr>
          <w:rFonts w:ascii="宋体" w:hAnsi="宋体" w:cs="仿宋_GB2312"/>
          <w:sz w:val="24"/>
        </w:rPr>
      </w:pPr>
      <w:r>
        <w:rPr>
          <w:rFonts w:hint="eastAsia" w:ascii="宋体" w:hAnsi="宋体" w:cs="仿宋_GB2312"/>
          <w:color w:val="000000"/>
          <w:kern w:val="0"/>
          <w:sz w:val="24"/>
          <w:lang w:bidi="ar"/>
        </w:rPr>
        <w:t>致</w:t>
      </w:r>
      <w:r>
        <w:rPr>
          <w:rFonts w:hint="eastAsia" w:ascii="宋体" w:hAnsi="宋体" w:cs="仿宋_GB2312"/>
          <w:color w:val="000000"/>
          <w:kern w:val="0"/>
          <w:sz w:val="24"/>
          <w:lang w:eastAsia="zh-CN" w:bidi="ar"/>
        </w:rPr>
        <w:t>西安市青龙寺遗址保管所</w:t>
      </w:r>
      <w:r>
        <w:rPr>
          <w:rFonts w:hint="eastAsia" w:ascii="宋体" w:hAnsi="宋体" w:cs="仿宋_GB2312"/>
          <w:color w:val="000000"/>
          <w:kern w:val="0"/>
          <w:sz w:val="24"/>
          <w:lang w:bidi="ar"/>
        </w:rPr>
        <w:t>：</w:t>
      </w:r>
    </w:p>
    <w:p w14:paraId="29D1E1DC">
      <w:pPr>
        <w:widowControl/>
        <w:adjustRightInd w:val="0"/>
        <w:spacing w:line="360" w:lineRule="auto"/>
        <w:jc w:val="left"/>
        <w:rPr>
          <w:rFonts w:ascii="宋体" w:hAnsi="宋体" w:cs="仿宋_GB2312"/>
          <w:sz w:val="24"/>
        </w:rPr>
      </w:pPr>
      <w:r>
        <w:rPr>
          <w:rFonts w:hint="eastAsia" w:ascii="宋体" w:hAnsi="宋体" w:cs="仿宋_GB2312"/>
          <w:color w:val="000000"/>
          <w:kern w:val="0"/>
          <w:sz w:val="24"/>
          <w:u w:val="single"/>
          <w:lang w:bidi="ar"/>
        </w:rPr>
        <w:t xml:space="preserve">                 </w:t>
      </w:r>
      <w:r>
        <w:rPr>
          <w:rFonts w:hint="eastAsia" w:ascii="宋体" w:hAnsi="宋体" w:cs="仿宋_GB2312"/>
          <w:color w:val="000000"/>
          <w:kern w:val="0"/>
          <w:sz w:val="24"/>
          <w:lang w:bidi="ar"/>
        </w:rPr>
        <w:t>（</w:t>
      </w:r>
      <w:r>
        <w:rPr>
          <w:rFonts w:hint="eastAsia" w:ascii="宋体" w:hAnsi="宋体" w:cs="Tahoma"/>
          <w:kern w:val="0"/>
          <w:sz w:val="24"/>
        </w:rPr>
        <w:t>供应商</w:t>
      </w:r>
      <w:r>
        <w:rPr>
          <w:rFonts w:hint="eastAsia" w:ascii="宋体" w:hAnsi="宋体" w:cs="仿宋_GB2312"/>
          <w:color w:val="000000"/>
          <w:kern w:val="0"/>
          <w:sz w:val="24"/>
          <w:lang w:bidi="ar"/>
        </w:rPr>
        <w:t xml:space="preserve">名称）郑重承诺： </w:t>
      </w:r>
    </w:p>
    <w:p w14:paraId="3EEB88F2">
      <w:pPr>
        <w:widowControl/>
        <w:adjustRightInd w:val="0"/>
        <w:spacing w:line="360" w:lineRule="auto"/>
        <w:ind w:firstLine="480" w:firstLineChars="200"/>
        <w:jc w:val="left"/>
        <w:rPr>
          <w:rFonts w:ascii="宋体" w:hAnsi="宋体" w:cs="仿宋_GB2312"/>
          <w:sz w:val="24"/>
        </w:rPr>
      </w:pPr>
      <w:r>
        <w:rPr>
          <w:rFonts w:hint="eastAsia" w:ascii="宋体" w:hAnsi="宋体" w:cs="仿宋_GB2312"/>
          <w:color w:val="000000"/>
          <w:kern w:val="0"/>
          <w:sz w:val="24"/>
          <w:lang w:bidi="ar"/>
        </w:rPr>
        <w:t>1.我方具有良好的商业信誉和健全的财务会计制度，具有履行合同所必需的设备和专业技术能力，具有依法缴纳税收和社会保障金的良好记录。</w:t>
      </w:r>
    </w:p>
    <w:p w14:paraId="0FB9A162">
      <w:pPr>
        <w:widowControl/>
        <w:adjustRightInd w:val="0"/>
        <w:spacing w:line="360" w:lineRule="auto"/>
        <w:ind w:firstLine="480" w:firstLineChars="200"/>
        <w:jc w:val="left"/>
        <w:rPr>
          <w:rFonts w:hint="eastAsia" w:ascii="宋体" w:hAnsi="宋体" w:cs="仿宋_GB2312"/>
          <w:color w:val="000000"/>
          <w:kern w:val="0"/>
          <w:sz w:val="24"/>
          <w:lang w:bidi="ar"/>
        </w:rPr>
      </w:pPr>
      <w:r>
        <w:rPr>
          <w:rFonts w:hint="eastAsia" w:ascii="宋体" w:hAnsi="宋体" w:cs="仿宋_GB2312"/>
          <w:color w:val="000000"/>
          <w:kern w:val="0"/>
          <w:sz w:val="24"/>
          <w:lang w:bidi="ar"/>
        </w:rPr>
        <w:t>2.我方未</w:t>
      </w:r>
      <w:r>
        <w:rPr>
          <w:rFonts w:hint="eastAsia" w:ascii="宋体" w:hAnsi="宋体" w:cs="仿宋_GB2312"/>
          <w:color w:val="000000"/>
          <w:kern w:val="0"/>
          <w:sz w:val="24"/>
          <w:lang w:eastAsia="zh-CN" w:bidi="ar"/>
        </w:rPr>
        <w:t>被</w:t>
      </w:r>
      <w:r>
        <w:rPr>
          <w:rFonts w:hint="eastAsia" w:asciiTheme="minorEastAsia" w:hAnsiTheme="minorEastAsia" w:eastAsiaTheme="minorEastAsia" w:cstheme="minorEastAsia"/>
          <w:b w:val="0"/>
          <w:bCs w:val="0"/>
          <w:color w:val="auto"/>
          <w:sz w:val="24"/>
          <w:szCs w:val="24"/>
          <w:highlight w:val="none"/>
          <w:lang w:val="en-US" w:eastAsia="zh-CN"/>
        </w:rPr>
        <w:t>“信用中国”网站（www.creditchina.gov.cn）中列入重大税收违法失信主体的供应商，未被“中国执行信息公开网”（http://zxgk.court.gov.cn）网站被列为失信被执行人，未被列入“中国政府采购网”（www.ccgp.gov.cn）政府采购严重违法失信行为记录名单，未被财政部门禁止参加政府采购活动</w:t>
      </w:r>
      <w:r>
        <w:rPr>
          <w:rFonts w:hint="eastAsia" w:ascii="宋体" w:hAnsi="宋体" w:cs="仿宋_GB2312"/>
          <w:color w:val="000000"/>
          <w:kern w:val="0"/>
          <w:sz w:val="24"/>
          <w:lang w:bidi="ar"/>
        </w:rPr>
        <w:t>。</w:t>
      </w:r>
    </w:p>
    <w:p w14:paraId="3AB0BDCA">
      <w:pPr>
        <w:widowControl/>
        <w:adjustRightInd w:val="0"/>
        <w:spacing w:line="360" w:lineRule="auto"/>
        <w:ind w:firstLine="480" w:firstLineChars="200"/>
        <w:jc w:val="left"/>
        <w:rPr>
          <w:rFonts w:hint="eastAsia" w:ascii="宋体" w:hAnsi="宋体" w:cs="仿宋_GB2312"/>
          <w:color w:val="000000"/>
          <w:kern w:val="0"/>
          <w:sz w:val="24"/>
          <w:lang w:eastAsia="zh-CN" w:bidi="ar"/>
        </w:rPr>
      </w:pPr>
      <w:r>
        <w:rPr>
          <w:rFonts w:hint="eastAsia" w:ascii="宋体" w:hAnsi="宋体" w:cs="仿宋_GB2312"/>
          <w:color w:val="000000"/>
          <w:kern w:val="0"/>
          <w:sz w:val="24"/>
          <w:lang w:val="en-US" w:eastAsia="zh-CN" w:bidi="ar"/>
        </w:rPr>
        <w:t>3.我</w:t>
      </w:r>
      <w:r>
        <w:rPr>
          <w:rFonts w:hint="eastAsia" w:asciiTheme="minorEastAsia" w:hAnsiTheme="minorEastAsia" w:eastAsiaTheme="minorEastAsia" w:cstheme="minorEastAsia"/>
          <w:b w:val="0"/>
          <w:bCs w:val="0"/>
          <w:color w:val="auto"/>
          <w:sz w:val="24"/>
          <w:szCs w:val="24"/>
          <w:highlight w:val="none"/>
          <w:lang w:val="en-US" w:eastAsia="zh-CN"/>
        </w:rPr>
        <w:t>单位负责人为同一人或者存在直接控股、管理关系的不同供应商，未参加同一合同项下的政府采购活动</w:t>
      </w:r>
      <w:r>
        <w:rPr>
          <w:rFonts w:hint="eastAsia" w:ascii="宋体" w:hAnsi="宋体" w:cs="仿宋_GB2312"/>
          <w:color w:val="000000"/>
          <w:kern w:val="0"/>
          <w:sz w:val="24"/>
          <w:lang w:eastAsia="zh-CN" w:bidi="ar"/>
        </w:rPr>
        <w:t>。</w:t>
      </w:r>
    </w:p>
    <w:p w14:paraId="28148615">
      <w:pPr>
        <w:widowControl/>
        <w:adjustRightInd w:val="0"/>
        <w:spacing w:line="360" w:lineRule="auto"/>
        <w:ind w:firstLine="480" w:firstLineChars="200"/>
        <w:jc w:val="left"/>
        <w:rPr>
          <w:rFonts w:hint="eastAsia" w:ascii="宋体" w:hAnsi="宋体" w:cs="仿宋_GB2312"/>
          <w:color w:val="000000"/>
          <w:kern w:val="0"/>
          <w:sz w:val="24"/>
          <w:lang w:eastAsia="zh-CN" w:bidi="ar"/>
        </w:rPr>
      </w:pPr>
      <w:r>
        <w:rPr>
          <w:rFonts w:hint="eastAsia" w:ascii="宋体" w:hAnsi="宋体" w:cs="仿宋_GB2312"/>
          <w:color w:val="000000"/>
          <w:kern w:val="0"/>
          <w:sz w:val="24"/>
          <w:lang w:val="en-US" w:eastAsia="zh-CN" w:bidi="ar"/>
        </w:rPr>
        <w:t>4.</w:t>
      </w:r>
      <w:r>
        <w:rPr>
          <w:rFonts w:hint="eastAsia" w:asciiTheme="minorEastAsia" w:hAnsiTheme="minorEastAsia" w:eastAsiaTheme="minorEastAsia" w:cstheme="minorEastAsia"/>
          <w:b w:val="0"/>
          <w:bCs w:val="0"/>
          <w:color w:val="auto"/>
          <w:sz w:val="24"/>
          <w:szCs w:val="24"/>
          <w:highlight w:val="none"/>
          <w:lang w:val="en-US" w:eastAsia="zh-CN"/>
        </w:rPr>
        <w:t>供应商参加政府采购活动前三年内，在经营活动中没有重大违法记录的书面声明</w:t>
      </w:r>
      <w:r>
        <w:rPr>
          <w:rFonts w:hint="eastAsia" w:ascii="宋体" w:hAnsi="宋体" w:cs="仿宋_GB2312"/>
          <w:color w:val="000000"/>
          <w:kern w:val="0"/>
          <w:sz w:val="24"/>
          <w:lang w:eastAsia="zh-CN" w:bidi="ar"/>
        </w:rPr>
        <w:t>。</w:t>
      </w:r>
    </w:p>
    <w:p w14:paraId="131BC2A5">
      <w:pPr>
        <w:widowControl/>
        <w:adjustRightInd w:val="0"/>
        <w:spacing w:line="360" w:lineRule="auto"/>
        <w:ind w:firstLine="480" w:firstLineChars="200"/>
        <w:jc w:val="left"/>
        <w:rPr>
          <w:rFonts w:hint="eastAsia" w:ascii="宋体" w:hAnsi="宋体" w:eastAsia="宋体" w:cs="仿宋_GB2312"/>
          <w:sz w:val="24"/>
          <w:lang w:eastAsia="zh-CN"/>
        </w:rPr>
      </w:pPr>
      <w:r>
        <w:rPr>
          <w:rFonts w:hint="eastAsia" w:ascii="宋体" w:hAnsi="宋体" w:cs="仿宋_GB2312"/>
          <w:color w:val="000000"/>
          <w:kern w:val="0"/>
          <w:sz w:val="24"/>
          <w:lang w:val="en-US" w:eastAsia="zh-CN" w:bidi="ar"/>
        </w:rPr>
        <w:t>5.我单位非</w:t>
      </w:r>
      <w:r>
        <w:rPr>
          <w:rFonts w:hint="eastAsia" w:asciiTheme="minorEastAsia" w:hAnsiTheme="minorEastAsia" w:eastAsiaTheme="minorEastAsia" w:cstheme="minorEastAsia"/>
          <w:b w:val="0"/>
          <w:bCs w:val="0"/>
          <w:color w:val="auto"/>
          <w:sz w:val="24"/>
          <w:szCs w:val="24"/>
          <w:highlight w:val="none"/>
          <w:lang w:val="en-US" w:eastAsia="zh-CN"/>
        </w:rPr>
        <w:t>联合体参与磋商</w:t>
      </w:r>
      <w:r>
        <w:rPr>
          <w:rFonts w:hint="eastAsia" w:ascii="宋体" w:hAnsi="宋体" w:cs="仿宋_GB2312"/>
          <w:color w:val="000000"/>
          <w:kern w:val="0"/>
          <w:sz w:val="24"/>
          <w:lang w:eastAsia="zh-CN" w:bidi="ar"/>
        </w:rPr>
        <w:t>。</w:t>
      </w:r>
    </w:p>
    <w:p w14:paraId="10DD9B9D">
      <w:pPr>
        <w:widowControl/>
        <w:adjustRightInd w:val="0"/>
        <w:spacing w:line="360" w:lineRule="auto"/>
        <w:ind w:firstLine="480" w:firstLineChars="200"/>
        <w:jc w:val="left"/>
        <w:rPr>
          <w:rFonts w:ascii="宋体" w:hAnsi="宋体" w:cs="仿宋_GB2312"/>
          <w:sz w:val="24"/>
        </w:rPr>
      </w:pPr>
      <w:r>
        <w:rPr>
          <w:rFonts w:hint="eastAsia" w:ascii="宋体" w:hAnsi="宋体" w:cs="仿宋_GB2312"/>
          <w:color w:val="000000"/>
          <w:kern w:val="0"/>
          <w:sz w:val="24"/>
          <w:lang w:val="en-US" w:eastAsia="zh-CN" w:bidi="ar"/>
        </w:rPr>
        <w:t>6</w:t>
      </w:r>
      <w:r>
        <w:rPr>
          <w:rFonts w:hint="eastAsia" w:ascii="宋体" w:hAnsi="宋体" w:cs="仿宋_GB2312"/>
          <w:color w:val="000000"/>
          <w:kern w:val="0"/>
          <w:sz w:val="24"/>
          <w:lang w:bidi="ar"/>
        </w:rPr>
        <w:t>.我方在采购项目评审（评标）环节结束后，随时接受采购人、采购代理机构的检查验证，配合提供相关证明材料，证明符合《中华人民共和国政府采购法》规定的</w:t>
      </w:r>
      <w:r>
        <w:rPr>
          <w:rFonts w:hint="eastAsia" w:ascii="宋体" w:hAnsi="宋体" w:cs="Tahoma"/>
          <w:kern w:val="0"/>
          <w:sz w:val="24"/>
        </w:rPr>
        <w:t>供应商</w:t>
      </w:r>
      <w:r>
        <w:rPr>
          <w:rFonts w:hint="eastAsia" w:ascii="宋体" w:hAnsi="宋体" w:cs="仿宋_GB2312"/>
          <w:color w:val="000000"/>
          <w:kern w:val="0"/>
          <w:sz w:val="24"/>
          <w:lang w:bidi="ar"/>
        </w:rPr>
        <w:t>基本资格条件。</w:t>
      </w:r>
    </w:p>
    <w:p w14:paraId="48BB5355">
      <w:pPr>
        <w:widowControl/>
        <w:adjustRightInd w:val="0"/>
        <w:spacing w:line="360" w:lineRule="auto"/>
        <w:ind w:firstLine="480" w:firstLineChars="200"/>
        <w:jc w:val="left"/>
        <w:rPr>
          <w:rFonts w:ascii="宋体" w:hAnsi="宋体" w:cs="仿宋_GB2312"/>
          <w:sz w:val="24"/>
        </w:rPr>
      </w:pPr>
      <w:r>
        <w:rPr>
          <w:rFonts w:hint="eastAsia" w:ascii="宋体" w:hAnsi="宋体" w:cs="仿宋_GB2312"/>
          <w:color w:val="000000"/>
          <w:kern w:val="0"/>
          <w:sz w:val="24"/>
          <w:lang w:bidi="ar"/>
        </w:rPr>
        <w:t xml:space="preserve">我方对以上承诺负全部法律责任。 </w:t>
      </w:r>
    </w:p>
    <w:p w14:paraId="04CC65D9">
      <w:pPr>
        <w:widowControl/>
        <w:adjustRightInd w:val="0"/>
        <w:spacing w:line="360" w:lineRule="auto"/>
        <w:ind w:firstLine="480" w:firstLineChars="200"/>
        <w:jc w:val="left"/>
        <w:rPr>
          <w:rFonts w:ascii="宋体" w:hAnsi="宋体" w:cs="仿宋_GB2312"/>
          <w:color w:val="000000"/>
          <w:kern w:val="0"/>
          <w:szCs w:val="21"/>
          <w:lang w:bidi="ar"/>
        </w:rPr>
      </w:pPr>
      <w:r>
        <w:rPr>
          <w:rFonts w:hint="eastAsia" w:ascii="宋体" w:hAnsi="宋体" w:cs="仿宋_GB2312"/>
          <w:color w:val="000000"/>
          <w:kern w:val="0"/>
          <w:sz w:val="24"/>
          <w:lang w:bidi="ar"/>
        </w:rPr>
        <w:t>特此承诺。</w:t>
      </w:r>
    </w:p>
    <w:p w14:paraId="0FBCC215">
      <w:pPr>
        <w:pStyle w:val="13"/>
        <w:adjustRightInd w:val="0"/>
        <w:spacing w:line="360" w:lineRule="auto"/>
        <w:jc w:val="right"/>
        <w:rPr>
          <w:rFonts w:ascii="宋体" w:hAnsi="宋体"/>
          <w:szCs w:val="21"/>
        </w:rPr>
      </w:pPr>
    </w:p>
    <w:p w14:paraId="621EA6DD">
      <w:pPr>
        <w:widowControl/>
        <w:adjustRightInd w:val="0"/>
        <w:spacing w:line="360" w:lineRule="auto"/>
        <w:jc w:val="right"/>
        <w:rPr>
          <w:rFonts w:ascii="宋体" w:hAnsi="宋体" w:cs="Tahoma"/>
          <w:kern w:val="0"/>
          <w:sz w:val="24"/>
        </w:rPr>
      </w:pPr>
      <w:r>
        <w:rPr>
          <w:rFonts w:hint="eastAsia" w:ascii="宋体" w:hAnsi="宋体" w:cs="仿宋_GB2312"/>
          <w:color w:val="000000"/>
          <w:kern w:val="0"/>
          <w:szCs w:val="21"/>
          <w:lang w:bidi="ar"/>
        </w:rPr>
        <w:t xml:space="preserve">                                 </w:t>
      </w:r>
      <w:r>
        <w:rPr>
          <w:rFonts w:hint="eastAsia" w:ascii="宋体" w:hAnsi="宋体" w:cs="Tahoma"/>
          <w:kern w:val="0"/>
          <w:sz w:val="24"/>
        </w:rPr>
        <w:t xml:space="preserve">   供应商：（公章）</w:t>
      </w:r>
    </w:p>
    <w:p w14:paraId="5EBA386B">
      <w:pPr>
        <w:adjustRightInd w:val="0"/>
        <w:spacing w:line="360" w:lineRule="auto"/>
        <w:jc w:val="right"/>
        <w:rPr>
          <w:rFonts w:hint="eastAsia" w:ascii="宋体" w:hAnsi="宋体" w:cs="Tahoma"/>
          <w:kern w:val="0"/>
          <w:sz w:val="24"/>
        </w:rPr>
      </w:pPr>
      <w:r>
        <w:rPr>
          <w:rFonts w:hint="eastAsia" w:ascii="宋体" w:hAnsi="宋体" w:cs="Tahoma"/>
          <w:kern w:val="0"/>
          <w:sz w:val="24"/>
        </w:rPr>
        <w:t xml:space="preserve"> </w:t>
      </w:r>
      <w:r>
        <w:rPr>
          <w:rFonts w:ascii="宋体" w:hAnsi="宋体" w:cs="Tahoma"/>
          <w:kern w:val="0"/>
          <w:sz w:val="24"/>
        </w:rPr>
        <w:t xml:space="preserve">                                              </w:t>
      </w:r>
      <w:r>
        <w:rPr>
          <w:rFonts w:hint="eastAsia" w:ascii="宋体" w:hAnsi="宋体" w:cs="Tahoma"/>
          <w:kern w:val="0"/>
          <w:sz w:val="24"/>
        </w:rPr>
        <w:t>年    月    日</w:t>
      </w:r>
    </w:p>
    <w:p w14:paraId="553D4A89">
      <w:pPr>
        <w:jc w:val="center"/>
        <w:rPr>
          <w:rFonts w:cs="Tahoma"/>
        </w:rPr>
      </w:pPr>
    </w:p>
    <w:p w14:paraId="0C511E9D">
      <w:pPr>
        <w:pStyle w:val="27"/>
        <w:shd w:val="clear" w:color="auto" w:fill="FFFFFF"/>
        <w:wordWrap w:val="0"/>
        <w:adjustRightInd w:val="0"/>
        <w:snapToGrid w:val="0"/>
        <w:spacing w:line="360" w:lineRule="auto"/>
        <w:jc w:val="center"/>
        <w:rPr>
          <w:rFonts w:cs="Calibri"/>
          <w:b/>
          <w:sz w:val="32"/>
          <w:szCs w:val="32"/>
        </w:rPr>
      </w:pPr>
      <w:r>
        <w:rPr>
          <w:rFonts w:cs="Tahoma"/>
        </w:rPr>
        <w:br w:type="page"/>
      </w:r>
      <w:r>
        <w:rPr>
          <w:rFonts w:cs="Calibri"/>
          <w:b/>
          <w:sz w:val="32"/>
          <w:szCs w:val="32"/>
        </w:rPr>
        <w:t>近年业绩</w:t>
      </w:r>
      <w:r>
        <w:rPr>
          <w:rFonts w:hint="eastAsia" w:cs="Calibri"/>
          <w:b/>
          <w:sz w:val="32"/>
          <w:szCs w:val="32"/>
        </w:rPr>
        <w:t>及相关</w:t>
      </w:r>
      <w:r>
        <w:rPr>
          <w:rFonts w:cs="Calibri"/>
          <w:b/>
          <w:sz w:val="32"/>
          <w:szCs w:val="32"/>
        </w:rPr>
        <w:t>证明材料</w:t>
      </w:r>
    </w:p>
    <w:tbl>
      <w:tblPr>
        <w:tblStyle w:val="30"/>
        <w:tblW w:w="84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7"/>
        <w:gridCol w:w="2352"/>
        <w:gridCol w:w="2976"/>
        <w:gridCol w:w="2127"/>
      </w:tblGrid>
      <w:tr w14:paraId="33A14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1017" w:type="dxa"/>
            <w:noWrap w:val="0"/>
            <w:vAlign w:val="center"/>
          </w:tcPr>
          <w:p w14:paraId="0F0CA9C9">
            <w:pPr>
              <w:spacing w:line="240" w:lineRule="auto"/>
              <w:jc w:val="center"/>
              <w:rPr>
                <w:rFonts w:ascii="宋体" w:hAnsi="宋体"/>
                <w:b/>
                <w:sz w:val="24"/>
              </w:rPr>
            </w:pPr>
            <w:r>
              <w:rPr>
                <w:rFonts w:hint="eastAsia" w:ascii="宋体" w:hAnsi="宋体"/>
                <w:b/>
                <w:sz w:val="24"/>
              </w:rPr>
              <w:t>序号</w:t>
            </w:r>
          </w:p>
        </w:tc>
        <w:tc>
          <w:tcPr>
            <w:tcW w:w="2352" w:type="dxa"/>
            <w:noWrap w:val="0"/>
            <w:vAlign w:val="center"/>
          </w:tcPr>
          <w:p w14:paraId="78D7C9E0">
            <w:pPr>
              <w:spacing w:line="240" w:lineRule="auto"/>
              <w:jc w:val="center"/>
              <w:rPr>
                <w:rFonts w:ascii="宋体" w:hAnsi="宋体"/>
                <w:b/>
                <w:sz w:val="24"/>
              </w:rPr>
            </w:pPr>
            <w:r>
              <w:rPr>
                <w:rFonts w:hint="eastAsia" w:ascii="宋体" w:hAnsi="宋体"/>
                <w:b/>
                <w:sz w:val="24"/>
              </w:rPr>
              <w:t>项目名称</w:t>
            </w:r>
          </w:p>
        </w:tc>
        <w:tc>
          <w:tcPr>
            <w:tcW w:w="2976" w:type="dxa"/>
            <w:noWrap w:val="0"/>
            <w:vAlign w:val="center"/>
          </w:tcPr>
          <w:p w14:paraId="4FDC9E21">
            <w:pPr>
              <w:spacing w:line="240" w:lineRule="auto"/>
              <w:jc w:val="center"/>
              <w:rPr>
                <w:rFonts w:ascii="宋体" w:hAnsi="宋体"/>
                <w:b/>
                <w:sz w:val="24"/>
              </w:rPr>
            </w:pPr>
            <w:r>
              <w:rPr>
                <w:rFonts w:hint="eastAsia" w:ascii="宋体" w:hAnsi="宋体"/>
                <w:b/>
                <w:sz w:val="24"/>
              </w:rPr>
              <w:t>合同签订时间</w:t>
            </w:r>
          </w:p>
        </w:tc>
        <w:tc>
          <w:tcPr>
            <w:tcW w:w="2127" w:type="dxa"/>
            <w:noWrap w:val="0"/>
            <w:vAlign w:val="center"/>
          </w:tcPr>
          <w:p w14:paraId="7145021A">
            <w:pPr>
              <w:spacing w:line="240" w:lineRule="auto"/>
              <w:jc w:val="center"/>
              <w:rPr>
                <w:rFonts w:ascii="宋体" w:hAnsi="宋体"/>
                <w:b/>
                <w:sz w:val="24"/>
              </w:rPr>
            </w:pPr>
            <w:r>
              <w:rPr>
                <w:rFonts w:hint="eastAsia" w:ascii="宋体" w:hAnsi="宋体"/>
                <w:b/>
                <w:sz w:val="24"/>
              </w:rPr>
              <w:t>业主名称</w:t>
            </w:r>
          </w:p>
        </w:tc>
      </w:tr>
      <w:tr w14:paraId="137FE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17" w:type="dxa"/>
            <w:noWrap w:val="0"/>
            <w:vAlign w:val="top"/>
          </w:tcPr>
          <w:p w14:paraId="218CCD99">
            <w:pPr>
              <w:spacing w:line="240" w:lineRule="auto"/>
              <w:rPr>
                <w:sz w:val="24"/>
              </w:rPr>
            </w:pPr>
          </w:p>
        </w:tc>
        <w:tc>
          <w:tcPr>
            <w:tcW w:w="2352" w:type="dxa"/>
            <w:noWrap w:val="0"/>
            <w:vAlign w:val="top"/>
          </w:tcPr>
          <w:p w14:paraId="412483BD">
            <w:pPr>
              <w:spacing w:line="240" w:lineRule="auto"/>
              <w:rPr>
                <w:sz w:val="24"/>
              </w:rPr>
            </w:pPr>
          </w:p>
        </w:tc>
        <w:tc>
          <w:tcPr>
            <w:tcW w:w="2976" w:type="dxa"/>
            <w:noWrap w:val="0"/>
            <w:vAlign w:val="top"/>
          </w:tcPr>
          <w:p w14:paraId="10946910">
            <w:pPr>
              <w:spacing w:line="240" w:lineRule="auto"/>
              <w:rPr>
                <w:sz w:val="24"/>
              </w:rPr>
            </w:pPr>
          </w:p>
        </w:tc>
        <w:tc>
          <w:tcPr>
            <w:tcW w:w="2127" w:type="dxa"/>
            <w:noWrap w:val="0"/>
            <w:vAlign w:val="top"/>
          </w:tcPr>
          <w:p w14:paraId="6B56CBE4">
            <w:pPr>
              <w:spacing w:line="240" w:lineRule="auto"/>
              <w:rPr>
                <w:sz w:val="24"/>
              </w:rPr>
            </w:pPr>
          </w:p>
        </w:tc>
      </w:tr>
      <w:tr w14:paraId="43214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17" w:type="dxa"/>
            <w:noWrap w:val="0"/>
            <w:vAlign w:val="top"/>
          </w:tcPr>
          <w:p w14:paraId="7006E16D">
            <w:pPr>
              <w:spacing w:line="240" w:lineRule="auto"/>
              <w:rPr>
                <w:sz w:val="24"/>
              </w:rPr>
            </w:pPr>
          </w:p>
        </w:tc>
        <w:tc>
          <w:tcPr>
            <w:tcW w:w="2352" w:type="dxa"/>
            <w:noWrap w:val="0"/>
            <w:vAlign w:val="top"/>
          </w:tcPr>
          <w:p w14:paraId="32D3486C">
            <w:pPr>
              <w:spacing w:line="240" w:lineRule="auto"/>
              <w:rPr>
                <w:sz w:val="24"/>
              </w:rPr>
            </w:pPr>
          </w:p>
        </w:tc>
        <w:tc>
          <w:tcPr>
            <w:tcW w:w="2976" w:type="dxa"/>
            <w:noWrap w:val="0"/>
            <w:vAlign w:val="top"/>
          </w:tcPr>
          <w:p w14:paraId="5FF6C95F">
            <w:pPr>
              <w:spacing w:line="240" w:lineRule="auto"/>
              <w:jc w:val="center"/>
              <w:rPr>
                <w:sz w:val="24"/>
              </w:rPr>
            </w:pPr>
          </w:p>
        </w:tc>
        <w:tc>
          <w:tcPr>
            <w:tcW w:w="2127" w:type="dxa"/>
            <w:noWrap w:val="0"/>
            <w:vAlign w:val="top"/>
          </w:tcPr>
          <w:p w14:paraId="1BAF96BA">
            <w:pPr>
              <w:spacing w:line="240" w:lineRule="auto"/>
              <w:rPr>
                <w:sz w:val="24"/>
              </w:rPr>
            </w:pPr>
          </w:p>
        </w:tc>
      </w:tr>
      <w:tr w14:paraId="54DFD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1017" w:type="dxa"/>
            <w:noWrap w:val="0"/>
            <w:vAlign w:val="top"/>
          </w:tcPr>
          <w:p w14:paraId="146C4EF6">
            <w:pPr>
              <w:spacing w:line="240" w:lineRule="auto"/>
              <w:rPr>
                <w:sz w:val="24"/>
              </w:rPr>
            </w:pPr>
          </w:p>
        </w:tc>
        <w:tc>
          <w:tcPr>
            <w:tcW w:w="2352" w:type="dxa"/>
            <w:noWrap w:val="0"/>
            <w:vAlign w:val="top"/>
          </w:tcPr>
          <w:p w14:paraId="434ABA95">
            <w:pPr>
              <w:spacing w:line="240" w:lineRule="auto"/>
              <w:rPr>
                <w:sz w:val="24"/>
              </w:rPr>
            </w:pPr>
          </w:p>
        </w:tc>
        <w:tc>
          <w:tcPr>
            <w:tcW w:w="2976" w:type="dxa"/>
            <w:noWrap w:val="0"/>
            <w:vAlign w:val="top"/>
          </w:tcPr>
          <w:p w14:paraId="5C0C7147">
            <w:pPr>
              <w:spacing w:line="240" w:lineRule="auto"/>
              <w:rPr>
                <w:sz w:val="24"/>
              </w:rPr>
            </w:pPr>
          </w:p>
        </w:tc>
        <w:tc>
          <w:tcPr>
            <w:tcW w:w="2127" w:type="dxa"/>
            <w:noWrap w:val="0"/>
            <w:vAlign w:val="top"/>
          </w:tcPr>
          <w:p w14:paraId="4636CC90">
            <w:pPr>
              <w:spacing w:line="240" w:lineRule="auto"/>
              <w:rPr>
                <w:sz w:val="24"/>
              </w:rPr>
            </w:pPr>
          </w:p>
        </w:tc>
      </w:tr>
      <w:tr w14:paraId="4AEE0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17" w:type="dxa"/>
            <w:noWrap w:val="0"/>
            <w:vAlign w:val="top"/>
          </w:tcPr>
          <w:p w14:paraId="72BD8C1C">
            <w:pPr>
              <w:spacing w:line="240" w:lineRule="auto"/>
              <w:rPr>
                <w:sz w:val="24"/>
              </w:rPr>
            </w:pPr>
          </w:p>
        </w:tc>
        <w:tc>
          <w:tcPr>
            <w:tcW w:w="2352" w:type="dxa"/>
            <w:noWrap w:val="0"/>
            <w:vAlign w:val="top"/>
          </w:tcPr>
          <w:p w14:paraId="750B760C">
            <w:pPr>
              <w:spacing w:line="240" w:lineRule="auto"/>
              <w:rPr>
                <w:sz w:val="24"/>
              </w:rPr>
            </w:pPr>
          </w:p>
        </w:tc>
        <w:tc>
          <w:tcPr>
            <w:tcW w:w="2976" w:type="dxa"/>
            <w:noWrap w:val="0"/>
            <w:vAlign w:val="top"/>
          </w:tcPr>
          <w:p w14:paraId="7E100778">
            <w:pPr>
              <w:spacing w:line="240" w:lineRule="auto"/>
              <w:rPr>
                <w:sz w:val="24"/>
              </w:rPr>
            </w:pPr>
          </w:p>
        </w:tc>
        <w:tc>
          <w:tcPr>
            <w:tcW w:w="2127" w:type="dxa"/>
            <w:noWrap w:val="0"/>
            <w:vAlign w:val="top"/>
          </w:tcPr>
          <w:p w14:paraId="0B749737">
            <w:pPr>
              <w:spacing w:line="240" w:lineRule="auto"/>
              <w:rPr>
                <w:sz w:val="24"/>
              </w:rPr>
            </w:pPr>
          </w:p>
        </w:tc>
      </w:tr>
      <w:tr w14:paraId="156F6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17" w:type="dxa"/>
            <w:noWrap w:val="0"/>
            <w:vAlign w:val="top"/>
          </w:tcPr>
          <w:p w14:paraId="0067F338">
            <w:pPr>
              <w:spacing w:line="240" w:lineRule="auto"/>
              <w:rPr>
                <w:sz w:val="24"/>
              </w:rPr>
            </w:pPr>
          </w:p>
        </w:tc>
        <w:tc>
          <w:tcPr>
            <w:tcW w:w="2352" w:type="dxa"/>
            <w:noWrap w:val="0"/>
            <w:vAlign w:val="top"/>
          </w:tcPr>
          <w:p w14:paraId="1310DD42">
            <w:pPr>
              <w:spacing w:line="240" w:lineRule="auto"/>
              <w:rPr>
                <w:sz w:val="24"/>
              </w:rPr>
            </w:pPr>
          </w:p>
        </w:tc>
        <w:tc>
          <w:tcPr>
            <w:tcW w:w="2976" w:type="dxa"/>
            <w:noWrap w:val="0"/>
            <w:vAlign w:val="top"/>
          </w:tcPr>
          <w:p w14:paraId="2C84A618">
            <w:pPr>
              <w:spacing w:line="240" w:lineRule="auto"/>
              <w:rPr>
                <w:sz w:val="24"/>
              </w:rPr>
            </w:pPr>
          </w:p>
        </w:tc>
        <w:tc>
          <w:tcPr>
            <w:tcW w:w="2127" w:type="dxa"/>
            <w:noWrap w:val="0"/>
            <w:vAlign w:val="top"/>
          </w:tcPr>
          <w:p w14:paraId="35FD1D9D">
            <w:pPr>
              <w:spacing w:line="240" w:lineRule="auto"/>
              <w:rPr>
                <w:sz w:val="24"/>
              </w:rPr>
            </w:pPr>
          </w:p>
        </w:tc>
      </w:tr>
      <w:tr w14:paraId="54A14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17" w:type="dxa"/>
            <w:noWrap w:val="0"/>
            <w:vAlign w:val="top"/>
          </w:tcPr>
          <w:p w14:paraId="7D94190D">
            <w:pPr>
              <w:spacing w:line="240" w:lineRule="auto"/>
              <w:rPr>
                <w:sz w:val="24"/>
              </w:rPr>
            </w:pPr>
          </w:p>
        </w:tc>
        <w:tc>
          <w:tcPr>
            <w:tcW w:w="2352" w:type="dxa"/>
            <w:noWrap w:val="0"/>
            <w:vAlign w:val="top"/>
          </w:tcPr>
          <w:p w14:paraId="1A215768">
            <w:pPr>
              <w:spacing w:line="240" w:lineRule="auto"/>
              <w:rPr>
                <w:sz w:val="24"/>
              </w:rPr>
            </w:pPr>
          </w:p>
        </w:tc>
        <w:tc>
          <w:tcPr>
            <w:tcW w:w="2976" w:type="dxa"/>
            <w:noWrap w:val="0"/>
            <w:vAlign w:val="top"/>
          </w:tcPr>
          <w:p w14:paraId="2B7D0C6D">
            <w:pPr>
              <w:spacing w:line="240" w:lineRule="auto"/>
              <w:rPr>
                <w:sz w:val="24"/>
              </w:rPr>
            </w:pPr>
          </w:p>
        </w:tc>
        <w:tc>
          <w:tcPr>
            <w:tcW w:w="2127" w:type="dxa"/>
            <w:noWrap w:val="0"/>
            <w:vAlign w:val="top"/>
          </w:tcPr>
          <w:p w14:paraId="3F759DE9">
            <w:pPr>
              <w:spacing w:line="240" w:lineRule="auto"/>
              <w:rPr>
                <w:sz w:val="24"/>
              </w:rPr>
            </w:pPr>
          </w:p>
        </w:tc>
      </w:tr>
      <w:tr w14:paraId="55A42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1017" w:type="dxa"/>
            <w:noWrap w:val="0"/>
            <w:vAlign w:val="top"/>
          </w:tcPr>
          <w:p w14:paraId="1139F7D2">
            <w:pPr>
              <w:spacing w:line="240" w:lineRule="auto"/>
              <w:rPr>
                <w:sz w:val="24"/>
              </w:rPr>
            </w:pPr>
          </w:p>
        </w:tc>
        <w:tc>
          <w:tcPr>
            <w:tcW w:w="2352" w:type="dxa"/>
            <w:noWrap w:val="0"/>
            <w:vAlign w:val="top"/>
          </w:tcPr>
          <w:p w14:paraId="6D093C4E">
            <w:pPr>
              <w:spacing w:line="240" w:lineRule="auto"/>
              <w:rPr>
                <w:sz w:val="24"/>
              </w:rPr>
            </w:pPr>
          </w:p>
        </w:tc>
        <w:tc>
          <w:tcPr>
            <w:tcW w:w="2976" w:type="dxa"/>
            <w:noWrap w:val="0"/>
            <w:vAlign w:val="top"/>
          </w:tcPr>
          <w:p w14:paraId="384F4D6C">
            <w:pPr>
              <w:spacing w:line="240" w:lineRule="auto"/>
              <w:rPr>
                <w:sz w:val="24"/>
              </w:rPr>
            </w:pPr>
          </w:p>
        </w:tc>
        <w:tc>
          <w:tcPr>
            <w:tcW w:w="2127" w:type="dxa"/>
            <w:noWrap w:val="0"/>
            <w:vAlign w:val="top"/>
          </w:tcPr>
          <w:p w14:paraId="31C5E276">
            <w:pPr>
              <w:spacing w:line="240" w:lineRule="auto"/>
              <w:rPr>
                <w:sz w:val="24"/>
              </w:rPr>
            </w:pPr>
          </w:p>
        </w:tc>
      </w:tr>
      <w:tr w14:paraId="1C3E4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17" w:type="dxa"/>
            <w:noWrap w:val="0"/>
            <w:vAlign w:val="top"/>
          </w:tcPr>
          <w:p w14:paraId="6E243B25">
            <w:pPr>
              <w:spacing w:line="240" w:lineRule="auto"/>
              <w:rPr>
                <w:sz w:val="24"/>
              </w:rPr>
            </w:pPr>
          </w:p>
        </w:tc>
        <w:tc>
          <w:tcPr>
            <w:tcW w:w="2352" w:type="dxa"/>
            <w:noWrap w:val="0"/>
            <w:vAlign w:val="top"/>
          </w:tcPr>
          <w:p w14:paraId="44AB2E90">
            <w:pPr>
              <w:spacing w:line="240" w:lineRule="auto"/>
              <w:rPr>
                <w:sz w:val="24"/>
              </w:rPr>
            </w:pPr>
          </w:p>
        </w:tc>
        <w:tc>
          <w:tcPr>
            <w:tcW w:w="2976" w:type="dxa"/>
            <w:noWrap w:val="0"/>
            <w:vAlign w:val="top"/>
          </w:tcPr>
          <w:p w14:paraId="5C54A46B">
            <w:pPr>
              <w:spacing w:line="240" w:lineRule="auto"/>
              <w:rPr>
                <w:sz w:val="24"/>
              </w:rPr>
            </w:pPr>
          </w:p>
        </w:tc>
        <w:tc>
          <w:tcPr>
            <w:tcW w:w="2127" w:type="dxa"/>
            <w:noWrap w:val="0"/>
            <w:vAlign w:val="top"/>
          </w:tcPr>
          <w:p w14:paraId="3AA125A3">
            <w:pPr>
              <w:spacing w:line="240" w:lineRule="auto"/>
              <w:rPr>
                <w:sz w:val="24"/>
              </w:rPr>
            </w:pPr>
          </w:p>
        </w:tc>
      </w:tr>
      <w:tr w14:paraId="26440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17" w:type="dxa"/>
            <w:noWrap w:val="0"/>
            <w:vAlign w:val="top"/>
          </w:tcPr>
          <w:p w14:paraId="2FEA6947">
            <w:pPr>
              <w:spacing w:line="240" w:lineRule="auto"/>
              <w:rPr>
                <w:sz w:val="24"/>
              </w:rPr>
            </w:pPr>
          </w:p>
        </w:tc>
        <w:tc>
          <w:tcPr>
            <w:tcW w:w="2352" w:type="dxa"/>
            <w:noWrap w:val="0"/>
            <w:vAlign w:val="top"/>
          </w:tcPr>
          <w:p w14:paraId="51EAFAA3">
            <w:pPr>
              <w:spacing w:line="240" w:lineRule="auto"/>
              <w:rPr>
                <w:sz w:val="24"/>
              </w:rPr>
            </w:pPr>
          </w:p>
        </w:tc>
        <w:tc>
          <w:tcPr>
            <w:tcW w:w="2976" w:type="dxa"/>
            <w:noWrap w:val="0"/>
            <w:vAlign w:val="top"/>
          </w:tcPr>
          <w:p w14:paraId="28C13030">
            <w:pPr>
              <w:spacing w:line="240" w:lineRule="auto"/>
              <w:rPr>
                <w:sz w:val="24"/>
              </w:rPr>
            </w:pPr>
          </w:p>
        </w:tc>
        <w:tc>
          <w:tcPr>
            <w:tcW w:w="2127" w:type="dxa"/>
            <w:noWrap w:val="0"/>
            <w:vAlign w:val="top"/>
          </w:tcPr>
          <w:p w14:paraId="0481171E">
            <w:pPr>
              <w:spacing w:line="240" w:lineRule="auto"/>
              <w:rPr>
                <w:sz w:val="24"/>
              </w:rPr>
            </w:pPr>
          </w:p>
        </w:tc>
      </w:tr>
      <w:tr w14:paraId="676E4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17" w:type="dxa"/>
            <w:noWrap w:val="0"/>
            <w:vAlign w:val="top"/>
          </w:tcPr>
          <w:p w14:paraId="07AAE974">
            <w:pPr>
              <w:spacing w:line="240" w:lineRule="auto"/>
              <w:rPr>
                <w:sz w:val="24"/>
              </w:rPr>
            </w:pPr>
          </w:p>
        </w:tc>
        <w:tc>
          <w:tcPr>
            <w:tcW w:w="2352" w:type="dxa"/>
            <w:noWrap w:val="0"/>
            <w:vAlign w:val="top"/>
          </w:tcPr>
          <w:p w14:paraId="23973A5E">
            <w:pPr>
              <w:spacing w:line="240" w:lineRule="auto"/>
              <w:rPr>
                <w:sz w:val="24"/>
              </w:rPr>
            </w:pPr>
          </w:p>
        </w:tc>
        <w:tc>
          <w:tcPr>
            <w:tcW w:w="2976" w:type="dxa"/>
            <w:noWrap w:val="0"/>
            <w:vAlign w:val="top"/>
          </w:tcPr>
          <w:p w14:paraId="2B971955">
            <w:pPr>
              <w:spacing w:line="240" w:lineRule="auto"/>
              <w:rPr>
                <w:sz w:val="24"/>
              </w:rPr>
            </w:pPr>
          </w:p>
        </w:tc>
        <w:tc>
          <w:tcPr>
            <w:tcW w:w="2127" w:type="dxa"/>
            <w:noWrap w:val="0"/>
            <w:vAlign w:val="top"/>
          </w:tcPr>
          <w:p w14:paraId="10A11F81">
            <w:pPr>
              <w:spacing w:line="240" w:lineRule="auto"/>
              <w:rPr>
                <w:sz w:val="24"/>
              </w:rPr>
            </w:pPr>
          </w:p>
        </w:tc>
      </w:tr>
    </w:tbl>
    <w:p w14:paraId="7B1C6643"/>
    <w:p w14:paraId="4CF3AB1D">
      <w:pPr>
        <w:pStyle w:val="95"/>
        <w:spacing w:line="360" w:lineRule="auto"/>
        <w:jc w:val="both"/>
        <w:rPr>
          <w:rFonts w:ascii="宋体" w:hAnsi="宋体" w:eastAsia="宋体" w:cs="Times New Roman"/>
          <w:color w:val="auto"/>
          <w:kern w:val="2"/>
          <w:szCs w:val="20"/>
          <w:lang w:val="en-US"/>
        </w:rPr>
      </w:pPr>
      <w:r>
        <w:rPr>
          <w:rFonts w:hint="eastAsia" w:ascii="宋体" w:hAnsi="宋体" w:eastAsia="宋体" w:cs="Times New Roman"/>
          <w:color w:val="auto"/>
          <w:kern w:val="2"/>
          <w:szCs w:val="20"/>
          <w:lang w:val="en-US"/>
        </w:rPr>
        <w:t>注</w:t>
      </w:r>
      <w:r>
        <w:rPr>
          <w:rFonts w:ascii="宋体" w:hAnsi="宋体" w:eastAsia="宋体" w:cs="Times New Roman"/>
          <w:color w:val="auto"/>
          <w:kern w:val="2"/>
          <w:szCs w:val="20"/>
          <w:lang w:val="en-US"/>
        </w:rPr>
        <w:t>：1</w:t>
      </w:r>
      <w:r>
        <w:rPr>
          <w:rFonts w:hint="eastAsia" w:ascii="宋体" w:hAnsi="宋体" w:eastAsia="宋体" w:cs="Times New Roman"/>
          <w:color w:val="auto"/>
          <w:kern w:val="2"/>
          <w:szCs w:val="20"/>
          <w:lang w:val="en-US"/>
        </w:rPr>
        <w:t>.本表后附业绩相关证明资料，如合同或合同关键页（必须含封面、内容、签订时间、盖章签字页等信息）等复印件</w:t>
      </w:r>
      <w:r>
        <w:rPr>
          <w:rFonts w:ascii="宋体" w:hAnsi="宋体" w:eastAsia="宋体" w:cs="Times New Roman"/>
          <w:color w:val="auto"/>
          <w:kern w:val="2"/>
          <w:szCs w:val="20"/>
          <w:lang w:val="en-US"/>
        </w:rPr>
        <w:t>。</w:t>
      </w:r>
    </w:p>
    <w:p w14:paraId="76965707">
      <w:pPr>
        <w:pStyle w:val="95"/>
        <w:spacing w:line="360" w:lineRule="auto"/>
        <w:jc w:val="both"/>
        <w:rPr>
          <w:rFonts w:ascii="宋体" w:hAnsi="宋体" w:eastAsia="宋体" w:cs="Times New Roman"/>
          <w:color w:val="auto"/>
          <w:kern w:val="2"/>
          <w:szCs w:val="20"/>
          <w:lang w:val="en-US"/>
        </w:rPr>
      </w:pPr>
      <w:r>
        <w:rPr>
          <w:rFonts w:hint="eastAsia" w:ascii="宋体" w:hAnsi="宋体" w:eastAsia="宋体" w:cs="Times New Roman"/>
          <w:color w:val="auto"/>
          <w:kern w:val="2"/>
          <w:szCs w:val="20"/>
          <w:lang w:val="en-US"/>
        </w:rPr>
        <w:t xml:space="preserve">    </w:t>
      </w:r>
      <w:r>
        <w:rPr>
          <w:rFonts w:ascii="宋体" w:hAnsi="宋体" w:eastAsia="宋体" w:cs="Times New Roman"/>
          <w:color w:val="auto"/>
          <w:kern w:val="2"/>
          <w:szCs w:val="20"/>
          <w:lang w:val="en-US"/>
        </w:rPr>
        <w:t>2</w:t>
      </w:r>
      <w:r>
        <w:rPr>
          <w:rFonts w:hint="eastAsia" w:ascii="宋体" w:hAnsi="宋体" w:eastAsia="宋体" w:cs="Times New Roman"/>
          <w:color w:val="auto"/>
          <w:kern w:val="2"/>
          <w:szCs w:val="20"/>
          <w:lang w:val="en-US"/>
        </w:rPr>
        <w:t>.供应商</w:t>
      </w:r>
      <w:r>
        <w:rPr>
          <w:rFonts w:ascii="宋体" w:hAnsi="宋体" w:eastAsia="宋体" w:cs="Times New Roman"/>
          <w:color w:val="auto"/>
          <w:kern w:val="2"/>
          <w:szCs w:val="20"/>
          <w:lang w:val="en-US"/>
        </w:rPr>
        <w:t>应如实列出以上情况，如有隐瞒，一经查实将导致其</w:t>
      </w:r>
      <w:r>
        <w:rPr>
          <w:rFonts w:hint="eastAsia" w:ascii="宋体" w:hAnsi="宋体" w:eastAsia="宋体" w:cs="Times New Roman"/>
          <w:color w:val="auto"/>
          <w:kern w:val="2"/>
          <w:szCs w:val="20"/>
          <w:lang w:val="en-US"/>
        </w:rPr>
        <w:t>磋商</w:t>
      </w:r>
      <w:r>
        <w:rPr>
          <w:rFonts w:ascii="宋体" w:hAnsi="宋体" w:eastAsia="宋体" w:cs="Times New Roman"/>
          <w:color w:val="auto"/>
          <w:kern w:val="2"/>
          <w:szCs w:val="20"/>
          <w:lang w:val="en-US"/>
        </w:rPr>
        <w:t>文件被拒绝。</w:t>
      </w:r>
    </w:p>
    <w:p w14:paraId="1A39C8A5">
      <w:pPr>
        <w:spacing w:line="540" w:lineRule="exact"/>
        <w:ind w:right="-197" w:rightChars="-94" w:firstLine="560" w:firstLineChars="200"/>
        <w:jc w:val="left"/>
        <w:rPr>
          <w:sz w:val="28"/>
          <w:szCs w:val="28"/>
        </w:rPr>
      </w:pPr>
    </w:p>
    <w:p w14:paraId="709F9BAB">
      <w:pPr>
        <w:pStyle w:val="27"/>
        <w:shd w:val="clear" w:color="auto" w:fill="FFFFFF"/>
        <w:adjustRightInd w:val="0"/>
        <w:snapToGrid w:val="0"/>
        <w:spacing w:line="360" w:lineRule="auto"/>
      </w:pPr>
      <w:r>
        <w:rPr>
          <w:rFonts w:hint="eastAsia" w:cs="Tahoma"/>
        </w:rPr>
        <w:t>供应商：</w:t>
      </w:r>
      <w:r>
        <w:rPr>
          <w:rFonts w:hint="eastAsia"/>
        </w:rPr>
        <w:t>（公章）</w:t>
      </w:r>
    </w:p>
    <w:p w14:paraId="0130F6BD">
      <w:pPr>
        <w:spacing w:line="360" w:lineRule="auto"/>
        <w:rPr>
          <w:rFonts w:hint="eastAsia"/>
        </w:rPr>
      </w:pPr>
      <w:r>
        <w:rPr>
          <w:rFonts w:hint="eastAsia" w:ascii="宋体" w:hAnsi="宋体"/>
          <w:sz w:val="24"/>
        </w:rPr>
        <w:t>法定代表人</w:t>
      </w:r>
      <w:r>
        <w:rPr>
          <w:rFonts w:hint="eastAsia" w:ascii="宋体" w:hAnsi="宋体"/>
          <w:sz w:val="24"/>
          <w:lang w:val="en-US" w:eastAsia="zh-CN"/>
        </w:rPr>
        <w:t>/</w:t>
      </w:r>
      <w:r>
        <w:rPr>
          <w:rFonts w:hint="eastAsia" w:ascii="宋体" w:hAnsi="宋体"/>
          <w:sz w:val="24"/>
        </w:rPr>
        <w:t>授权代表签字或盖章</w:t>
      </w:r>
      <w:r>
        <w:rPr>
          <w:rFonts w:hint="eastAsia"/>
        </w:rPr>
        <w:t>：</w:t>
      </w:r>
    </w:p>
    <w:p w14:paraId="3A5B120F">
      <w:pPr>
        <w:pStyle w:val="27"/>
        <w:shd w:val="clear" w:color="auto" w:fill="FFFFFF"/>
        <w:adjustRightInd w:val="0"/>
        <w:snapToGrid w:val="0"/>
        <w:spacing w:line="360" w:lineRule="auto"/>
        <w:rPr>
          <w:rFonts w:cs="Tahoma"/>
        </w:rPr>
      </w:pPr>
      <w:r>
        <w:rPr>
          <w:rFonts w:hint="eastAsia" w:cs="Tahoma"/>
        </w:rPr>
        <w:t>日 期：</w:t>
      </w:r>
    </w:p>
    <w:p w14:paraId="584B9101">
      <w:pPr>
        <w:spacing w:line="360" w:lineRule="atLeast"/>
        <w:jc w:val="center"/>
        <w:rPr>
          <w:rFonts w:hint="eastAsia" w:ascii="宋体" w:hAnsi="宋体"/>
          <w:sz w:val="32"/>
          <w:szCs w:val="32"/>
          <w:bdr w:val="single" w:color="auto" w:sz="4" w:space="0"/>
        </w:rPr>
      </w:pPr>
      <w:r>
        <w:rPr>
          <w:rFonts w:hint="eastAsia" w:ascii="宋体" w:hAnsi="宋体"/>
          <w:sz w:val="32"/>
          <w:szCs w:val="32"/>
          <w:bdr w:val="single" w:color="auto" w:sz="4" w:space="0"/>
        </w:rPr>
        <w:t xml:space="preserve"> </w:t>
      </w:r>
    </w:p>
    <w:p w14:paraId="5E895DE6">
      <w:pPr>
        <w:pStyle w:val="3"/>
        <w:rPr>
          <w:rFonts w:hint="eastAsia"/>
          <w:sz w:val="32"/>
        </w:rPr>
      </w:pPr>
      <w:r>
        <w:br w:type="page"/>
      </w:r>
      <w:bookmarkStart w:id="74" w:name="_Toc162021022"/>
      <w:r>
        <w:rPr>
          <w:rFonts w:hint="eastAsia" w:eastAsia="宋体" w:cs="Times New Roman"/>
          <w:sz w:val="32"/>
          <w:lang w:val="en-US" w:eastAsia="zh-CN"/>
        </w:rPr>
        <w:t>六</w:t>
      </w:r>
      <w:r>
        <w:rPr>
          <w:rFonts w:hint="eastAsia" w:eastAsia="宋体" w:cs="Times New Roman"/>
          <w:sz w:val="32"/>
        </w:rPr>
        <w:t>、</w:t>
      </w:r>
      <w:r>
        <w:rPr>
          <w:rFonts w:hint="eastAsia"/>
          <w:sz w:val="32"/>
        </w:rPr>
        <w:t>响应方案说明</w:t>
      </w:r>
      <w:bookmarkEnd w:id="74"/>
    </w:p>
    <w:p w14:paraId="3D5D2059">
      <w:pPr>
        <w:spacing w:line="360" w:lineRule="auto"/>
        <w:ind w:firstLine="560" w:firstLineChars="200"/>
        <w:jc w:val="center"/>
        <w:rPr>
          <w:rFonts w:hint="eastAsia" w:ascii="宋体" w:hAnsi="宋体"/>
          <w:sz w:val="24"/>
          <w:lang w:eastAsia="zh-CN"/>
        </w:rPr>
      </w:pPr>
      <w:r>
        <w:rPr>
          <w:rFonts w:hint="eastAsia" w:ascii="宋体" w:hAnsi="宋体"/>
          <w:sz w:val="28"/>
          <w:szCs w:val="28"/>
          <w:lang w:eastAsia="zh-CN"/>
        </w:rPr>
        <w:t>（依据磋商文件评标办法，格式自拟</w:t>
      </w:r>
      <w:r>
        <w:rPr>
          <w:rFonts w:hint="eastAsia" w:ascii="宋体" w:hAnsi="宋体"/>
          <w:sz w:val="24"/>
          <w:lang w:eastAsia="zh-CN"/>
        </w:rPr>
        <w:t>）</w:t>
      </w:r>
    </w:p>
    <w:p w14:paraId="1C849BA5">
      <w:pPr>
        <w:spacing w:line="360" w:lineRule="auto"/>
        <w:ind w:firstLine="480" w:firstLineChars="200"/>
        <w:jc w:val="center"/>
        <w:rPr>
          <w:rFonts w:ascii="宋体" w:hAnsi="宋体"/>
          <w:b/>
          <w:sz w:val="28"/>
          <w:szCs w:val="28"/>
        </w:rPr>
      </w:pPr>
      <w:r>
        <w:rPr>
          <w:rFonts w:ascii="宋体" w:hAnsi="宋体"/>
          <w:sz w:val="24"/>
        </w:rPr>
        <w:br w:type="page"/>
      </w:r>
      <w:r>
        <w:rPr>
          <w:rFonts w:hint="eastAsia" w:ascii="宋体" w:hAnsi="宋体"/>
          <w:b/>
          <w:sz w:val="28"/>
          <w:szCs w:val="28"/>
        </w:rPr>
        <w:t>（1）供应商基本情况表</w:t>
      </w:r>
    </w:p>
    <w:p w14:paraId="10C4D539">
      <w:pPr>
        <w:jc w:val="center"/>
        <w:rPr>
          <w:rFonts w:ascii="宋体" w:hAnsi="宋体"/>
          <w:b/>
          <w:sz w:val="18"/>
          <w:szCs w:val="18"/>
        </w:rPr>
      </w:pPr>
    </w:p>
    <w:tbl>
      <w:tblPr>
        <w:tblStyle w:val="3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2013"/>
        <w:gridCol w:w="1050"/>
        <w:gridCol w:w="1007"/>
        <w:gridCol w:w="1475"/>
        <w:gridCol w:w="1296"/>
        <w:gridCol w:w="992"/>
        <w:gridCol w:w="1397"/>
      </w:tblGrid>
      <w:tr w14:paraId="7FC43EF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703" w:hRule="exact"/>
          <w:jc w:val="center"/>
        </w:trPr>
        <w:tc>
          <w:tcPr>
            <w:tcW w:w="2013" w:type="dxa"/>
            <w:tcBorders>
              <w:top w:val="single" w:color="auto" w:sz="4" w:space="0"/>
              <w:left w:val="single" w:color="auto" w:sz="4" w:space="0"/>
              <w:bottom w:val="single" w:color="auto" w:sz="4" w:space="0"/>
              <w:right w:val="single" w:color="auto" w:sz="4" w:space="0"/>
            </w:tcBorders>
            <w:noWrap w:val="0"/>
            <w:vAlign w:val="center"/>
          </w:tcPr>
          <w:p w14:paraId="555EAD1E">
            <w:pPr>
              <w:autoSpaceDE w:val="0"/>
              <w:autoSpaceDN w:val="0"/>
              <w:adjustRightInd w:val="0"/>
              <w:spacing w:line="240" w:lineRule="auto"/>
              <w:jc w:val="center"/>
              <w:rPr>
                <w:rFonts w:ascii="宋体" w:hAnsi="宋体"/>
                <w:kern w:val="0"/>
                <w:sz w:val="24"/>
              </w:rPr>
            </w:pPr>
            <w:r>
              <w:rPr>
                <w:rFonts w:hint="eastAsia" w:ascii="宋体" w:hAnsi="宋体" w:cs="MingLiU"/>
                <w:kern w:val="0"/>
                <w:sz w:val="24"/>
              </w:rPr>
              <w:t>申请人名称</w:t>
            </w:r>
          </w:p>
        </w:tc>
        <w:tc>
          <w:tcPr>
            <w:tcW w:w="7217" w:type="dxa"/>
            <w:gridSpan w:val="6"/>
            <w:tcBorders>
              <w:top w:val="single" w:color="auto" w:sz="4" w:space="0"/>
              <w:left w:val="single" w:color="auto" w:sz="4" w:space="0"/>
              <w:bottom w:val="single" w:color="auto" w:sz="4" w:space="0"/>
              <w:right w:val="single" w:color="auto" w:sz="4" w:space="0"/>
            </w:tcBorders>
            <w:noWrap w:val="0"/>
            <w:vAlign w:val="center"/>
          </w:tcPr>
          <w:p w14:paraId="63D50452">
            <w:pPr>
              <w:autoSpaceDE w:val="0"/>
              <w:autoSpaceDN w:val="0"/>
              <w:adjustRightInd w:val="0"/>
              <w:spacing w:line="240" w:lineRule="auto"/>
              <w:jc w:val="center"/>
              <w:rPr>
                <w:rFonts w:ascii="宋体" w:hAnsi="宋体"/>
                <w:kern w:val="0"/>
                <w:sz w:val="24"/>
              </w:rPr>
            </w:pPr>
          </w:p>
        </w:tc>
      </w:tr>
      <w:tr w14:paraId="3738B95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703" w:hRule="exact"/>
          <w:jc w:val="center"/>
        </w:trPr>
        <w:tc>
          <w:tcPr>
            <w:tcW w:w="2013" w:type="dxa"/>
            <w:tcBorders>
              <w:top w:val="single" w:color="auto" w:sz="4" w:space="0"/>
              <w:left w:val="single" w:color="auto" w:sz="4" w:space="0"/>
              <w:bottom w:val="single" w:color="auto" w:sz="4" w:space="0"/>
              <w:right w:val="single" w:color="auto" w:sz="4" w:space="0"/>
            </w:tcBorders>
            <w:noWrap w:val="0"/>
            <w:vAlign w:val="center"/>
          </w:tcPr>
          <w:p w14:paraId="4B58493E">
            <w:pPr>
              <w:autoSpaceDE w:val="0"/>
              <w:autoSpaceDN w:val="0"/>
              <w:adjustRightInd w:val="0"/>
              <w:spacing w:line="240" w:lineRule="auto"/>
              <w:jc w:val="center"/>
              <w:rPr>
                <w:rFonts w:ascii="宋体" w:hAnsi="宋体"/>
                <w:kern w:val="0"/>
                <w:sz w:val="24"/>
              </w:rPr>
            </w:pPr>
            <w:r>
              <w:rPr>
                <w:rFonts w:hint="eastAsia" w:ascii="宋体" w:hAnsi="宋体" w:cs="MingLiU"/>
                <w:kern w:val="0"/>
                <w:sz w:val="24"/>
              </w:rPr>
              <w:t>注册地址</w:t>
            </w:r>
          </w:p>
        </w:tc>
        <w:tc>
          <w:tcPr>
            <w:tcW w:w="3532" w:type="dxa"/>
            <w:gridSpan w:val="3"/>
            <w:tcBorders>
              <w:top w:val="single" w:color="auto" w:sz="4" w:space="0"/>
              <w:left w:val="single" w:color="auto" w:sz="4" w:space="0"/>
              <w:bottom w:val="single" w:color="auto" w:sz="4" w:space="0"/>
              <w:right w:val="single" w:color="auto" w:sz="4" w:space="0"/>
            </w:tcBorders>
            <w:noWrap w:val="0"/>
            <w:vAlign w:val="center"/>
          </w:tcPr>
          <w:p w14:paraId="3EA2AB4D">
            <w:pPr>
              <w:autoSpaceDE w:val="0"/>
              <w:autoSpaceDN w:val="0"/>
              <w:adjustRightInd w:val="0"/>
              <w:spacing w:line="240" w:lineRule="auto"/>
              <w:jc w:val="center"/>
              <w:rPr>
                <w:rFonts w:ascii="宋体" w:hAnsi="宋体"/>
                <w:kern w:val="0"/>
                <w:sz w:val="24"/>
              </w:rPr>
            </w:pPr>
          </w:p>
        </w:tc>
        <w:tc>
          <w:tcPr>
            <w:tcW w:w="1296" w:type="dxa"/>
            <w:tcBorders>
              <w:top w:val="single" w:color="auto" w:sz="4" w:space="0"/>
              <w:left w:val="single" w:color="auto" w:sz="4" w:space="0"/>
              <w:bottom w:val="single" w:color="auto" w:sz="4" w:space="0"/>
              <w:right w:val="single" w:color="auto" w:sz="4" w:space="0"/>
            </w:tcBorders>
            <w:noWrap w:val="0"/>
            <w:vAlign w:val="center"/>
          </w:tcPr>
          <w:p w14:paraId="01A6E297">
            <w:pPr>
              <w:autoSpaceDE w:val="0"/>
              <w:autoSpaceDN w:val="0"/>
              <w:adjustRightInd w:val="0"/>
              <w:spacing w:line="240" w:lineRule="auto"/>
              <w:jc w:val="center"/>
              <w:rPr>
                <w:rFonts w:ascii="宋体" w:hAnsi="宋体"/>
                <w:kern w:val="0"/>
                <w:sz w:val="24"/>
              </w:rPr>
            </w:pPr>
            <w:r>
              <w:rPr>
                <w:rFonts w:hint="eastAsia" w:ascii="宋体" w:hAnsi="宋体" w:cs="MingLiU"/>
                <w:kern w:val="0"/>
                <w:sz w:val="24"/>
              </w:rPr>
              <w:t>邮政编码</w:t>
            </w:r>
          </w:p>
        </w:tc>
        <w:tc>
          <w:tcPr>
            <w:tcW w:w="2389" w:type="dxa"/>
            <w:gridSpan w:val="2"/>
            <w:tcBorders>
              <w:top w:val="single" w:color="auto" w:sz="4" w:space="0"/>
              <w:left w:val="single" w:color="auto" w:sz="4" w:space="0"/>
              <w:bottom w:val="single" w:color="auto" w:sz="4" w:space="0"/>
              <w:right w:val="single" w:color="auto" w:sz="4" w:space="0"/>
            </w:tcBorders>
            <w:noWrap w:val="0"/>
            <w:vAlign w:val="center"/>
          </w:tcPr>
          <w:p w14:paraId="234FB5F9">
            <w:pPr>
              <w:autoSpaceDE w:val="0"/>
              <w:autoSpaceDN w:val="0"/>
              <w:adjustRightInd w:val="0"/>
              <w:spacing w:line="240" w:lineRule="auto"/>
              <w:jc w:val="center"/>
              <w:rPr>
                <w:rFonts w:ascii="宋体" w:hAnsi="宋体"/>
                <w:kern w:val="0"/>
                <w:sz w:val="24"/>
              </w:rPr>
            </w:pPr>
          </w:p>
        </w:tc>
      </w:tr>
      <w:tr w14:paraId="4EF456B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703" w:hRule="exact"/>
          <w:jc w:val="center"/>
        </w:trPr>
        <w:tc>
          <w:tcPr>
            <w:tcW w:w="2013" w:type="dxa"/>
            <w:vMerge w:val="restart"/>
            <w:tcBorders>
              <w:top w:val="single" w:color="auto" w:sz="4" w:space="0"/>
              <w:left w:val="single" w:color="auto" w:sz="4" w:space="0"/>
              <w:bottom w:val="single" w:color="auto" w:sz="4" w:space="0"/>
              <w:right w:val="single" w:color="auto" w:sz="4" w:space="0"/>
            </w:tcBorders>
            <w:noWrap w:val="0"/>
            <w:vAlign w:val="center"/>
          </w:tcPr>
          <w:p w14:paraId="008A49B2">
            <w:pPr>
              <w:autoSpaceDE w:val="0"/>
              <w:autoSpaceDN w:val="0"/>
              <w:adjustRightInd w:val="0"/>
              <w:spacing w:line="240" w:lineRule="auto"/>
              <w:jc w:val="center"/>
              <w:rPr>
                <w:rFonts w:ascii="宋体" w:hAnsi="宋体"/>
                <w:kern w:val="0"/>
                <w:sz w:val="24"/>
              </w:rPr>
            </w:pPr>
            <w:r>
              <w:rPr>
                <w:rFonts w:hint="eastAsia" w:ascii="宋体" w:hAnsi="宋体" w:cs="MingLiU"/>
                <w:kern w:val="0"/>
                <w:sz w:val="24"/>
              </w:rPr>
              <w:t>联系方式</w:t>
            </w:r>
          </w:p>
        </w:tc>
        <w:tc>
          <w:tcPr>
            <w:tcW w:w="1050" w:type="dxa"/>
            <w:tcBorders>
              <w:top w:val="single" w:color="auto" w:sz="4" w:space="0"/>
              <w:left w:val="single" w:color="auto" w:sz="4" w:space="0"/>
              <w:bottom w:val="single" w:color="auto" w:sz="4" w:space="0"/>
              <w:right w:val="single" w:color="auto" w:sz="4" w:space="0"/>
            </w:tcBorders>
            <w:noWrap w:val="0"/>
            <w:vAlign w:val="center"/>
          </w:tcPr>
          <w:p w14:paraId="496B7C72">
            <w:pPr>
              <w:autoSpaceDE w:val="0"/>
              <w:autoSpaceDN w:val="0"/>
              <w:adjustRightInd w:val="0"/>
              <w:spacing w:line="240" w:lineRule="auto"/>
              <w:jc w:val="center"/>
              <w:rPr>
                <w:rFonts w:ascii="宋体" w:hAnsi="宋体"/>
                <w:kern w:val="0"/>
                <w:sz w:val="24"/>
              </w:rPr>
            </w:pPr>
            <w:r>
              <w:rPr>
                <w:rFonts w:hint="eastAsia" w:ascii="宋体" w:hAnsi="宋体" w:cs="MingLiU"/>
                <w:kern w:val="0"/>
                <w:sz w:val="24"/>
              </w:rPr>
              <w:t>联系人</w:t>
            </w:r>
          </w:p>
        </w:tc>
        <w:tc>
          <w:tcPr>
            <w:tcW w:w="2482" w:type="dxa"/>
            <w:gridSpan w:val="2"/>
            <w:tcBorders>
              <w:top w:val="single" w:color="auto" w:sz="4" w:space="0"/>
              <w:left w:val="single" w:color="auto" w:sz="4" w:space="0"/>
              <w:bottom w:val="single" w:color="auto" w:sz="4" w:space="0"/>
              <w:right w:val="single" w:color="auto" w:sz="4" w:space="0"/>
            </w:tcBorders>
            <w:noWrap w:val="0"/>
            <w:vAlign w:val="center"/>
          </w:tcPr>
          <w:p w14:paraId="1FD6CD86">
            <w:pPr>
              <w:autoSpaceDE w:val="0"/>
              <w:autoSpaceDN w:val="0"/>
              <w:adjustRightInd w:val="0"/>
              <w:spacing w:line="240" w:lineRule="auto"/>
              <w:jc w:val="center"/>
              <w:rPr>
                <w:rFonts w:ascii="宋体" w:hAnsi="宋体"/>
                <w:kern w:val="0"/>
                <w:sz w:val="24"/>
              </w:rPr>
            </w:pPr>
          </w:p>
        </w:tc>
        <w:tc>
          <w:tcPr>
            <w:tcW w:w="1296" w:type="dxa"/>
            <w:tcBorders>
              <w:top w:val="single" w:color="auto" w:sz="4" w:space="0"/>
              <w:left w:val="single" w:color="auto" w:sz="4" w:space="0"/>
              <w:bottom w:val="single" w:color="auto" w:sz="4" w:space="0"/>
              <w:right w:val="single" w:color="auto" w:sz="4" w:space="0"/>
            </w:tcBorders>
            <w:noWrap w:val="0"/>
            <w:vAlign w:val="center"/>
          </w:tcPr>
          <w:p w14:paraId="53D7AAAA">
            <w:pPr>
              <w:autoSpaceDE w:val="0"/>
              <w:autoSpaceDN w:val="0"/>
              <w:adjustRightInd w:val="0"/>
              <w:spacing w:line="240" w:lineRule="auto"/>
              <w:jc w:val="center"/>
              <w:rPr>
                <w:rFonts w:ascii="宋体" w:hAnsi="宋体"/>
                <w:kern w:val="0"/>
                <w:sz w:val="24"/>
              </w:rPr>
            </w:pPr>
            <w:r>
              <w:rPr>
                <w:rFonts w:hint="eastAsia" w:ascii="宋体" w:hAnsi="宋体" w:cs="MingLiU"/>
                <w:kern w:val="0"/>
                <w:sz w:val="24"/>
              </w:rPr>
              <w:t>电话</w:t>
            </w:r>
          </w:p>
        </w:tc>
        <w:tc>
          <w:tcPr>
            <w:tcW w:w="2389" w:type="dxa"/>
            <w:gridSpan w:val="2"/>
            <w:tcBorders>
              <w:top w:val="single" w:color="auto" w:sz="4" w:space="0"/>
              <w:left w:val="single" w:color="auto" w:sz="4" w:space="0"/>
              <w:bottom w:val="single" w:color="auto" w:sz="4" w:space="0"/>
              <w:right w:val="single" w:color="auto" w:sz="4" w:space="0"/>
            </w:tcBorders>
            <w:noWrap w:val="0"/>
            <w:vAlign w:val="center"/>
          </w:tcPr>
          <w:p w14:paraId="46A33E78">
            <w:pPr>
              <w:autoSpaceDE w:val="0"/>
              <w:autoSpaceDN w:val="0"/>
              <w:adjustRightInd w:val="0"/>
              <w:spacing w:line="240" w:lineRule="auto"/>
              <w:jc w:val="center"/>
              <w:rPr>
                <w:rFonts w:ascii="宋体" w:hAnsi="宋体"/>
                <w:kern w:val="0"/>
                <w:sz w:val="24"/>
              </w:rPr>
            </w:pPr>
          </w:p>
        </w:tc>
      </w:tr>
      <w:tr w14:paraId="44F07C0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703" w:hRule="exact"/>
          <w:jc w:val="center"/>
        </w:trPr>
        <w:tc>
          <w:tcPr>
            <w:tcW w:w="2013" w:type="dxa"/>
            <w:vMerge w:val="continue"/>
            <w:tcBorders>
              <w:top w:val="single" w:color="auto" w:sz="4" w:space="0"/>
              <w:left w:val="single" w:color="auto" w:sz="4" w:space="0"/>
              <w:bottom w:val="single" w:color="auto" w:sz="4" w:space="0"/>
              <w:right w:val="single" w:color="auto" w:sz="4" w:space="0"/>
            </w:tcBorders>
            <w:noWrap w:val="0"/>
            <w:vAlign w:val="center"/>
          </w:tcPr>
          <w:p w14:paraId="1B151DB9">
            <w:pPr>
              <w:autoSpaceDE w:val="0"/>
              <w:autoSpaceDN w:val="0"/>
              <w:adjustRightInd w:val="0"/>
              <w:spacing w:line="240" w:lineRule="auto"/>
              <w:jc w:val="center"/>
              <w:rPr>
                <w:rFonts w:ascii="宋体" w:hAnsi="宋体"/>
                <w:kern w:val="0"/>
                <w:sz w:val="24"/>
              </w:rPr>
            </w:pPr>
          </w:p>
        </w:tc>
        <w:tc>
          <w:tcPr>
            <w:tcW w:w="1050" w:type="dxa"/>
            <w:tcBorders>
              <w:top w:val="single" w:color="auto" w:sz="4" w:space="0"/>
              <w:left w:val="single" w:color="auto" w:sz="4" w:space="0"/>
              <w:bottom w:val="single" w:color="auto" w:sz="4" w:space="0"/>
              <w:right w:val="single" w:color="auto" w:sz="4" w:space="0"/>
            </w:tcBorders>
            <w:noWrap w:val="0"/>
            <w:vAlign w:val="center"/>
          </w:tcPr>
          <w:p w14:paraId="26DC5FD6">
            <w:pPr>
              <w:tabs>
                <w:tab w:val="left" w:pos="540"/>
              </w:tabs>
              <w:autoSpaceDE w:val="0"/>
              <w:autoSpaceDN w:val="0"/>
              <w:adjustRightInd w:val="0"/>
              <w:spacing w:line="240" w:lineRule="auto"/>
              <w:jc w:val="center"/>
              <w:rPr>
                <w:rFonts w:ascii="宋体" w:hAnsi="宋体"/>
                <w:kern w:val="0"/>
                <w:sz w:val="24"/>
              </w:rPr>
            </w:pPr>
            <w:r>
              <w:rPr>
                <w:rFonts w:hint="eastAsia" w:ascii="宋体" w:hAnsi="宋体" w:cs="MingLiU"/>
                <w:kern w:val="0"/>
                <w:sz w:val="24"/>
              </w:rPr>
              <w:t>传真</w:t>
            </w:r>
          </w:p>
        </w:tc>
        <w:tc>
          <w:tcPr>
            <w:tcW w:w="2482" w:type="dxa"/>
            <w:gridSpan w:val="2"/>
            <w:tcBorders>
              <w:top w:val="single" w:color="auto" w:sz="4" w:space="0"/>
              <w:left w:val="single" w:color="auto" w:sz="4" w:space="0"/>
              <w:bottom w:val="single" w:color="auto" w:sz="4" w:space="0"/>
              <w:right w:val="single" w:color="auto" w:sz="4" w:space="0"/>
            </w:tcBorders>
            <w:noWrap w:val="0"/>
            <w:vAlign w:val="center"/>
          </w:tcPr>
          <w:p w14:paraId="47D2C9F8">
            <w:pPr>
              <w:autoSpaceDE w:val="0"/>
              <w:autoSpaceDN w:val="0"/>
              <w:adjustRightInd w:val="0"/>
              <w:spacing w:line="240" w:lineRule="auto"/>
              <w:jc w:val="center"/>
              <w:rPr>
                <w:rFonts w:ascii="宋体" w:hAnsi="宋体"/>
                <w:kern w:val="0"/>
                <w:sz w:val="24"/>
              </w:rPr>
            </w:pPr>
          </w:p>
        </w:tc>
        <w:tc>
          <w:tcPr>
            <w:tcW w:w="1296" w:type="dxa"/>
            <w:tcBorders>
              <w:top w:val="single" w:color="auto" w:sz="4" w:space="0"/>
              <w:left w:val="single" w:color="auto" w:sz="4" w:space="0"/>
              <w:bottom w:val="single" w:color="auto" w:sz="4" w:space="0"/>
              <w:right w:val="single" w:color="auto" w:sz="4" w:space="0"/>
            </w:tcBorders>
            <w:noWrap w:val="0"/>
            <w:vAlign w:val="center"/>
          </w:tcPr>
          <w:p w14:paraId="6E1E402A">
            <w:pPr>
              <w:autoSpaceDE w:val="0"/>
              <w:autoSpaceDN w:val="0"/>
              <w:adjustRightInd w:val="0"/>
              <w:spacing w:line="240" w:lineRule="auto"/>
              <w:jc w:val="center"/>
              <w:rPr>
                <w:rFonts w:ascii="宋体" w:hAnsi="宋体"/>
                <w:kern w:val="0"/>
                <w:sz w:val="24"/>
              </w:rPr>
            </w:pPr>
            <w:r>
              <w:rPr>
                <w:rFonts w:hint="eastAsia" w:ascii="宋体" w:hAnsi="宋体" w:cs="MingLiU"/>
                <w:kern w:val="0"/>
                <w:sz w:val="24"/>
              </w:rPr>
              <w:t>电子邮件</w:t>
            </w:r>
          </w:p>
        </w:tc>
        <w:tc>
          <w:tcPr>
            <w:tcW w:w="2389" w:type="dxa"/>
            <w:gridSpan w:val="2"/>
            <w:tcBorders>
              <w:top w:val="single" w:color="auto" w:sz="4" w:space="0"/>
              <w:left w:val="single" w:color="auto" w:sz="4" w:space="0"/>
              <w:bottom w:val="single" w:color="auto" w:sz="4" w:space="0"/>
              <w:right w:val="single" w:color="auto" w:sz="4" w:space="0"/>
            </w:tcBorders>
            <w:noWrap w:val="0"/>
            <w:vAlign w:val="center"/>
          </w:tcPr>
          <w:p w14:paraId="52592303">
            <w:pPr>
              <w:autoSpaceDE w:val="0"/>
              <w:autoSpaceDN w:val="0"/>
              <w:adjustRightInd w:val="0"/>
              <w:spacing w:line="240" w:lineRule="auto"/>
              <w:jc w:val="center"/>
              <w:rPr>
                <w:rFonts w:ascii="宋体" w:hAnsi="宋体"/>
                <w:kern w:val="0"/>
                <w:sz w:val="24"/>
              </w:rPr>
            </w:pPr>
          </w:p>
        </w:tc>
      </w:tr>
      <w:tr w14:paraId="786106B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703" w:hRule="exact"/>
          <w:jc w:val="center"/>
        </w:trPr>
        <w:tc>
          <w:tcPr>
            <w:tcW w:w="2013" w:type="dxa"/>
            <w:tcBorders>
              <w:top w:val="single" w:color="auto" w:sz="4" w:space="0"/>
              <w:left w:val="single" w:color="auto" w:sz="4" w:space="0"/>
              <w:bottom w:val="single" w:color="auto" w:sz="4" w:space="0"/>
              <w:right w:val="single" w:color="auto" w:sz="4" w:space="0"/>
            </w:tcBorders>
            <w:noWrap w:val="0"/>
            <w:vAlign w:val="center"/>
          </w:tcPr>
          <w:p w14:paraId="4F4CB302">
            <w:pPr>
              <w:autoSpaceDE w:val="0"/>
              <w:autoSpaceDN w:val="0"/>
              <w:adjustRightInd w:val="0"/>
              <w:spacing w:line="240" w:lineRule="auto"/>
              <w:jc w:val="center"/>
              <w:rPr>
                <w:rFonts w:ascii="宋体" w:hAnsi="宋体"/>
                <w:kern w:val="0"/>
                <w:sz w:val="24"/>
              </w:rPr>
            </w:pPr>
            <w:r>
              <w:rPr>
                <w:rFonts w:hint="eastAsia" w:ascii="宋体" w:hAnsi="宋体" w:cs="MingLiU"/>
                <w:kern w:val="0"/>
                <w:sz w:val="24"/>
              </w:rPr>
              <w:t>法定代表人（或负责人）</w:t>
            </w:r>
          </w:p>
        </w:tc>
        <w:tc>
          <w:tcPr>
            <w:tcW w:w="1050" w:type="dxa"/>
            <w:tcBorders>
              <w:top w:val="single" w:color="auto" w:sz="4" w:space="0"/>
              <w:left w:val="single" w:color="auto" w:sz="4" w:space="0"/>
              <w:bottom w:val="single" w:color="auto" w:sz="4" w:space="0"/>
              <w:right w:val="single" w:color="auto" w:sz="4" w:space="0"/>
            </w:tcBorders>
            <w:noWrap w:val="0"/>
            <w:vAlign w:val="center"/>
          </w:tcPr>
          <w:p w14:paraId="78288173">
            <w:pPr>
              <w:autoSpaceDE w:val="0"/>
              <w:autoSpaceDN w:val="0"/>
              <w:adjustRightInd w:val="0"/>
              <w:spacing w:line="240" w:lineRule="auto"/>
              <w:jc w:val="center"/>
              <w:rPr>
                <w:rFonts w:ascii="宋体" w:hAnsi="宋体"/>
                <w:kern w:val="0"/>
                <w:sz w:val="24"/>
              </w:rPr>
            </w:pPr>
            <w:r>
              <w:rPr>
                <w:rFonts w:hint="eastAsia" w:ascii="宋体" w:hAnsi="宋体" w:cs="MingLiU"/>
                <w:kern w:val="0"/>
                <w:sz w:val="24"/>
              </w:rPr>
              <w:t>姓名</w:t>
            </w:r>
          </w:p>
        </w:tc>
        <w:tc>
          <w:tcPr>
            <w:tcW w:w="1007" w:type="dxa"/>
            <w:tcBorders>
              <w:top w:val="single" w:color="auto" w:sz="4" w:space="0"/>
              <w:left w:val="single" w:color="auto" w:sz="4" w:space="0"/>
              <w:bottom w:val="single" w:color="auto" w:sz="4" w:space="0"/>
              <w:right w:val="single" w:color="auto" w:sz="4" w:space="0"/>
            </w:tcBorders>
            <w:noWrap w:val="0"/>
            <w:vAlign w:val="center"/>
          </w:tcPr>
          <w:p w14:paraId="53FD569A">
            <w:pPr>
              <w:autoSpaceDE w:val="0"/>
              <w:autoSpaceDN w:val="0"/>
              <w:adjustRightInd w:val="0"/>
              <w:spacing w:line="240" w:lineRule="auto"/>
              <w:jc w:val="center"/>
              <w:rPr>
                <w:rFonts w:ascii="宋体" w:hAnsi="宋体"/>
                <w:kern w:val="0"/>
                <w:sz w:val="24"/>
              </w:rPr>
            </w:pPr>
          </w:p>
        </w:tc>
        <w:tc>
          <w:tcPr>
            <w:tcW w:w="1475" w:type="dxa"/>
            <w:tcBorders>
              <w:top w:val="single" w:color="auto" w:sz="4" w:space="0"/>
              <w:left w:val="single" w:color="auto" w:sz="4" w:space="0"/>
              <w:bottom w:val="single" w:color="auto" w:sz="4" w:space="0"/>
              <w:right w:val="single" w:color="auto" w:sz="4" w:space="0"/>
            </w:tcBorders>
            <w:noWrap w:val="0"/>
            <w:vAlign w:val="center"/>
          </w:tcPr>
          <w:p w14:paraId="35EAFFC5">
            <w:pPr>
              <w:autoSpaceDE w:val="0"/>
              <w:autoSpaceDN w:val="0"/>
              <w:adjustRightInd w:val="0"/>
              <w:spacing w:line="240" w:lineRule="auto"/>
              <w:jc w:val="center"/>
              <w:rPr>
                <w:rFonts w:ascii="宋体" w:hAnsi="宋体"/>
                <w:kern w:val="0"/>
                <w:sz w:val="24"/>
              </w:rPr>
            </w:pPr>
            <w:r>
              <w:rPr>
                <w:rFonts w:hint="eastAsia" w:ascii="宋体" w:hAnsi="宋体" w:cs="MingLiU"/>
                <w:kern w:val="0"/>
                <w:sz w:val="24"/>
              </w:rPr>
              <w:t>技术职称</w:t>
            </w:r>
          </w:p>
        </w:tc>
        <w:tc>
          <w:tcPr>
            <w:tcW w:w="1296" w:type="dxa"/>
            <w:tcBorders>
              <w:top w:val="single" w:color="auto" w:sz="4" w:space="0"/>
              <w:left w:val="single" w:color="auto" w:sz="4" w:space="0"/>
              <w:bottom w:val="single" w:color="auto" w:sz="4" w:space="0"/>
              <w:right w:val="single" w:color="auto" w:sz="4" w:space="0"/>
            </w:tcBorders>
            <w:noWrap w:val="0"/>
            <w:vAlign w:val="center"/>
          </w:tcPr>
          <w:p w14:paraId="337460C0">
            <w:pPr>
              <w:autoSpaceDE w:val="0"/>
              <w:autoSpaceDN w:val="0"/>
              <w:adjustRightInd w:val="0"/>
              <w:spacing w:line="240" w:lineRule="auto"/>
              <w:jc w:val="center"/>
              <w:rPr>
                <w:rFonts w:ascii="宋体" w:hAnsi="宋体"/>
                <w:kern w:val="0"/>
                <w:sz w:val="24"/>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4DCA496">
            <w:pPr>
              <w:autoSpaceDE w:val="0"/>
              <w:autoSpaceDN w:val="0"/>
              <w:adjustRightInd w:val="0"/>
              <w:spacing w:line="240" w:lineRule="auto"/>
              <w:jc w:val="center"/>
              <w:rPr>
                <w:rFonts w:ascii="宋体" w:hAnsi="宋体"/>
                <w:kern w:val="0"/>
                <w:sz w:val="24"/>
              </w:rPr>
            </w:pPr>
            <w:r>
              <w:rPr>
                <w:rFonts w:hint="eastAsia" w:ascii="宋体" w:hAnsi="宋体" w:cs="MingLiU"/>
                <w:kern w:val="0"/>
                <w:sz w:val="24"/>
              </w:rPr>
              <w:t>电话</w:t>
            </w:r>
          </w:p>
        </w:tc>
        <w:tc>
          <w:tcPr>
            <w:tcW w:w="1397" w:type="dxa"/>
            <w:tcBorders>
              <w:top w:val="single" w:color="auto" w:sz="4" w:space="0"/>
              <w:left w:val="single" w:color="auto" w:sz="4" w:space="0"/>
              <w:bottom w:val="single" w:color="auto" w:sz="4" w:space="0"/>
              <w:right w:val="single" w:color="auto" w:sz="4" w:space="0"/>
            </w:tcBorders>
            <w:noWrap w:val="0"/>
            <w:vAlign w:val="center"/>
          </w:tcPr>
          <w:p w14:paraId="468FDE3E">
            <w:pPr>
              <w:autoSpaceDE w:val="0"/>
              <w:autoSpaceDN w:val="0"/>
              <w:adjustRightInd w:val="0"/>
              <w:spacing w:line="240" w:lineRule="auto"/>
              <w:jc w:val="center"/>
              <w:rPr>
                <w:rFonts w:ascii="宋体" w:hAnsi="宋体"/>
                <w:kern w:val="0"/>
                <w:sz w:val="24"/>
              </w:rPr>
            </w:pPr>
          </w:p>
        </w:tc>
      </w:tr>
      <w:tr w14:paraId="4767B70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703" w:hRule="exact"/>
          <w:jc w:val="center"/>
        </w:trPr>
        <w:tc>
          <w:tcPr>
            <w:tcW w:w="2013" w:type="dxa"/>
            <w:tcBorders>
              <w:top w:val="single" w:color="auto" w:sz="4" w:space="0"/>
              <w:left w:val="single" w:color="auto" w:sz="4" w:space="0"/>
              <w:bottom w:val="single" w:color="auto" w:sz="4" w:space="0"/>
              <w:right w:val="single" w:color="auto" w:sz="4" w:space="0"/>
            </w:tcBorders>
            <w:noWrap w:val="0"/>
            <w:vAlign w:val="center"/>
          </w:tcPr>
          <w:p w14:paraId="3ED394B7">
            <w:pPr>
              <w:autoSpaceDE w:val="0"/>
              <w:autoSpaceDN w:val="0"/>
              <w:adjustRightInd w:val="0"/>
              <w:spacing w:line="240" w:lineRule="auto"/>
              <w:jc w:val="center"/>
              <w:rPr>
                <w:rFonts w:ascii="宋体" w:hAnsi="宋体"/>
                <w:kern w:val="0"/>
                <w:sz w:val="24"/>
              </w:rPr>
            </w:pPr>
            <w:r>
              <w:rPr>
                <w:rFonts w:hint="eastAsia" w:ascii="宋体" w:hAnsi="宋体" w:cs="MingLiU"/>
                <w:kern w:val="0"/>
                <w:sz w:val="24"/>
              </w:rPr>
              <w:t>项目负责人</w:t>
            </w:r>
          </w:p>
        </w:tc>
        <w:tc>
          <w:tcPr>
            <w:tcW w:w="1050" w:type="dxa"/>
            <w:tcBorders>
              <w:top w:val="single" w:color="auto" w:sz="4" w:space="0"/>
              <w:left w:val="single" w:color="auto" w:sz="4" w:space="0"/>
              <w:bottom w:val="single" w:color="auto" w:sz="4" w:space="0"/>
              <w:right w:val="single" w:color="auto" w:sz="4" w:space="0"/>
            </w:tcBorders>
            <w:noWrap w:val="0"/>
            <w:vAlign w:val="center"/>
          </w:tcPr>
          <w:p w14:paraId="301E9860">
            <w:pPr>
              <w:autoSpaceDE w:val="0"/>
              <w:autoSpaceDN w:val="0"/>
              <w:adjustRightInd w:val="0"/>
              <w:spacing w:line="240" w:lineRule="auto"/>
              <w:jc w:val="center"/>
              <w:rPr>
                <w:rFonts w:ascii="宋体" w:hAnsi="宋体"/>
                <w:kern w:val="0"/>
                <w:sz w:val="24"/>
              </w:rPr>
            </w:pPr>
            <w:r>
              <w:rPr>
                <w:rFonts w:hint="eastAsia" w:ascii="宋体" w:hAnsi="宋体" w:cs="MingLiU"/>
                <w:kern w:val="0"/>
                <w:sz w:val="24"/>
              </w:rPr>
              <w:t>姓名</w:t>
            </w:r>
          </w:p>
        </w:tc>
        <w:tc>
          <w:tcPr>
            <w:tcW w:w="1007" w:type="dxa"/>
            <w:tcBorders>
              <w:top w:val="single" w:color="auto" w:sz="4" w:space="0"/>
              <w:left w:val="single" w:color="auto" w:sz="4" w:space="0"/>
              <w:bottom w:val="single" w:color="auto" w:sz="4" w:space="0"/>
              <w:right w:val="single" w:color="auto" w:sz="4" w:space="0"/>
            </w:tcBorders>
            <w:noWrap w:val="0"/>
            <w:vAlign w:val="center"/>
          </w:tcPr>
          <w:p w14:paraId="4CDE4D1F">
            <w:pPr>
              <w:autoSpaceDE w:val="0"/>
              <w:autoSpaceDN w:val="0"/>
              <w:adjustRightInd w:val="0"/>
              <w:spacing w:line="240" w:lineRule="auto"/>
              <w:jc w:val="center"/>
              <w:rPr>
                <w:rFonts w:ascii="宋体" w:hAnsi="宋体"/>
                <w:kern w:val="0"/>
                <w:sz w:val="24"/>
              </w:rPr>
            </w:pPr>
          </w:p>
        </w:tc>
        <w:tc>
          <w:tcPr>
            <w:tcW w:w="1475" w:type="dxa"/>
            <w:tcBorders>
              <w:top w:val="single" w:color="auto" w:sz="4" w:space="0"/>
              <w:left w:val="single" w:color="auto" w:sz="4" w:space="0"/>
              <w:bottom w:val="single" w:color="auto" w:sz="4" w:space="0"/>
              <w:right w:val="single" w:color="auto" w:sz="4" w:space="0"/>
            </w:tcBorders>
            <w:noWrap w:val="0"/>
            <w:vAlign w:val="center"/>
          </w:tcPr>
          <w:p w14:paraId="2892CF6D">
            <w:pPr>
              <w:autoSpaceDE w:val="0"/>
              <w:autoSpaceDN w:val="0"/>
              <w:adjustRightInd w:val="0"/>
              <w:spacing w:line="240" w:lineRule="auto"/>
              <w:jc w:val="center"/>
              <w:rPr>
                <w:rFonts w:ascii="宋体" w:hAnsi="宋体"/>
                <w:kern w:val="0"/>
                <w:sz w:val="24"/>
              </w:rPr>
            </w:pPr>
            <w:r>
              <w:rPr>
                <w:rFonts w:hint="eastAsia" w:ascii="宋体" w:hAnsi="宋体" w:cs="MingLiU"/>
                <w:kern w:val="0"/>
                <w:sz w:val="24"/>
              </w:rPr>
              <w:t>技术职称</w:t>
            </w:r>
          </w:p>
        </w:tc>
        <w:tc>
          <w:tcPr>
            <w:tcW w:w="1296" w:type="dxa"/>
            <w:tcBorders>
              <w:top w:val="single" w:color="auto" w:sz="4" w:space="0"/>
              <w:left w:val="single" w:color="auto" w:sz="4" w:space="0"/>
              <w:bottom w:val="single" w:color="auto" w:sz="4" w:space="0"/>
              <w:right w:val="single" w:color="auto" w:sz="4" w:space="0"/>
            </w:tcBorders>
            <w:noWrap w:val="0"/>
            <w:vAlign w:val="center"/>
          </w:tcPr>
          <w:p w14:paraId="2A51662D">
            <w:pPr>
              <w:autoSpaceDE w:val="0"/>
              <w:autoSpaceDN w:val="0"/>
              <w:adjustRightInd w:val="0"/>
              <w:spacing w:line="240" w:lineRule="auto"/>
              <w:jc w:val="center"/>
              <w:rPr>
                <w:rFonts w:ascii="宋体" w:hAnsi="宋体"/>
                <w:kern w:val="0"/>
                <w:sz w:val="24"/>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0DEC30D">
            <w:pPr>
              <w:autoSpaceDE w:val="0"/>
              <w:autoSpaceDN w:val="0"/>
              <w:adjustRightInd w:val="0"/>
              <w:spacing w:line="240" w:lineRule="auto"/>
              <w:jc w:val="center"/>
              <w:rPr>
                <w:rFonts w:ascii="宋体" w:hAnsi="宋体"/>
                <w:kern w:val="0"/>
                <w:sz w:val="24"/>
              </w:rPr>
            </w:pPr>
            <w:r>
              <w:rPr>
                <w:rFonts w:hint="eastAsia" w:ascii="宋体" w:hAnsi="宋体" w:cs="MingLiU"/>
                <w:kern w:val="0"/>
                <w:sz w:val="24"/>
              </w:rPr>
              <w:t>电话</w:t>
            </w:r>
          </w:p>
        </w:tc>
        <w:tc>
          <w:tcPr>
            <w:tcW w:w="1397" w:type="dxa"/>
            <w:tcBorders>
              <w:top w:val="single" w:color="auto" w:sz="4" w:space="0"/>
              <w:left w:val="single" w:color="auto" w:sz="4" w:space="0"/>
              <w:bottom w:val="single" w:color="auto" w:sz="4" w:space="0"/>
              <w:right w:val="single" w:color="auto" w:sz="4" w:space="0"/>
            </w:tcBorders>
            <w:noWrap w:val="0"/>
            <w:vAlign w:val="center"/>
          </w:tcPr>
          <w:p w14:paraId="7E003315">
            <w:pPr>
              <w:autoSpaceDE w:val="0"/>
              <w:autoSpaceDN w:val="0"/>
              <w:adjustRightInd w:val="0"/>
              <w:spacing w:line="240" w:lineRule="auto"/>
              <w:jc w:val="center"/>
              <w:rPr>
                <w:rFonts w:ascii="宋体" w:hAnsi="宋体"/>
                <w:kern w:val="0"/>
                <w:sz w:val="24"/>
              </w:rPr>
            </w:pPr>
          </w:p>
        </w:tc>
      </w:tr>
      <w:tr w14:paraId="0FF17E0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703" w:hRule="exact"/>
          <w:jc w:val="center"/>
        </w:trPr>
        <w:tc>
          <w:tcPr>
            <w:tcW w:w="2013" w:type="dxa"/>
            <w:tcBorders>
              <w:top w:val="single" w:color="auto" w:sz="4" w:space="0"/>
              <w:left w:val="single" w:color="auto" w:sz="4" w:space="0"/>
              <w:bottom w:val="single" w:color="auto" w:sz="4" w:space="0"/>
              <w:right w:val="single" w:color="auto" w:sz="4" w:space="0"/>
            </w:tcBorders>
            <w:noWrap w:val="0"/>
            <w:vAlign w:val="center"/>
          </w:tcPr>
          <w:p w14:paraId="2EDA5634">
            <w:pPr>
              <w:autoSpaceDE w:val="0"/>
              <w:autoSpaceDN w:val="0"/>
              <w:adjustRightInd w:val="0"/>
              <w:spacing w:line="240" w:lineRule="auto"/>
              <w:jc w:val="center"/>
              <w:rPr>
                <w:rFonts w:ascii="宋体" w:hAnsi="宋体"/>
                <w:kern w:val="0"/>
                <w:sz w:val="24"/>
              </w:rPr>
            </w:pPr>
            <w:r>
              <w:rPr>
                <w:rFonts w:hint="eastAsia" w:ascii="宋体" w:hAnsi="宋体" w:cs="MingLiU"/>
                <w:kern w:val="0"/>
                <w:sz w:val="24"/>
              </w:rPr>
              <w:t>成立时间</w:t>
            </w:r>
          </w:p>
        </w:tc>
        <w:tc>
          <w:tcPr>
            <w:tcW w:w="7217" w:type="dxa"/>
            <w:gridSpan w:val="6"/>
            <w:tcBorders>
              <w:top w:val="single" w:color="auto" w:sz="4" w:space="0"/>
              <w:left w:val="single" w:color="auto" w:sz="4" w:space="0"/>
              <w:bottom w:val="single" w:color="auto" w:sz="4" w:space="0"/>
              <w:right w:val="single" w:color="auto" w:sz="4" w:space="0"/>
            </w:tcBorders>
            <w:noWrap w:val="0"/>
            <w:vAlign w:val="center"/>
          </w:tcPr>
          <w:p w14:paraId="0E28D494">
            <w:pPr>
              <w:autoSpaceDE w:val="0"/>
              <w:autoSpaceDN w:val="0"/>
              <w:adjustRightInd w:val="0"/>
              <w:spacing w:line="240" w:lineRule="auto"/>
              <w:ind w:left="105" w:leftChars="50"/>
              <w:jc w:val="center"/>
              <w:rPr>
                <w:rFonts w:ascii="宋体" w:hAnsi="宋体"/>
                <w:kern w:val="0"/>
                <w:sz w:val="24"/>
                <w:u w:val="single"/>
              </w:rPr>
            </w:pPr>
          </w:p>
        </w:tc>
      </w:tr>
      <w:tr w14:paraId="481EE96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703" w:hRule="exact"/>
          <w:jc w:val="center"/>
        </w:trPr>
        <w:tc>
          <w:tcPr>
            <w:tcW w:w="2013" w:type="dxa"/>
            <w:tcBorders>
              <w:top w:val="single" w:color="auto" w:sz="4" w:space="0"/>
              <w:left w:val="single" w:color="auto" w:sz="4" w:space="0"/>
              <w:bottom w:val="single" w:color="auto" w:sz="4" w:space="0"/>
              <w:right w:val="single" w:color="auto" w:sz="4" w:space="0"/>
            </w:tcBorders>
            <w:noWrap w:val="0"/>
            <w:vAlign w:val="center"/>
          </w:tcPr>
          <w:p w14:paraId="190619B1">
            <w:pPr>
              <w:autoSpaceDE w:val="0"/>
              <w:autoSpaceDN w:val="0"/>
              <w:adjustRightInd w:val="0"/>
              <w:spacing w:line="240" w:lineRule="auto"/>
              <w:jc w:val="center"/>
              <w:rPr>
                <w:rFonts w:ascii="宋体" w:hAnsi="宋体"/>
                <w:kern w:val="0"/>
                <w:sz w:val="24"/>
              </w:rPr>
            </w:pPr>
            <w:r>
              <w:rPr>
                <w:rFonts w:hint="eastAsia" w:ascii="宋体" w:hAnsi="宋体" w:cs="MingLiU"/>
                <w:kern w:val="0"/>
                <w:sz w:val="24"/>
              </w:rPr>
              <w:t>企业资质等级</w:t>
            </w:r>
          </w:p>
        </w:tc>
        <w:tc>
          <w:tcPr>
            <w:tcW w:w="2057" w:type="dxa"/>
            <w:gridSpan w:val="2"/>
            <w:tcBorders>
              <w:top w:val="single" w:color="auto" w:sz="4" w:space="0"/>
              <w:left w:val="single" w:color="auto" w:sz="4" w:space="0"/>
              <w:bottom w:val="single" w:color="auto" w:sz="4" w:space="0"/>
              <w:right w:val="single" w:color="auto" w:sz="4" w:space="0"/>
            </w:tcBorders>
            <w:noWrap w:val="0"/>
            <w:vAlign w:val="center"/>
          </w:tcPr>
          <w:p w14:paraId="17482DDE">
            <w:pPr>
              <w:autoSpaceDE w:val="0"/>
              <w:autoSpaceDN w:val="0"/>
              <w:adjustRightInd w:val="0"/>
              <w:spacing w:line="240" w:lineRule="auto"/>
              <w:jc w:val="center"/>
              <w:rPr>
                <w:rFonts w:ascii="宋体" w:hAnsi="宋体"/>
                <w:kern w:val="0"/>
                <w:sz w:val="24"/>
              </w:rPr>
            </w:pPr>
          </w:p>
        </w:tc>
        <w:tc>
          <w:tcPr>
            <w:tcW w:w="1475" w:type="dxa"/>
            <w:vMerge w:val="restart"/>
            <w:tcBorders>
              <w:top w:val="single" w:color="auto" w:sz="4" w:space="0"/>
              <w:left w:val="single" w:color="auto" w:sz="4" w:space="0"/>
              <w:bottom w:val="single" w:color="auto" w:sz="4" w:space="0"/>
              <w:right w:val="single" w:color="auto" w:sz="4" w:space="0"/>
            </w:tcBorders>
            <w:noWrap w:val="0"/>
            <w:vAlign w:val="center"/>
          </w:tcPr>
          <w:p w14:paraId="0E2777FB">
            <w:pPr>
              <w:autoSpaceDE w:val="0"/>
              <w:autoSpaceDN w:val="0"/>
              <w:adjustRightInd w:val="0"/>
              <w:spacing w:line="240" w:lineRule="auto"/>
              <w:jc w:val="center"/>
              <w:rPr>
                <w:rFonts w:ascii="宋体" w:hAnsi="宋体"/>
                <w:kern w:val="0"/>
                <w:sz w:val="24"/>
              </w:rPr>
            </w:pPr>
            <w:r>
              <w:rPr>
                <w:rFonts w:hint="eastAsia" w:ascii="宋体" w:hAnsi="宋体" w:cs="MingLiU"/>
                <w:kern w:val="0"/>
                <w:sz w:val="24"/>
              </w:rPr>
              <w:t>其中</w:t>
            </w:r>
          </w:p>
        </w:tc>
        <w:tc>
          <w:tcPr>
            <w:tcW w:w="2288" w:type="dxa"/>
            <w:gridSpan w:val="2"/>
            <w:tcBorders>
              <w:top w:val="single" w:color="auto" w:sz="4" w:space="0"/>
              <w:left w:val="single" w:color="auto" w:sz="4" w:space="0"/>
              <w:bottom w:val="single" w:color="auto" w:sz="4" w:space="0"/>
              <w:right w:val="single" w:color="auto" w:sz="4" w:space="0"/>
            </w:tcBorders>
            <w:noWrap w:val="0"/>
            <w:vAlign w:val="center"/>
          </w:tcPr>
          <w:p w14:paraId="4225F810">
            <w:pPr>
              <w:autoSpaceDE w:val="0"/>
              <w:autoSpaceDN w:val="0"/>
              <w:adjustRightInd w:val="0"/>
              <w:spacing w:line="240" w:lineRule="auto"/>
              <w:jc w:val="center"/>
              <w:rPr>
                <w:rFonts w:ascii="宋体" w:hAnsi="宋体"/>
                <w:kern w:val="0"/>
                <w:sz w:val="24"/>
              </w:rPr>
            </w:pPr>
            <w:r>
              <w:rPr>
                <w:rFonts w:hint="eastAsia" w:ascii="宋体" w:hAnsi="宋体" w:cs="MingLiU"/>
                <w:kern w:val="0"/>
                <w:sz w:val="24"/>
              </w:rPr>
              <w:t>员工总人数</w:t>
            </w:r>
          </w:p>
        </w:tc>
        <w:tc>
          <w:tcPr>
            <w:tcW w:w="1397" w:type="dxa"/>
            <w:tcBorders>
              <w:top w:val="single" w:color="auto" w:sz="4" w:space="0"/>
              <w:left w:val="single" w:color="auto" w:sz="4" w:space="0"/>
              <w:bottom w:val="single" w:color="auto" w:sz="4" w:space="0"/>
              <w:right w:val="single" w:color="auto" w:sz="4" w:space="0"/>
            </w:tcBorders>
            <w:noWrap w:val="0"/>
            <w:vAlign w:val="center"/>
          </w:tcPr>
          <w:p w14:paraId="780D4D00">
            <w:pPr>
              <w:autoSpaceDE w:val="0"/>
              <w:autoSpaceDN w:val="0"/>
              <w:adjustRightInd w:val="0"/>
              <w:spacing w:line="240" w:lineRule="auto"/>
              <w:jc w:val="center"/>
              <w:rPr>
                <w:rFonts w:ascii="宋体" w:hAnsi="宋体"/>
                <w:kern w:val="0"/>
                <w:sz w:val="24"/>
              </w:rPr>
            </w:pPr>
          </w:p>
        </w:tc>
      </w:tr>
      <w:tr w14:paraId="3254090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703" w:hRule="exact"/>
          <w:jc w:val="center"/>
        </w:trPr>
        <w:tc>
          <w:tcPr>
            <w:tcW w:w="2013" w:type="dxa"/>
            <w:tcBorders>
              <w:top w:val="single" w:color="auto" w:sz="4" w:space="0"/>
              <w:left w:val="single" w:color="auto" w:sz="4" w:space="0"/>
              <w:bottom w:val="single" w:color="auto" w:sz="4" w:space="0"/>
              <w:right w:val="single" w:color="auto" w:sz="4" w:space="0"/>
            </w:tcBorders>
            <w:noWrap w:val="0"/>
            <w:vAlign w:val="center"/>
          </w:tcPr>
          <w:p w14:paraId="0D0DE025">
            <w:pPr>
              <w:autoSpaceDE w:val="0"/>
              <w:autoSpaceDN w:val="0"/>
              <w:adjustRightInd w:val="0"/>
              <w:spacing w:line="240" w:lineRule="auto"/>
              <w:jc w:val="center"/>
              <w:rPr>
                <w:rFonts w:ascii="宋体" w:hAnsi="宋体"/>
                <w:kern w:val="0"/>
                <w:sz w:val="24"/>
              </w:rPr>
            </w:pPr>
            <w:r>
              <w:rPr>
                <w:rFonts w:hint="eastAsia" w:ascii="宋体" w:hAnsi="宋体" w:cs="MingLiU"/>
                <w:kern w:val="0"/>
                <w:sz w:val="24"/>
              </w:rPr>
              <w:t>统一社会信用代码</w:t>
            </w:r>
          </w:p>
        </w:tc>
        <w:tc>
          <w:tcPr>
            <w:tcW w:w="2057" w:type="dxa"/>
            <w:gridSpan w:val="2"/>
            <w:tcBorders>
              <w:top w:val="single" w:color="auto" w:sz="4" w:space="0"/>
              <w:left w:val="single" w:color="auto" w:sz="4" w:space="0"/>
              <w:bottom w:val="single" w:color="auto" w:sz="4" w:space="0"/>
              <w:right w:val="single" w:color="auto" w:sz="4" w:space="0"/>
            </w:tcBorders>
            <w:noWrap w:val="0"/>
            <w:vAlign w:val="center"/>
          </w:tcPr>
          <w:p w14:paraId="651FDDB4">
            <w:pPr>
              <w:autoSpaceDE w:val="0"/>
              <w:autoSpaceDN w:val="0"/>
              <w:adjustRightInd w:val="0"/>
              <w:spacing w:line="240" w:lineRule="auto"/>
              <w:jc w:val="center"/>
              <w:rPr>
                <w:rFonts w:ascii="宋体" w:hAnsi="宋体"/>
                <w:kern w:val="0"/>
                <w:sz w:val="24"/>
              </w:rPr>
            </w:pPr>
          </w:p>
        </w:tc>
        <w:tc>
          <w:tcPr>
            <w:tcW w:w="1475" w:type="dxa"/>
            <w:vMerge w:val="continue"/>
            <w:tcBorders>
              <w:top w:val="single" w:color="auto" w:sz="4" w:space="0"/>
              <w:left w:val="single" w:color="auto" w:sz="4" w:space="0"/>
              <w:bottom w:val="single" w:color="auto" w:sz="4" w:space="0"/>
              <w:right w:val="single" w:color="auto" w:sz="4" w:space="0"/>
            </w:tcBorders>
            <w:noWrap w:val="0"/>
            <w:vAlign w:val="center"/>
          </w:tcPr>
          <w:p w14:paraId="752771E3">
            <w:pPr>
              <w:autoSpaceDE w:val="0"/>
              <w:autoSpaceDN w:val="0"/>
              <w:adjustRightInd w:val="0"/>
              <w:spacing w:line="240" w:lineRule="auto"/>
              <w:jc w:val="center"/>
              <w:rPr>
                <w:rFonts w:ascii="宋体" w:hAnsi="宋体"/>
                <w:kern w:val="0"/>
                <w:sz w:val="24"/>
              </w:rPr>
            </w:pPr>
          </w:p>
        </w:tc>
        <w:tc>
          <w:tcPr>
            <w:tcW w:w="2288" w:type="dxa"/>
            <w:gridSpan w:val="2"/>
            <w:tcBorders>
              <w:top w:val="single" w:color="auto" w:sz="4" w:space="0"/>
              <w:left w:val="single" w:color="auto" w:sz="4" w:space="0"/>
              <w:bottom w:val="single" w:color="auto" w:sz="4" w:space="0"/>
              <w:right w:val="single" w:color="auto" w:sz="4" w:space="0"/>
            </w:tcBorders>
            <w:noWrap w:val="0"/>
            <w:vAlign w:val="center"/>
          </w:tcPr>
          <w:p w14:paraId="395FCB9E">
            <w:pPr>
              <w:autoSpaceDE w:val="0"/>
              <w:autoSpaceDN w:val="0"/>
              <w:adjustRightInd w:val="0"/>
              <w:spacing w:line="240" w:lineRule="auto"/>
              <w:jc w:val="center"/>
              <w:rPr>
                <w:rFonts w:ascii="宋体" w:hAnsi="宋体"/>
                <w:kern w:val="0"/>
                <w:sz w:val="24"/>
              </w:rPr>
            </w:pPr>
            <w:r>
              <w:rPr>
                <w:rFonts w:hint="eastAsia" w:ascii="宋体" w:hAnsi="宋体" w:cs="MingLiU"/>
                <w:kern w:val="0"/>
                <w:sz w:val="24"/>
              </w:rPr>
              <w:t>高级职称人员</w:t>
            </w:r>
          </w:p>
        </w:tc>
        <w:tc>
          <w:tcPr>
            <w:tcW w:w="1397" w:type="dxa"/>
            <w:tcBorders>
              <w:top w:val="single" w:color="auto" w:sz="4" w:space="0"/>
              <w:left w:val="single" w:color="auto" w:sz="4" w:space="0"/>
              <w:bottom w:val="single" w:color="auto" w:sz="4" w:space="0"/>
              <w:right w:val="single" w:color="auto" w:sz="4" w:space="0"/>
            </w:tcBorders>
            <w:noWrap w:val="0"/>
            <w:vAlign w:val="center"/>
          </w:tcPr>
          <w:p w14:paraId="70D3D737">
            <w:pPr>
              <w:autoSpaceDE w:val="0"/>
              <w:autoSpaceDN w:val="0"/>
              <w:adjustRightInd w:val="0"/>
              <w:spacing w:line="240" w:lineRule="auto"/>
              <w:jc w:val="center"/>
              <w:rPr>
                <w:rFonts w:ascii="宋体" w:hAnsi="宋体"/>
                <w:kern w:val="0"/>
                <w:sz w:val="24"/>
              </w:rPr>
            </w:pPr>
          </w:p>
        </w:tc>
      </w:tr>
      <w:tr w14:paraId="65FFF54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703" w:hRule="exact"/>
          <w:jc w:val="center"/>
        </w:trPr>
        <w:tc>
          <w:tcPr>
            <w:tcW w:w="2013" w:type="dxa"/>
            <w:tcBorders>
              <w:top w:val="single" w:color="auto" w:sz="4" w:space="0"/>
              <w:left w:val="single" w:color="auto" w:sz="4" w:space="0"/>
              <w:bottom w:val="single" w:color="auto" w:sz="4" w:space="0"/>
              <w:right w:val="single" w:color="auto" w:sz="4" w:space="0"/>
            </w:tcBorders>
            <w:noWrap w:val="0"/>
            <w:vAlign w:val="center"/>
          </w:tcPr>
          <w:p w14:paraId="14CBFF6A">
            <w:pPr>
              <w:autoSpaceDE w:val="0"/>
              <w:autoSpaceDN w:val="0"/>
              <w:adjustRightInd w:val="0"/>
              <w:spacing w:line="240" w:lineRule="auto"/>
              <w:jc w:val="center"/>
              <w:rPr>
                <w:rFonts w:ascii="宋体" w:hAnsi="宋体"/>
                <w:kern w:val="0"/>
                <w:sz w:val="24"/>
              </w:rPr>
            </w:pPr>
            <w:r>
              <w:rPr>
                <w:rFonts w:hint="eastAsia" w:ascii="宋体" w:hAnsi="宋体" w:cs="MingLiU"/>
                <w:kern w:val="0"/>
                <w:sz w:val="24"/>
              </w:rPr>
              <w:t>注册资金</w:t>
            </w:r>
          </w:p>
        </w:tc>
        <w:tc>
          <w:tcPr>
            <w:tcW w:w="2057" w:type="dxa"/>
            <w:gridSpan w:val="2"/>
            <w:tcBorders>
              <w:top w:val="single" w:color="auto" w:sz="4" w:space="0"/>
              <w:left w:val="single" w:color="auto" w:sz="4" w:space="0"/>
              <w:bottom w:val="single" w:color="auto" w:sz="4" w:space="0"/>
              <w:right w:val="single" w:color="auto" w:sz="4" w:space="0"/>
            </w:tcBorders>
            <w:noWrap w:val="0"/>
            <w:vAlign w:val="center"/>
          </w:tcPr>
          <w:p w14:paraId="76A7057C">
            <w:pPr>
              <w:autoSpaceDE w:val="0"/>
              <w:autoSpaceDN w:val="0"/>
              <w:adjustRightInd w:val="0"/>
              <w:spacing w:line="240" w:lineRule="auto"/>
              <w:jc w:val="center"/>
              <w:rPr>
                <w:rFonts w:ascii="宋体" w:hAnsi="宋体"/>
                <w:kern w:val="0"/>
                <w:sz w:val="24"/>
              </w:rPr>
            </w:pPr>
          </w:p>
        </w:tc>
        <w:tc>
          <w:tcPr>
            <w:tcW w:w="1475" w:type="dxa"/>
            <w:vMerge w:val="continue"/>
            <w:tcBorders>
              <w:top w:val="single" w:color="auto" w:sz="4" w:space="0"/>
              <w:left w:val="single" w:color="auto" w:sz="4" w:space="0"/>
              <w:bottom w:val="single" w:color="auto" w:sz="4" w:space="0"/>
              <w:right w:val="single" w:color="auto" w:sz="4" w:space="0"/>
            </w:tcBorders>
            <w:noWrap w:val="0"/>
            <w:vAlign w:val="center"/>
          </w:tcPr>
          <w:p w14:paraId="6E64257D">
            <w:pPr>
              <w:autoSpaceDE w:val="0"/>
              <w:autoSpaceDN w:val="0"/>
              <w:adjustRightInd w:val="0"/>
              <w:spacing w:line="240" w:lineRule="auto"/>
              <w:jc w:val="center"/>
              <w:rPr>
                <w:rFonts w:ascii="宋体" w:hAnsi="宋体"/>
                <w:kern w:val="0"/>
                <w:sz w:val="24"/>
              </w:rPr>
            </w:pPr>
          </w:p>
        </w:tc>
        <w:tc>
          <w:tcPr>
            <w:tcW w:w="2288" w:type="dxa"/>
            <w:gridSpan w:val="2"/>
            <w:tcBorders>
              <w:top w:val="single" w:color="auto" w:sz="4" w:space="0"/>
              <w:left w:val="single" w:color="auto" w:sz="4" w:space="0"/>
              <w:bottom w:val="single" w:color="auto" w:sz="4" w:space="0"/>
              <w:right w:val="single" w:color="auto" w:sz="4" w:space="0"/>
            </w:tcBorders>
            <w:noWrap w:val="0"/>
            <w:vAlign w:val="center"/>
          </w:tcPr>
          <w:p w14:paraId="3243ABD3">
            <w:pPr>
              <w:autoSpaceDE w:val="0"/>
              <w:autoSpaceDN w:val="0"/>
              <w:adjustRightInd w:val="0"/>
              <w:spacing w:line="240" w:lineRule="auto"/>
              <w:jc w:val="center"/>
              <w:rPr>
                <w:rFonts w:ascii="宋体" w:hAnsi="宋体"/>
                <w:kern w:val="0"/>
                <w:sz w:val="24"/>
              </w:rPr>
            </w:pPr>
            <w:r>
              <w:rPr>
                <w:rFonts w:hint="eastAsia" w:ascii="宋体" w:hAnsi="宋体" w:cs="MingLiU"/>
                <w:kern w:val="0"/>
                <w:sz w:val="24"/>
              </w:rPr>
              <w:t>中级职称人员</w:t>
            </w:r>
          </w:p>
        </w:tc>
        <w:tc>
          <w:tcPr>
            <w:tcW w:w="1397" w:type="dxa"/>
            <w:tcBorders>
              <w:top w:val="single" w:color="auto" w:sz="4" w:space="0"/>
              <w:left w:val="single" w:color="auto" w:sz="4" w:space="0"/>
              <w:bottom w:val="single" w:color="auto" w:sz="4" w:space="0"/>
              <w:right w:val="single" w:color="auto" w:sz="4" w:space="0"/>
            </w:tcBorders>
            <w:noWrap w:val="0"/>
            <w:vAlign w:val="center"/>
          </w:tcPr>
          <w:p w14:paraId="0C167B93">
            <w:pPr>
              <w:autoSpaceDE w:val="0"/>
              <w:autoSpaceDN w:val="0"/>
              <w:adjustRightInd w:val="0"/>
              <w:spacing w:line="240" w:lineRule="auto"/>
              <w:jc w:val="center"/>
              <w:rPr>
                <w:rFonts w:ascii="宋体" w:hAnsi="宋体"/>
                <w:kern w:val="0"/>
                <w:sz w:val="24"/>
              </w:rPr>
            </w:pPr>
          </w:p>
        </w:tc>
      </w:tr>
      <w:tr w14:paraId="273F67F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703" w:hRule="exact"/>
          <w:jc w:val="center"/>
        </w:trPr>
        <w:tc>
          <w:tcPr>
            <w:tcW w:w="2013" w:type="dxa"/>
            <w:tcBorders>
              <w:top w:val="single" w:color="auto" w:sz="4" w:space="0"/>
              <w:left w:val="single" w:color="auto" w:sz="4" w:space="0"/>
              <w:bottom w:val="single" w:color="auto" w:sz="4" w:space="0"/>
              <w:right w:val="single" w:color="auto" w:sz="4" w:space="0"/>
            </w:tcBorders>
            <w:noWrap w:val="0"/>
            <w:vAlign w:val="center"/>
          </w:tcPr>
          <w:p w14:paraId="42941CC0">
            <w:pPr>
              <w:autoSpaceDE w:val="0"/>
              <w:autoSpaceDN w:val="0"/>
              <w:adjustRightInd w:val="0"/>
              <w:spacing w:line="240" w:lineRule="auto"/>
              <w:jc w:val="center"/>
              <w:rPr>
                <w:rFonts w:ascii="宋体" w:hAnsi="宋体"/>
                <w:kern w:val="0"/>
                <w:sz w:val="24"/>
              </w:rPr>
            </w:pPr>
            <w:r>
              <w:rPr>
                <w:rFonts w:hint="eastAsia" w:ascii="宋体" w:hAnsi="宋体" w:cs="MingLiU"/>
                <w:kern w:val="0"/>
                <w:sz w:val="24"/>
              </w:rPr>
              <w:t>基本账户开户银行</w:t>
            </w:r>
          </w:p>
        </w:tc>
        <w:tc>
          <w:tcPr>
            <w:tcW w:w="2057" w:type="dxa"/>
            <w:gridSpan w:val="2"/>
            <w:tcBorders>
              <w:top w:val="single" w:color="auto" w:sz="4" w:space="0"/>
              <w:left w:val="single" w:color="auto" w:sz="4" w:space="0"/>
              <w:bottom w:val="single" w:color="auto" w:sz="4" w:space="0"/>
              <w:right w:val="single" w:color="auto" w:sz="4" w:space="0"/>
            </w:tcBorders>
            <w:noWrap w:val="0"/>
            <w:vAlign w:val="center"/>
          </w:tcPr>
          <w:p w14:paraId="560D726F">
            <w:pPr>
              <w:autoSpaceDE w:val="0"/>
              <w:autoSpaceDN w:val="0"/>
              <w:adjustRightInd w:val="0"/>
              <w:spacing w:line="240" w:lineRule="auto"/>
              <w:jc w:val="center"/>
              <w:rPr>
                <w:rFonts w:ascii="宋体" w:hAnsi="宋体"/>
                <w:kern w:val="0"/>
                <w:sz w:val="24"/>
              </w:rPr>
            </w:pPr>
          </w:p>
        </w:tc>
        <w:tc>
          <w:tcPr>
            <w:tcW w:w="1475" w:type="dxa"/>
            <w:vMerge w:val="continue"/>
            <w:tcBorders>
              <w:top w:val="single" w:color="auto" w:sz="4" w:space="0"/>
              <w:left w:val="single" w:color="auto" w:sz="4" w:space="0"/>
              <w:bottom w:val="single" w:color="auto" w:sz="4" w:space="0"/>
              <w:right w:val="single" w:color="auto" w:sz="4" w:space="0"/>
            </w:tcBorders>
            <w:noWrap w:val="0"/>
            <w:vAlign w:val="center"/>
          </w:tcPr>
          <w:p w14:paraId="773AC804">
            <w:pPr>
              <w:autoSpaceDE w:val="0"/>
              <w:autoSpaceDN w:val="0"/>
              <w:adjustRightInd w:val="0"/>
              <w:spacing w:line="240" w:lineRule="auto"/>
              <w:jc w:val="center"/>
              <w:rPr>
                <w:rFonts w:ascii="宋体" w:hAnsi="宋体"/>
                <w:kern w:val="0"/>
                <w:sz w:val="24"/>
              </w:rPr>
            </w:pPr>
          </w:p>
        </w:tc>
        <w:tc>
          <w:tcPr>
            <w:tcW w:w="2288" w:type="dxa"/>
            <w:gridSpan w:val="2"/>
            <w:tcBorders>
              <w:top w:val="single" w:color="auto" w:sz="4" w:space="0"/>
              <w:left w:val="single" w:color="auto" w:sz="4" w:space="0"/>
              <w:bottom w:val="single" w:color="auto" w:sz="4" w:space="0"/>
              <w:right w:val="single" w:color="auto" w:sz="4" w:space="0"/>
            </w:tcBorders>
            <w:noWrap w:val="0"/>
            <w:vAlign w:val="center"/>
          </w:tcPr>
          <w:p w14:paraId="230552B1">
            <w:pPr>
              <w:autoSpaceDE w:val="0"/>
              <w:autoSpaceDN w:val="0"/>
              <w:adjustRightInd w:val="0"/>
              <w:spacing w:line="240" w:lineRule="auto"/>
              <w:jc w:val="center"/>
              <w:rPr>
                <w:rFonts w:ascii="宋体" w:hAnsi="宋体"/>
                <w:kern w:val="0"/>
                <w:sz w:val="24"/>
              </w:rPr>
            </w:pPr>
            <w:r>
              <w:rPr>
                <w:rFonts w:hint="eastAsia" w:ascii="宋体" w:hAnsi="宋体" w:cs="MingLiU"/>
                <w:kern w:val="0"/>
                <w:sz w:val="24"/>
              </w:rPr>
              <w:t>初级职称人员</w:t>
            </w:r>
          </w:p>
        </w:tc>
        <w:tc>
          <w:tcPr>
            <w:tcW w:w="1397" w:type="dxa"/>
            <w:tcBorders>
              <w:top w:val="single" w:color="auto" w:sz="4" w:space="0"/>
              <w:left w:val="single" w:color="auto" w:sz="4" w:space="0"/>
              <w:bottom w:val="single" w:color="auto" w:sz="4" w:space="0"/>
              <w:right w:val="single" w:color="auto" w:sz="4" w:space="0"/>
            </w:tcBorders>
            <w:noWrap w:val="0"/>
            <w:vAlign w:val="center"/>
          </w:tcPr>
          <w:p w14:paraId="748B7DF3">
            <w:pPr>
              <w:autoSpaceDE w:val="0"/>
              <w:autoSpaceDN w:val="0"/>
              <w:adjustRightInd w:val="0"/>
              <w:spacing w:line="240" w:lineRule="auto"/>
              <w:jc w:val="center"/>
              <w:rPr>
                <w:rFonts w:ascii="宋体" w:hAnsi="宋体"/>
                <w:kern w:val="0"/>
                <w:sz w:val="24"/>
              </w:rPr>
            </w:pPr>
          </w:p>
        </w:tc>
      </w:tr>
      <w:tr w14:paraId="593D9FB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703" w:hRule="exact"/>
          <w:jc w:val="center"/>
        </w:trPr>
        <w:tc>
          <w:tcPr>
            <w:tcW w:w="2013" w:type="dxa"/>
            <w:tcBorders>
              <w:top w:val="single" w:color="auto" w:sz="4" w:space="0"/>
              <w:left w:val="single" w:color="auto" w:sz="4" w:space="0"/>
              <w:bottom w:val="single" w:color="auto" w:sz="4" w:space="0"/>
              <w:right w:val="single" w:color="auto" w:sz="4" w:space="0"/>
            </w:tcBorders>
            <w:noWrap w:val="0"/>
            <w:vAlign w:val="center"/>
          </w:tcPr>
          <w:p w14:paraId="111E5635">
            <w:pPr>
              <w:autoSpaceDE w:val="0"/>
              <w:autoSpaceDN w:val="0"/>
              <w:adjustRightInd w:val="0"/>
              <w:spacing w:line="240" w:lineRule="auto"/>
              <w:jc w:val="center"/>
              <w:rPr>
                <w:rFonts w:ascii="宋体" w:hAnsi="宋体"/>
                <w:kern w:val="0"/>
                <w:sz w:val="24"/>
              </w:rPr>
            </w:pPr>
            <w:r>
              <w:rPr>
                <w:rFonts w:hint="eastAsia" w:ascii="宋体" w:hAnsi="宋体" w:cs="MingLiU"/>
                <w:kern w:val="0"/>
                <w:sz w:val="24"/>
              </w:rPr>
              <w:t>基本账户账号</w:t>
            </w:r>
          </w:p>
        </w:tc>
        <w:tc>
          <w:tcPr>
            <w:tcW w:w="2057" w:type="dxa"/>
            <w:gridSpan w:val="2"/>
            <w:tcBorders>
              <w:top w:val="single" w:color="auto" w:sz="4" w:space="0"/>
              <w:left w:val="single" w:color="auto" w:sz="4" w:space="0"/>
              <w:bottom w:val="single" w:color="auto" w:sz="4" w:space="0"/>
              <w:right w:val="single" w:color="auto" w:sz="4" w:space="0"/>
            </w:tcBorders>
            <w:noWrap w:val="0"/>
            <w:vAlign w:val="center"/>
          </w:tcPr>
          <w:p w14:paraId="01CE45EF">
            <w:pPr>
              <w:autoSpaceDE w:val="0"/>
              <w:autoSpaceDN w:val="0"/>
              <w:adjustRightInd w:val="0"/>
              <w:spacing w:line="240" w:lineRule="auto"/>
              <w:jc w:val="center"/>
              <w:rPr>
                <w:rFonts w:ascii="宋体" w:hAnsi="宋体"/>
                <w:kern w:val="0"/>
                <w:sz w:val="24"/>
              </w:rPr>
            </w:pPr>
          </w:p>
        </w:tc>
        <w:tc>
          <w:tcPr>
            <w:tcW w:w="1475" w:type="dxa"/>
            <w:vMerge w:val="continue"/>
            <w:tcBorders>
              <w:top w:val="single" w:color="auto" w:sz="4" w:space="0"/>
              <w:left w:val="single" w:color="auto" w:sz="4" w:space="0"/>
              <w:bottom w:val="single" w:color="auto" w:sz="4" w:space="0"/>
              <w:right w:val="single" w:color="auto" w:sz="4" w:space="0"/>
            </w:tcBorders>
            <w:noWrap w:val="0"/>
            <w:vAlign w:val="center"/>
          </w:tcPr>
          <w:p w14:paraId="7F60DC29">
            <w:pPr>
              <w:autoSpaceDE w:val="0"/>
              <w:autoSpaceDN w:val="0"/>
              <w:adjustRightInd w:val="0"/>
              <w:spacing w:line="240" w:lineRule="auto"/>
              <w:jc w:val="center"/>
              <w:rPr>
                <w:rFonts w:ascii="宋体" w:hAnsi="宋体"/>
                <w:kern w:val="0"/>
                <w:sz w:val="24"/>
              </w:rPr>
            </w:pPr>
          </w:p>
        </w:tc>
        <w:tc>
          <w:tcPr>
            <w:tcW w:w="2288" w:type="dxa"/>
            <w:gridSpan w:val="2"/>
            <w:tcBorders>
              <w:top w:val="single" w:color="auto" w:sz="4" w:space="0"/>
              <w:left w:val="single" w:color="auto" w:sz="4" w:space="0"/>
              <w:bottom w:val="single" w:color="auto" w:sz="4" w:space="0"/>
              <w:right w:val="single" w:color="auto" w:sz="4" w:space="0"/>
            </w:tcBorders>
            <w:noWrap w:val="0"/>
            <w:vAlign w:val="center"/>
          </w:tcPr>
          <w:p w14:paraId="639DB33E">
            <w:pPr>
              <w:tabs>
                <w:tab w:val="left" w:pos="1240"/>
              </w:tabs>
              <w:autoSpaceDE w:val="0"/>
              <w:autoSpaceDN w:val="0"/>
              <w:adjustRightInd w:val="0"/>
              <w:spacing w:before="98" w:line="240" w:lineRule="auto"/>
              <w:jc w:val="center"/>
              <w:rPr>
                <w:rFonts w:ascii="宋体" w:hAnsi="宋体"/>
                <w:kern w:val="0"/>
                <w:sz w:val="24"/>
              </w:rPr>
            </w:pPr>
            <w:r>
              <w:rPr>
                <w:rFonts w:hint="eastAsia" w:ascii="宋体" w:hAnsi="宋体" w:cs="MingLiU"/>
                <w:kern w:val="0"/>
                <w:sz w:val="24"/>
              </w:rPr>
              <w:t>技工</w:t>
            </w:r>
          </w:p>
        </w:tc>
        <w:tc>
          <w:tcPr>
            <w:tcW w:w="1397" w:type="dxa"/>
            <w:tcBorders>
              <w:top w:val="single" w:color="auto" w:sz="4" w:space="0"/>
              <w:left w:val="single" w:color="auto" w:sz="4" w:space="0"/>
              <w:bottom w:val="single" w:color="auto" w:sz="4" w:space="0"/>
              <w:right w:val="single" w:color="auto" w:sz="4" w:space="0"/>
            </w:tcBorders>
            <w:noWrap w:val="0"/>
            <w:vAlign w:val="center"/>
          </w:tcPr>
          <w:p w14:paraId="10095504">
            <w:pPr>
              <w:autoSpaceDE w:val="0"/>
              <w:autoSpaceDN w:val="0"/>
              <w:adjustRightInd w:val="0"/>
              <w:spacing w:line="240" w:lineRule="auto"/>
              <w:jc w:val="center"/>
              <w:rPr>
                <w:rFonts w:ascii="宋体" w:hAnsi="宋体"/>
                <w:kern w:val="0"/>
                <w:sz w:val="24"/>
              </w:rPr>
            </w:pPr>
          </w:p>
        </w:tc>
      </w:tr>
      <w:tr w14:paraId="4817C8A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690" w:hRule="exact"/>
          <w:jc w:val="center"/>
        </w:trPr>
        <w:tc>
          <w:tcPr>
            <w:tcW w:w="2013" w:type="dxa"/>
            <w:tcBorders>
              <w:top w:val="single" w:color="auto" w:sz="4" w:space="0"/>
              <w:left w:val="single" w:color="auto" w:sz="4" w:space="0"/>
              <w:bottom w:val="single" w:color="auto" w:sz="4" w:space="0"/>
              <w:right w:val="single" w:color="auto" w:sz="4" w:space="0"/>
            </w:tcBorders>
            <w:noWrap w:val="0"/>
            <w:vAlign w:val="center"/>
          </w:tcPr>
          <w:p w14:paraId="04491EEA">
            <w:pPr>
              <w:autoSpaceDE w:val="0"/>
              <w:autoSpaceDN w:val="0"/>
              <w:adjustRightInd w:val="0"/>
              <w:spacing w:line="240" w:lineRule="auto"/>
              <w:jc w:val="center"/>
              <w:rPr>
                <w:rFonts w:ascii="宋体" w:hAnsi="宋体"/>
                <w:kern w:val="0"/>
                <w:sz w:val="24"/>
              </w:rPr>
            </w:pPr>
            <w:r>
              <w:rPr>
                <w:rFonts w:hint="eastAsia" w:ascii="宋体" w:hAnsi="宋体" w:cs="MingLiU"/>
                <w:kern w:val="0"/>
                <w:sz w:val="24"/>
              </w:rPr>
              <w:t>经营范围</w:t>
            </w:r>
          </w:p>
        </w:tc>
        <w:tc>
          <w:tcPr>
            <w:tcW w:w="7217" w:type="dxa"/>
            <w:gridSpan w:val="6"/>
            <w:tcBorders>
              <w:top w:val="single" w:color="auto" w:sz="4" w:space="0"/>
              <w:left w:val="single" w:color="auto" w:sz="4" w:space="0"/>
              <w:bottom w:val="single" w:color="auto" w:sz="4" w:space="0"/>
              <w:right w:val="single" w:color="auto" w:sz="4" w:space="0"/>
            </w:tcBorders>
            <w:noWrap w:val="0"/>
            <w:vAlign w:val="center"/>
          </w:tcPr>
          <w:p w14:paraId="3A03C0D0">
            <w:pPr>
              <w:autoSpaceDE w:val="0"/>
              <w:autoSpaceDN w:val="0"/>
              <w:adjustRightInd w:val="0"/>
              <w:spacing w:line="240" w:lineRule="auto"/>
              <w:jc w:val="center"/>
              <w:rPr>
                <w:rFonts w:ascii="宋体" w:hAnsi="宋体"/>
                <w:kern w:val="0"/>
                <w:sz w:val="24"/>
              </w:rPr>
            </w:pPr>
          </w:p>
        </w:tc>
      </w:tr>
      <w:tr w14:paraId="31D2F66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161" w:hRule="exact"/>
          <w:jc w:val="center"/>
        </w:trPr>
        <w:tc>
          <w:tcPr>
            <w:tcW w:w="2013" w:type="dxa"/>
            <w:tcBorders>
              <w:top w:val="single" w:color="auto" w:sz="4" w:space="0"/>
              <w:left w:val="single" w:color="auto" w:sz="4" w:space="0"/>
              <w:bottom w:val="single" w:color="auto" w:sz="4" w:space="0"/>
              <w:right w:val="single" w:color="auto" w:sz="4" w:space="0"/>
            </w:tcBorders>
            <w:noWrap w:val="0"/>
            <w:vAlign w:val="center"/>
          </w:tcPr>
          <w:p w14:paraId="70C7ABFF">
            <w:pPr>
              <w:autoSpaceDE w:val="0"/>
              <w:autoSpaceDN w:val="0"/>
              <w:adjustRightInd w:val="0"/>
              <w:spacing w:line="240" w:lineRule="auto"/>
              <w:jc w:val="center"/>
              <w:rPr>
                <w:rFonts w:ascii="宋体" w:hAnsi="宋体"/>
                <w:kern w:val="0"/>
                <w:sz w:val="24"/>
              </w:rPr>
            </w:pPr>
            <w:r>
              <w:rPr>
                <w:rFonts w:hint="eastAsia" w:ascii="宋体" w:hAnsi="宋体" w:cs="MingLiU"/>
                <w:kern w:val="0"/>
                <w:sz w:val="24"/>
              </w:rPr>
              <w:t>备    注</w:t>
            </w:r>
          </w:p>
        </w:tc>
        <w:tc>
          <w:tcPr>
            <w:tcW w:w="7217" w:type="dxa"/>
            <w:gridSpan w:val="6"/>
            <w:tcBorders>
              <w:top w:val="single" w:color="auto" w:sz="4" w:space="0"/>
              <w:left w:val="single" w:color="auto" w:sz="4" w:space="0"/>
              <w:bottom w:val="single" w:color="auto" w:sz="4" w:space="0"/>
              <w:right w:val="single" w:color="auto" w:sz="4" w:space="0"/>
            </w:tcBorders>
            <w:noWrap w:val="0"/>
            <w:vAlign w:val="center"/>
          </w:tcPr>
          <w:p w14:paraId="02B405AB">
            <w:pPr>
              <w:autoSpaceDE w:val="0"/>
              <w:autoSpaceDN w:val="0"/>
              <w:adjustRightInd w:val="0"/>
              <w:spacing w:line="240" w:lineRule="auto"/>
              <w:jc w:val="center"/>
              <w:rPr>
                <w:rFonts w:ascii="宋体" w:hAnsi="宋体"/>
                <w:kern w:val="0"/>
                <w:sz w:val="24"/>
              </w:rPr>
            </w:pPr>
          </w:p>
        </w:tc>
      </w:tr>
    </w:tbl>
    <w:p w14:paraId="565CE37F">
      <w:pPr>
        <w:spacing w:line="360" w:lineRule="auto"/>
        <w:rPr>
          <w:rFonts w:ascii="宋体" w:hAnsi="宋体" w:cs="宋体"/>
          <w:b/>
          <w:sz w:val="24"/>
        </w:rPr>
      </w:pPr>
    </w:p>
    <w:p w14:paraId="5AACCD4A">
      <w:pPr>
        <w:spacing w:line="360" w:lineRule="auto"/>
        <w:rPr>
          <w:rFonts w:ascii="宋体" w:hAnsi="宋体"/>
          <w:sz w:val="24"/>
        </w:rPr>
      </w:pPr>
      <w:r>
        <w:rPr>
          <w:rFonts w:ascii="宋体" w:hAnsi="宋体"/>
          <w:sz w:val="28"/>
          <w:szCs w:val="28"/>
        </w:rPr>
        <w:br w:type="page"/>
      </w:r>
    </w:p>
    <w:p w14:paraId="0EF3327C">
      <w:pPr>
        <w:widowControl/>
        <w:rPr>
          <w:rFonts w:hint="eastAsia" w:ascii="宋体" w:hAnsi="宋体"/>
          <w:sz w:val="28"/>
          <w:szCs w:val="28"/>
        </w:rPr>
      </w:pPr>
    </w:p>
    <w:p w14:paraId="6203A908">
      <w:pPr>
        <w:pStyle w:val="3"/>
        <w:jc w:val="center"/>
        <w:rPr>
          <w:rFonts w:hint="eastAsia"/>
          <w:sz w:val="32"/>
        </w:rPr>
      </w:pPr>
      <w:bookmarkStart w:id="75" w:name="_Toc162021023"/>
      <w:r>
        <w:rPr>
          <w:rFonts w:hint="eastAsia"/>
          <w:sz w:val="32"/>
          <w:lang w:val="en-US" w:eastAsia="zh-CN"/>
        </w:rPr>
        <w:t>七</w:t>
      </w:r>
      <w:r>
        <w:rPr>
          <w:rFonts w:hint="eastAsia"/>
          <w:sz w:val="32"/>
        </w:rPr>
        <w:t>、供应商承诺书</w:t>
      </w:r>
      <w:bookmarkEnd w:id="75"/>
    </w:p>
    <w:p w14:paraId="606D436C">
      <w:pPr>
        <w:jc w:val="center"/>
        <w:rPr>
          <w:rFonts w:ascii="宋体"/>
          <w:b/>
          <w:sz w:val="32"/>
          <w:szCs w:val="32"/>
        </w:rPr>
      </w:pPr>
      <w:bookmarkStart w:id="76" w:name="_Toc11970"/>
      <w:bookmarkStart w:id="77" w:name="_Toc25411"/>
      <w:r>
        <w:rPr>
          <w:rFonts w:hint="eastAsia" w:ascii="宋体" w:hAnsi="宋体"/>
          <w:b/>
          <w:sz w:val="32"/>
          <w:szCs w:val="32"/>
        </w:rPr>
        <w:t>政府采购供应商拒绝政府采购领域商业贿赂承诺书</w:t>
      </w:r>
    </w:p>
    <w:p w14:paraId="0F978CCF">
      <w:pPr>
        <w:ind w:left="420" w:leftChars="200"/>
        <w:rPr>
          <w:rFonts w:ascii="宋体"/>
          <w:b/>
          <w:sz w:val="24"/>
        </w:rPr>
      </w:pPr>
    </w:p>
    <w:p w14:paraId="57B8581C">
      <w:pPr>
        <w:adjustRightInd w:val="0"/>
        <w:snapToGrid w:val="0"/>
        <w:spacing w:line="360" w:lineRule="auto"/>
        <w:ind w:firstLine="480" w:firstLineChars="200"/>
        <w:jc w:val="left"/>
        <w:rPr>
          <w:rFonts w:ascii="宋体"/>
          <w:sz w:val="24"/>
        </w:rPr>
      </w:pPr>
      <w:r>
        <w:rPr>
          <w:rFonts w:hint="eastAsia" w:ascii="宋体" w:hAnsi="宋体"/>
          <w:sz w:val="24"/>
        </w:rPr>
        <w:t>为响应党中央、国务院关于治理政府采购领域商业贿赂行为的号召，我公司在此承诺：</w:t>
      </w:r>
    </w:p>
    <w:p w14:paraId="03BC3BA4">
      <w:pPr>
        <w:pStyle w:val="83"/>
        <w:widowControl w:val="0"/>
        <w:numPr>
          <w:ilvl w:val="0"/>
          <w:numId w:val="10"/>
        </w:numPr>
        <w:adjustRightInd w:val="0"/>
        <w:snapToGrid w:val="0"/>
        <w:spacing w:line="360" w:lineRule="auto"/>
        <w:ind w:left="0" w:firstLine="200"/>
        <w:rPr>
          <w:rFonts w:ascii="宋体"/>
          <w:lang w:eastAsia="zh-CN"/>
        </w:rPr>
      </w:pPr>
      <w:r>
        <w:rPr>
          <w:rFonts w:hint="eastAsia" w:ascii="宋体" w:hAnsi="宋体"/>
          <w:lang w:eastAsia="zh-CN"/>
        </w:rPr>
        <w:t>在参与政府采购活动中遵纪守法、诚信经营、公平竞标。</w:t>
      </w:r>
    </w:p>
    <w:p w14:paraId="1E1A8B72">
      <w:pPr>
        <w:pStyle w:val="83"/>
        <w:widowControl w:val="0"/>
        <w:numPr>
          <w:ilvl w:val="0"/>
          <w:numId w:val="10"/>
        </w:numPr>
        <w:adjustRightInd w:val="0"/>
        <w:snapToGrid w:val="0"/>
        <w:spacing w:line="360" w:lineRule="auto"/>
        <w:ind w:left="0" w:firstLine="200"/>
        <w:rPr>
          <w:rFonts w:ascii="宋体"/>
          <w:lang w:eastAsia="zh-CN"/>
        </w:rPr>
      </w:pPr>
      <w:r>
        <w:rPr>
          <w:rFonts w:hint="eastAsia" w:ascii="宋体" w:hAnsi="宋体"/>
          <w:lang w:eastAsia="zh-CN"/>
        </w:rPr>
        <w:t>不向政府采购人、采购代理机构和政府采购评审专家进行任何形式的商业贿赂以谋取交易机会。</w:t>
      </w:r>
    </w:p>
    <w:p w14:paraId="0580E7E9">
      <w:pPr>
        <w:pStyle w:val="83"/>
        <w:widowControl w:val="0"/>
        <w:numPr>
          <w:ilvl w:val="0"/>
          <w:numId w:val="10"/>
        </w:numPr>
        <w:adjustRightInd w:val="0"/>
        <w:snapToGrid w:val="0"/>
        <w:spacing w:line="360" w:lineRule="auto"/>
        <w:ind w:left="0" w:firstLine="200"/>
        <w:rPr>
          <w:rFonts w:ascii="宋体"/>
          <w:lang w:eastAsia="zh-CN"/>
        </w:rPr>
      </w:pPr>
      <w:r>
        <w:rPr>
          <w:rFonts w:hint="eastAsia" w:ascii="宋体" w:hAnsi="宋体"/>
          <w:lang w:eastAsia="zh-CN"/>
        </w:rPr>
        <w:t>不向政府采购代理机构和采购人提供虚假资质文件或采用虚假应标方式参与政府采购市场竞争并谋取中标、成交。</w:t>
      </w:r>
    </w:p>
    <w:p w14:paraId="1A209F26">
      <w:pPr>
        <w:pStyle w:val="83"/>
        <w:widowControl w:val="0"/>
        <w:numPr>
          <w:ilvl w:val="0"/>
          <w:numId w:val="10"/>
        </w:numPr>
        <w:adjustRightInd w:val="0"/>
        <w:snapToGrid w:val="0"/>
        <w:spacing w:line="360" w:lineRule="auto"/>
        <w:ind w:left="0" w:firstLine="200"/>
        <w:rPr>
          <w:rFonts w:ascii="宋体"/>
          <w:lang w:eastAsia="zh-CN"/>
        </w:rPr>
      </w:pPr>
      <w:r>
        <w:rPr>
          <w:rFonts w:hint="eastAsia" w:ascii="宋体" w:hAnsi="宋体"/>
          <w:lang w:eastAsia="zh-CN"/>
        </w:rPr>
        <w:t>不采取“围标、陪标”等商业欺诈手段获得政府采购定单。</w:t>
      </w:r>
    </w:p>
    <w:p w14:paraId="41B8582C">
      <w:pPr>
        <w:pStyle w:val="83"/>
        <w:widowControl w:val="0"/>
        <w:numPr>
          <w:ilvl w:val="0"/>
          <w:numId w:val="10"/>
        </w:numPr>
        <w:adjustRightInd w:val="0"/>
        <w:snapToGrid w:val="0"/>
        <w:spacing w:line="360" w:lineRule="auto"/>
        <w:ind w:left="0" w:firstLine="200"/>
        <w:rPr>
          <w:rFonts w:ascii="宋体"/>
          <w:lang w:eastAsia="zh-CN"/>
        </w:rPr>
      </w:pPr>
      <w:r>
        <w:rPr>
          <w:rFonts w:hint="eastAsia" w:ascii="宋体" w:hAnsi="宋体"/>
          <w:lang w:eastAsia="zh-CN"/>
        </w:rPr>
        <w:t>不采取不正当手段诋毁、排挤其他供应商。</w:t>
      </w:r>
    </w:p>
    <w:p w14:paraId="56A7E5AF">
      <w:pPr>
        <w:pStyle w:val="83"/>
        <w:widowControl w:val="0"/>
        <w:numPr>
          <w:ilvl w:val="0"/>
          <w:numId w:val="10"/>
        </w:numPr>
        <w:adjustRightInd w:val="0"/>
        <w:snapToGrid w:val="0"/>
        <w:spacing w:line="360" w:lineRule="auto"/>
        <w:ind w:left="0" w:firstLine="200"/>
        <w:rPr>
          <w:rFonts w:ascii="宋体"/>
          <w:lang w:eastAsia="zh-CN"/>
        </w:rPr>
      </w:pPr>
      <w:r>
        <w:rPr>
          <w:rFonts w:hint="eastAsia" w:ascii="宋体" w:hAnsi="宋体"/>
          <w:lang w:eastAsia="zh-CN"/>
        </w:rPr>
        <w:t>不在提供商品和服务时“偷梁换柱、以次充好”损害采购人的合法权益。</w:t>
      </w:r>
    </w:p>
    <w:p w14:paraId="78765239">
      <w:pPr>
        <w:pStyle w:val="83"/>
        <w:widowControl w:val="0"/>
        <w:numPr>
          <w:ilvl w:val="0"/>
          <w:numId w:val="10"/>
        </w:numPr>
        <w:adjustRightInd w:val="0"/>
        <w:snapToGrid w:val="0"/>
        <w:spacing w:line="360" w:lineRule="auto"/>
        <w:ind w:left="0" w:firstLine="200"/>
        <w:rPr>
          <w:rFonts w:ascii="宋体"/>
          <w:lang w:eastAsia="zh-CN"/>
        </w:rPr>
      </w:pPr>
      <w:r>
        <w:rPr>
          <w:rFonts w:hint="eastAsia" w:ascii="宋体" w:hAnsi="宋体"/>
          <w:lang w:eastAsia="zh-CN"/>
        </w:rPr>
        <w:t>不与采购人、采购代理机构政府采购评审专家或其他供应商恶意串通，进行质疑和投诉，维护政府采购市场秩序。</w:t>
      </w:r>
    </w:p>
    <w:p w14:paraId="7A54A790">
      <w:pPr>
        <w:pStyle w:val="83"/>
        <w:widowControl w:val="0"/>
        <w:numPr>
          <w:ilvl w:val="0"/>
          <w:numId w:val="10"/>
        </w:numPr>
        <w:adjustRightInd w:val="0"/>
        <w:snapToGrid w:val="0"/>
        <w:spacing w:line="360" w:lineRule="auto"/>
        <w:ind w:left="0" w:firstLine="200"/>
        <w:rPr>
          <w:rFonts w:ascii="宋体"/>
          <w:lang w:eastAsia="zh-CN"/>
        </w:rPr>
      </w:pPr>
      <w:r>
        <w:rPr>
          <w:rFonts w:hint="eastAsia" w:ascii="宋体" w:hAnsi="宋体"/>
          <w:lang w:eastAsia="zh-CN"/>
        </w:rPr>
        <w:t>尊重和接受政府采购监督管理部门的监督和政府采购代理机构招标采购要求，承担因违约行为给采购人造成的损失。</w:t>
      </w:r>
    </w:p>
    <w:p w14:paraId="5A4C936F">
      <w:pPr>
        <w:pStyle w:val="83"/>
        <w:widowControl w:val="0"/>
        <w:numPr>
          <w:ilvl w:val="0"/>
          <w:numId w:val="10"/>
        </w:numPr>
        <w:adjustRightInd w:val="0"/>
        <w:snapToGrid w:val="0"/>
        <w:spacing w:line="360" w:lineRule="auto"/>
        <w:ind w:left="0" w:firstLine="200"/>
        <w:rPr>
          <w:rFonts w:ascii="宋体"/>
          <w:lang w:eastAsia="zh-CN"/>
        </w:rPr>
      </w:pPr>
      <w:r>
        <w:rPr>
          <w:rFonts w:hint="eastAsia" w:ascii="宋体" w:hAnsi="宋体"/>
          <w:lang w:eastAsia="zh-CN"/>
        </w:rPr>
        <w:t>不发生其他有悖于政府采购公开、公平、公正和诚实信用原则的行为。</w:t>
      </w:r>
    </w:p>
    <w:p w14:paraId="6C47E2FB">
      <w:pPr>
        <w:pStyle w:val="83"/>
        <w:adjustRightInd w:val="0"/>
        <w:snapToGrid w:val="0"/>
        <w:spacing w:line="360" w:lineRule="auto"/>
        <w:rPr>
          <w:rFonts w:ascii="宋体"/>
          <w:lang w:eastAsia="zh-CN"/>
        </w:rPr>
      </w:pPr>
    </w:p>
    <w:p w14:paraId="6AC673E1">
      <w:pPr>
        <w:pStyle w:val="83"/>
        <w:adjustRightInd w:val="0"/>
        <w:snapToGrid w:val="0"/>
        <w:spacing w:line="360" w:lineRule="auto"/>
        <w:ind w:left="0"/>
        <w:rPr>
          <w:rFonts w:hint="eastAsia" w:ascii="宋体"/>
          <w:lang w:eastAsia="zh-CN"/>
        </w:rPr>
      </w:pPr>
    </w:p>
    <w:p w14:paraId="61BAE7FA">
      <w:pPr>
        <w:adjustRightInd w:val="0"/>
        <w:snapToGrid w:val="0"/>
        <w:spacing w:line="360" w:lineRule="auto"/>
        <w:rPr>
          <w:rFonts w:hint="eastAsia" w:ascii="宋体" w:hAnsi="宋体" w:cs="Arial"/>
          <w:sz w:val="24"/>
        </w:rPr>
      </w:pPr>
      <w:r>
        <w:rPr>
          <w:rFonts w:hint="eastAsia" w:ascii="宋体" w:hAnsi="宋体" w:cs="Arial"/>
          <w:sz w:val="24"/>
        </w:rPr>
        <w:t>承诺单位：（盖章）</w:t>
      </w:r>
    </w:p>
    <w:p w14:paraId="39E5641C">
      <w:pPr>
        <w:adjustRightInd w:val="0"/>
        <w:snapToGrid w:val="0"/>
        <w:spacing w:line="360" w:lineRule="auto"/>
        <w:rPr>
          <w:rFonts w:hint="eastAsia" w:ascii="宋体" w:hAnsi="宋体" w:cs="Arial"/>
          <w:sz w:val="24"/>
        </w:rPr>
      </w:pPr>
      <w:r>
        <w:rPr>
          <w:rFonts w:hint="eastAsia" w:ascii="宋体" w:hAnsi="宋体" w:cs="Arial"/>
          <w:sz w:val="24"/>
        </w:rPr>
        <w:t>地址：                   邮编：</w:t>
      </w:r>
    </w:p>
    <w:p w14:paraId="714D8210">
      <w:pPr>
        <w:adjustRightInd w:val="0"/>
        <w:snapToGrid w:val="0"/>
        <w:spacing w:line="360" w:lineRule="auto"/>
        <w:rPr>
          <w:rFonts w:ascii="宋体" w:hAnsi="宋体" w:cs="Arial"/>
          <w:sz w:val="24"/>
        </w:rPr>
      </w:pPr>
      <w:r>
        <w:rPr>
          <w:rFonts w:hint="eastAsia" w:ascii="宋体" w:hAnsi="宋体" w:cs="Arial"/>
          <w:sz w:val="24"/>
        </w:rPr>
        <w:t>电话：</w:t>
      </w:r>
    </w:p>
    <w:p w14:paraId="741ED240">
      <w:pPr>
        <w:adjustRightInd w:val="0"/>
        <w:snapToGrid w:val="0"/>
        <w:spacing w:line="360" w:lineRule="auto"/>
        <w:jc w:val="right"/>
        <w:rPr>
          <w:sz w:val="24"/>
        </w:rPr>
      </w:pPr>
      <w:r>
        <w:rPr>
          <w:rFonts w:hint="eastAsia"/>
          <w:sz w:val="24"/>
        </w:rPr>
        <w:t>年  月  日</w:t>
      </w:r>
    </w:p>
    <w:p w14:paraId="2A0B8565">
      <w:pPr>
        <w:autoSpaceDE w:val="0"/>
        <w:autoSpaceDN w:val="0"/>
        <w:adjustRightInd w:val="0"/>
        <w:snapToGrid w:val="0"/>
        <w:spacing w:line="360" w:lineRule="auto"/>
        <w:jc w:val="center"/>
        <w:rPr>
          <w:rFonts w:eastAsia="仿宋_GB2312"/>
          <w:b/>
          <w:sz w:val="32"/>
          <w:szCs w:val="32"/>
        </w:rPr>
      </w:pPr>
      <w:r>
        <w:rPr>
          <w:sz w:val="24"/>
        </w:rPr>
        <w:br w:type="page"/>
      </w:r>
      <w:r>
        <w:rPr>
          <w:rFonts w:ascii="宋体" w:hAnsi="宋体"/>
          <w:b/>
          <w:sz w:val="32"/>
          <w:szCs w:val="32"/>
        </w:rPr>
        <w:t>供应商企业关系关联承诺书</w:t>
      </w:r>
    </w:p>
    <w:p w14:paraId="56EF1884">
      <w:pPr>
        <w:autoSpaceDE w:val="0"/>
        <w:autoSpaceDN w:val="0"/>
        <w:adjustRightInd w:val="0"/>
        <w:snapToGrid w:val="0"/>
        <w:spacing w:line="360" w:lineRule="auto"/>
        <w:rPr>
          <w:rFonts w:ascii="宋体" w:hAnsi="宋体"/>
          <w:sz w:val="24"/>
        </w:rPr>
      </w:pPr>
    </w:p>
    <w:p w14:paraId="6CD1A296">
      <w:pPr>
        <w:autoSpaceDE w:val="0"/>
        <w:autoSpaceDN w:val="0"/>
        <w:adjustRightInd w:val="0"/>
        <w:snapToGrid w:val="0"/>
        <w:spacing w:line="360" w:lineRule="auto"/>
        <w:rPr>
          <w:rFonts w:ascii="宋体" w:hAnsi="宋体"/>
          <w:sz w:val="24"/>
        </w:rPr>
      </w:pPr>
      <w:r>
        <w:rPr>
          <w:rFonts w:hint="eastAsia" w:ascii="宋体" w:hAnsi="宋体"/>
          <w:sz w:val="24"/>
        </w:rPr>
        <w:t xml:space="preserve">    1、</w:t>
      </w:r>
      <w:r>
        <w:rPr>
          <w:rFonts w:ascii="宋体" w:hAnsi="宋体"/>
          <w:sz w:val="24"/>
        </w:rPr>
        <w:t>供应商股东及股权证明。</w:t>
      </w:r>
    </w:p>
    <w:p w14:paraId="06BB5830">
      <w:pPr>
        <w:autoSpaceDE w:val="0"/>
        <w:autoSpaceDN w:val="0"/>
        <w:adjustRightInd w:val="0"/>
        <w:snapToGrid w:val="0"/>
        <w:spacing w:line="360" w:lineRule="auto"/>
        <w:rPr>
          <w:rFonts w:hint="eastAsia" w:ascii="宋体" w:hAnsi="宋体"/>
          <w:sz w:val="24"/>
        </w:rPr>
      </w:pPr>
      <w:r>
        <w:rPr>
          <w:rFonts w:hint="eastAsia" w:ascii="宋体" w:hAnsi="宋体"/>
          <w:sz w:val="24"/>
        </w:rPr>
        <w:t xml:space="preserve">    2、</w:t>
      </w:r>
      <w:r>
        <w:rPr>
          <w:rFonts w:ascii="宋体" w:hAnsi="宋体"/>
          <w:sz w:val="24"/>
        </w:rPr>
        <w:t>供应商在本磋商项目中，不存在与其它供应商负责人为同一人，有控股、管理等关联关系承诺。</w:t>
      </w:r>
    </w:p>
    <w:p w14:paraId="27DDD7BD">
      <w:pPr>
        <w:autoSpaceDE w:val="0"/>
        <w:autoSpaceDN w:val="0"/>
        <w:adjustRightInd w:val="0"/>
        <w:snapToGrid w:val="0"/>
        <w:spacing w:line="360" w:lineRule="auto"/>
        <w:rPr>
          <w:rFonts w:ascii="宋体" w:hAnsi="宋体"/>
          <w:sz w:val="24"/>
        </w:rPr>
      </w:pPr>
      <w:r>
        <w:rPr>
          <w:rFonts w:ascii="宋体" w:hAnsi="宋体"/>
          <w:sz w:val="24"/>
        </w:rPr>
        <w:t>2-1、管理关系说明：</w:t>
      </w:r>
    </w:p>
    <w:p w14:paraId="5FC57494">
      <w:pPr>
        <w:snapToGrid w:val="0"/>
        <w:spacing w:line="360" w:lineRule="auto"/>
        <w:ind w:firstLine="480" w:firstLineChars="200"/>
        <w:rPr>
          <w:rFonts w:ascii="宋体" w:hAnsi="宋体"/>
          <w:sz w:val="24"/>
        </w:rPr>
      </w:pPr>
      <w:r>
        <w:rPr>
          <w:rFonts w:ascii="宋体" w:hAnsi="宋体"/>
          <w:sz w:val="24"/>
        </w:rPr>
        <w:t>我单位管理的具有独立法人的下属单位有：</w:t>
      </w:r>
      <w:r>
        <w:rPr>
          <w:rFonts w:hint="eastAsia" w:ascii="宋体" w:hAnsi="宋体" w:cs="Tahoma"/>
          <w:kern w:val="0"/>
          <w:sz w:val="24"/>
          <w:u w:val="single"/>
        </w:rPr>
        <w:t xml:space="preserve">             </w:t>
      </w:r>
      <w:r>
        <w:rPr>
          <w:rFonts w:ascii="宋体" w:hAnsi="宋体"/>
          <w:sz w:val="24"/>
        </w:rPr>
        <w:t>。</w:t>
      </w:r>
    </w:p>
    <w:p w14:paraId="29F78612">
      <w:pPr>
        <w:snapToGrid w:val="0"/>
        <w:spacing w:line="360" w:lineRule="auto"/>
        <w:ind w:firstLine="480" w:firstLineChars="200"/>
        <w:rPr>
          <w:rFonts w:ascii="宋体" w:hAnsi="宋体"/>
          <w:sz w:val="24"/>
        </w:rPr>
      </w:pPr>
      <w:r>
        <w:rPr>
          <w:rFonts w:ascii="宋体" w:hAnsi="宋体"/>
          <w:sz w:val="24"/>
        </w:rPr>
        <w:t>我单位的上级管理单位有</w:t>
      </w:r>
      <w:r>
        <w:rPr>
          <w:rFonts w:hint="eastAsia" w:ascii="宋体" w:hAnsi="宋体" w:cs="Tahoma"/>
          <w:kern w:val="0"/>
          <w:sz w:val="24"/>
          <w:u w:val="single"/>
        </w:rPr>
        <w:t xml:space="preserve">               </w:t>
      </w:r>
      <w:r>
        <w:rPr>
          <w:rFonts w:ascii="宋体" w:hAnsi="宋体"/>
          <w:sz w:val="24"/>
        </w:rPr>
        <w:t>。</w:t>
      </w:r>
    </w:p>
    <w:p w14:paraId="089FE83D">
      <w:pPr>
        <w:snapToGrid w:val="0"/>
        <w:spacing w:line="360" w:lineRule="auto"/>
        <w:rPr>
          <w:rFonts w:ascii="宋体" w:hAnsi="宋体"/>
          <w:sz w:val="24"/>
        </w:rPr>
      </w:pPr>
      <w:r>
        <w:rPr>
          <w:rFonts w:ascii="宋体" w:hAnsi="宋体"/>
          <w:sz w:val="24"/>
        </w:rPr>
        <w:t>2-2、股权关系说明：</w:t>
      </w:r>
    </w:p>
    <w:p w14:paraId="235BA269">
      <w:pPr>
        <w:snapToGrid w:val="0"/>
        <w:spacing w:line="360" w:lineRule="auto"/>
        <w:ind w:firstLine="480" w:firstLineChars="200"/>
        <w:rPr>
          <w:rFonts w:ascii="宋体" w:hAnsi="宋体"/>
          <w:sz w:val="24"/>
        </w:rPr>
      </w:pPr>
      <w:r>
        <w:rPr>
          <w:rFonts w:ascii="宋体" w:hAnsi="宋体"/>
          <w:sz w:val="24"/>
        </w:rPr>
        <w:t>我单位控股的单位有</w:t>
      </w:r>
      <w:r>
        <w:rPr>
          <w:rFonts w:hint="eastAsia" w:ascii="宋体" w:hAnsi="宋体" w:cs="Tahoma"/>
          <w:kern w:val="0"/>
          <w:sz w:val="24"/>
          <w:u w:val="single"/>
        </w:rPr>
        <w:t xml:space="preserve">               </w:t>
      </w:r>
      <w:r>
        <w:rPr>
          <w:rFonts w:ascii="宋体" w:hAnsi="宋体"/>
          <w:sz w:val="24"/>
        </w:rPr>
        <w:t>。</w:t>
      </w:r>
    </w:p>
    <w:p w14:paraId="7DF59508">
      <w:pPr>
        <w:snapToGrid w:val="0"/>
        <w:spacing w:line="360" w:lineRule="auto"/>
        <w:ind w:firstLine="480" w:firstLineChars="200"/>
        <w:rPr>
          <w:rFonts w:ascii="宋体" w:hAnsi="宋体"/>
          <w:sz w:val="24"/>
        </w:rPr>
      </w:pPr>
      <w:r>
        <w:rPr>
          <w:rFonts w:ascii="宋体" w:hAnsi="宋体"/>
          <w:sz w:val="24"/>
        </w:rPr>
        <w:t>我单位被</w:t>
      </w:r>
      <w:r>
        <w:rPr>
          <w:rFonts w:hint="eastAsia" w:ascii="宋体" w:hAnsi="宋体" w:cs="Tahoma"/>
          <w:kern w:val="0"/>
          <w:sz w:val="24"/>
          <w:u w:val="single"/>
        </w:rPr>
        <w:t xml:space="preserve">               </w:t>
      </w:r>
      <w:r>
        <w:rPr>
          <w:rFonts w:ascii="宋体" w:hAnsi="宋体"/>
          <w:sz w:val="24"/>
        </w:rPr>
        <w:t>单位控股。</w:t>
      </w:r>
    </w:p>
    <w:p w14:paraId="3EE72FC0">
      <w:pPr>
        <w:autoSpaceDE w:val="0"/>
        <w:autoSpaceDN w:val="0"/>
        <w:adjustRightInd w:val="0"/>
        <w:snapToGrid w:val="0"/>
        <w:spacing w:line="360" w:lineRule="auto"/>
        <w:rPr>
          <w:rFonts w:ascii="宋体" w:hAnsi="宋体"/>
          <w:sz w:val="24"/>
        </w:rPr>
      </w:pPr>
      <w:r>
        <w:rPr>
          <w:rFonts w:ascii="宋体" w:hAnsi="宋体"/>
          <w:sz w:val="24"/>
        </w:rPr>
        <w:t>2-3、单位负责人：</w:t>
      </w:r>
      <w:r>
        <w:rPr>
          <w:rFonts w:hint="eastAsia" w:ascii="宋体" w:hAnsi="宋体" w:cs="Tahoma"/>
          <w:kern w:val="0"/>
          <w:sz w:val="24"/>
          <w:u w:val="single"/>
        </w:rPr>
        <w:t xml:space="preserve">              </w:t>
      </w:r>
      <w:r>
        <w:rPr>
          <w:rFonts w:hint="eastAsia" w:ascii="宋体" w:hAnsi="宋体" w:cs="Tahoma"/>
          <w:kern w:val="0"/>
          <w:sz w:val="24"/>
        </w:rPr>
        <w:t>。</w:t>
      </w:r>
    </w:p>
    <w:p w14:paraId="23D1A1E2">
      <w:pPr>
        <w:autoSpaceDE w:val="0"/>
        <w:autoSpaceDN w:val="0"/>
        <w:adjustRightInd w:val="0"/>
        <w:snapToGrid w:val="0"/>
        <w:spacing w:line="360" w:lineRule="auto"/>
        <w:ind w:firstLine="480" w:firstLineChars="200"/>
        <w:rPr>
          <w:rFonts w:ascii="宋体" w:hAnsi="宋体"/>
          <w:sz w:val="24"/>
        </w:rPr>
      </w:pPr>
      <w:r>
        <w:rPr>
          <w:rFonts w:ascii="宋体" w:hAnsi="宋体"/>
          <w:sz w:val="24"/>
        </w:rPr>
        <w:t>3、其他与本项目有关的利害关系说明：</w:t>
      </w:r>
      <w:r>
        <w:rPr>
          <w:rFonts w:hint="eastAsia" w:ascii="宋体" w:hAnsi="宋体" w:cs="Tahoma"/>
          <w:kern w:val="0"/>
          <w:sz w:val="24"/>
          <w:u w:val="single"/>
        </w:rPr>
        <w:t xml:space="preserve">               </w:t>
      </w:r>
      <w:r>
        <w:rPr>
          <w:rFonts w:hint="eastAsia" w:ascii="宋体" w:hAnsi="宋体" w:cs="Tahoma"/>
          <w:kern w:val="0"/>
          <w:sz w:val="24"/>
        </w:rPr>
        <w:t>。</w:t>
      </w:r>
    </w:p>
    <w:p w14:paraId="18987659">
      <w:pPr>
        <w:autoSpaceDE w:val="0"/>
        <w:autoSpaceDN w:val="0"/>
        <w:adjustRightInd w:val="0"/>
        <w:snapToGrid w:val="0"/>
        <w:spacing w:line="360" w:lineRule="auto"/>
        <w:rPr>
          <w:rFonts w:ascii="宋体" w:hAnsi="宋体"/>
          <w:sz w:val="24"/>
        </w:rPr>
      </w:pPr>
    </w:p>
    <w:p w14:paraId="5E95B010">
      <w:pPr>
        <w:autoSpaceDE w:val="0"/>
        <w:autoSpaceDN w:val="0"/>
        <w:adjustRightInd w:val="0"/>
        <w:snapToGrid w:val="0"/>
        <w:spacing w:line="360" w:lineRule="auto"/>
        <w:ind w:firstLine="480" w:firstLineChars="200"/>
        <w:rPr>
          <w:rFonts w:ascii="宋体" w:hAnsi="宋体"/>
          <w:sz w:val="24"/>
        </w:rPr>
      </w:pPr>
      <w:r>
        <w:rPr>
          <w:rFonts w:ascii="宋体" w:hAnsi="宋体"/>
          <w:sz w:val="24"/>
        </w:rPr>
        <w:t>我单位承诺以上说明真实有效，无虚假内容或隐瞒。</w:t>
      </w:r>
    </w:p>
    <w:p w14:paraId="19650989">
      <w:pPr>
        <w:autoSpaceDE w:val="0"/>
        <w:autoSpaceDN w:val="0"/>
        <w:adjustRightInd w:val="0"/>
        <w:snapToGrid w:val="0"/>
        <w:spacing w:line="360" w:lineRule="auto"/>
        <w:rPr>
          <w:rFonts w:ascii="宋体" w:hAnsi="宋体"/>
          <w:sz w:val="24"/>
        </w:rPr>
      </w:pPr>
    </w:p>
    <w:p w14:paraId="203347ED">
      <w:pPr>
        <w:autoSpaceDE w:val="0"/>
        <w:autoSpaceDN w:val="0"/>
        <w:adjustRightInd w:val="0"/>
        <w:snapToGrid w:val="0"/>
        <w:spacing w:line="360" w:lineRule="auto"/>
        <w:jc w:val="center"/>
        <w:rPr>
          <w:rFonts w:ascii="宋体" w:hAnsi="宋体"/>
          <w:b/>
          <w:sz w:val="24"/>
        </w:rPr>
      </w:pPr>
    </w:p>
    <w:p w14:paraId="6501979D">
      <w:pPr>
        <w:spacing w:line="360" w:lineRule="auto"/>
        <w:rPr>
          <w:rFonts w:ascii="宋体" w:hAnsi="宋体"/>
          <w:sz w:val="24"/>
        </w:rPr>
      </w:pPr>
      <w:r>
        <w:rPr>
          <w:rFonts w:hint="eastAsia" w:ascii="宋体" w:hAnsi="宋体" w:cs="Arial"/>
          <w:sz w:val="24"/>
        </w:rPr>
        <w:t>供应商</w:t>
      </w:r>
      <w:r>
        <w:rPr>
          <w:rFonts w:hint="eastAsia" w:ascii="宋体" w:hAnsi="宋体"/>
          <w:sz w:val="24"/>
        </w:rPr>
        <w:t>：（公章）</w:t>
      </w:r>
    </w:p>
    <w:p w14:paraId="57BCDE5F">
      <w:pPr>
        <w:spacing w:line="360" w:lineRule="auto"/>
        <w:rPr>
          <w:rFonts w:ascii="宋体" w:hAnsi="宋体"/>
          <w:sz w:val="24"/>
        </w:rPr>
      </w:pPr>
      <w:r>
        <w:rPr>
          <w:rFonts w:hint="eastAsia" w:ascii="宋体" w:hAnsi="宋体"/>
          <w:sz w:val="24"/>
        </w:rPr>
        <w:t>法定代表人</w:t>
      </w:r>
      <w:r>
        <w:rPr>
          <w:rFonts w:hint="eastAsia" w:ascii="宋体" w:hAnsi="宋体"/>
          <w:sz w:val="24"/>
          <w:lang w:val="en-US" w:eastAsia="zh-CN"/>
        </w:rPr>
        <w:t>/</w:t>
      </w:r>
      <w:r>
        <w:rPr>
          <w:rFonts w:hint="eastAsia" w:ascii="宋体" w:hAnsi="宋体"/>
          <w:sz w:val="24"/>
        </w:rPr>
        <w:t>授权代表签字或盖章：</w:t>
      </w:r>
    </w:p>
    <w:p w14:paraId="6309FD20">
      <w:pPr>
        <w:spacing w:line="360" w:lineRule="auto"/>
        <w:rPr>
          <w:rFonts w:ascii="宋体" w:hAnsi="宋体"/>
          <w:sz w:val="24"/>
        </w:rPr>
      </w:pPr>
      <w:r>
        <w:rPr>
          <w:rFonts w:hint="eastAsia" w:ascii="宋体" w:hAnsi="宋体"/>
          <w:sz w:val="24"/>
        </w:rPr>
        <w:t>日  期：</w:t>
      </w:r>
    </w:p>
    <w:p w14:paraId="5457B57E"/>
    <w:p w14:paraId="7204BFCE">
      <w:pPr>
        <w:pStyle w:val="3"/>
        <w:rPr>
          <w:sz w:val="32"/>
        </w:rPr>
      </w:pPr>
      <w:r>
        <w:br w:type="page"/>
      </w:r>
      <w:bookmarkStart w:id="78" w:name="_Toc162021024"/>
      <w:r>
        <w:rPr>
          <w:rFonts w:hint="eastAsia" w:eastAsia="宋体" w:cs="Times New Roman"/>
          <w:sz w:val="32"/>
          <w:lang w:val="en-US" w:eastAsia="zh-CN"/>
        </w:rPr>
        <w:t>八</w:t>
      </w:r>
      <w:r>
        <w:rPr>
          <w:rFonts w:hint="eastAsia" w:eastAsia="宋体" w:cs="Times New Roman"/>
          <w:sz w:val="32"/>
        </w:rPr>
        <w:t>、</w:t>
      </w:r>
      <w:r>
        <w:rPr>
          <w:rFonts w:hint="eastAsia"/>
          <w:sz w:val="32"/>
        </w:rPr>
        <w:t>供应商认为需要补充的内容</w:t>
      </w:r>
      <w:bookmarkEnd w:id="78"/>
    </w:p>
    <w:p w14:paraId="77658643">
      <w:pPr>
        <w:spacing w:line="360" w:lineRule="atLeast"/>
        <w:jc w:val="left"/>
        <w:rPr>
          <w:rFonts w:hint="eastAsia" w:ascii="宋体" w:hAnsi="宋体"/>
          <w:sz w:val="24"/>
        </w:rPr>
      </w:pPr>
      <w:r>
        <w:rPr>
          <w:rFonts w:hint="eastAsia" w:ascii="宋体" w:hAnsi="宋体"/>
          <w:sz w:val="24"/>
        </w:rPr>
        <w:t>其它供应商认为需要补充的内容。（如有）</w:t>
      </w:r>
    </w:p>
    <w:p w14:paraId="41326377">
      <w:pPr>
        <w:rPr>
          <w:rFonts w:hint="eastAsia" w:ascii="宋体" w:hAnsi="宋体"/>
          <w:sz w:val="24"/>
        </w:rPr>
      </w:pPr>
      <w:r>
        <w:rPr>
          <w:rFonts w:hint="eastAsia" w:ascii="宋体" w:hAnsi="宋体"/>
          <w:sz w:val="24"/>
        </w:rPr>
        <w:br w:type="page"/>
      </w:r>
    </w:p>
    <w:p w14:paraId="18667D15">
      <w:pPr>
        <w:adjustRightInd w:val="0"/>
        <w:snapToGrid w:val="0"/>
        <w:spacing w:line="360" w:lineRule="auto"/>
        <w:jc w:val="center"/>
        <w:rPr>
          <w:rFonts w:hint="eastAsia" w:ascii="Arial" w:hAnsi="Arial" w:eastAsia="宋体" w:cs="Times New Roman"/>
          <w:b/>
          <w:bCs/>
          <w:kern w:val="2"/>
          <w:sz w:val="32"/>
          <w:szCs w:val="32"/>
          <w:lang w:val="en-US" w:eastAsia="zh-CN" w:bidi="ar-SA"/>
        </w:rPr>
      </w:pPr>
      <w:r>
        <w:rPr>
          <w:rFonts w:hint="eastAsia" w:ascii="Arial" w:hAnsi="Arial" w:eastAsia="宋体" w:cs="Times New Roman"/>
          <w:b/>
          <w:bCs/>
          <w:kern w:val="2"/>
          <w:sz w:val="32"/>
          <w:szCs w:val="32"/>
          <w:lang w:val="en-US" w:eastAsia="zh-CN" w:bidi="ar-SA"/>
        </w:rPr>
        <w:t>九、声明函格式</w:t>
      </w:r>
    </w:p>
    <w:p w14:paraId="435FAB3F">
      <w:pPr>
        <w:adjustRightInd w:val="0"/>
        <w:snapToGrid w:val="0"/>
        <w:spacing w:line="360" w:lineRule="auto"/>
        <w:jc w:val="center"/>
        <w:rPr>
          <w:rFonts w:hint="default"/>
          <w:color w:val="auto"/>
          <w:highlight w:val="none"/>
          <w:lang w:val="en-US"/>
        </w:rPr>
      </w:pPr>
      <w:r>
        <w:rPr>
          <w:rFonts w:hint="eastAsia" w:ascii="Arial" w:hAnsi="Arial" w:eastAsia="宋体" w:cs="Times New Roman"/>
          <w:b/>
          <w:bCs/>
          <w:kern w:val="2"/>
          <w:sz w:val="32"/>
          <w:szCs w:val="32"/>
          <w:lang w:val="en-US" w:eastAsia="zh-CN" w:bidi="ar-SA"/>
        </w:rPr>
        <w:t>中小企业声明函（如有）</w:t>
      </w:r>
    </w:p>
    <w:p w14:paraId="34A4231C">
      <w:pPr>
        <w:spacing w:line="360" w:lineRule="auto"/>
        <w:ind w:firstLine="475" w:firstLineChars="198"/>
        <w:rPr>
          <w:rFonts w:hint="eastAsia" w:ascii="宋体" w:hAnsi="宋体"/>
          <w:bCs/>
          <w:color w:val="auto"/>
          <w:sz w:val="24"/>
          <w:highlight w:val="none"/>
        </w:rPr>
      </w:pPr>
      <w:r>
        <w:rPr>
          <w:rFonts w:hint="eastAsia" w:ascii="宋体" w:hAnsi="宋体"/>
          <w:bCs/>
          <w:color w:val="auto"/>
          <w:sz w:val="24"/>
          <w:highlight w:val="none"/>
        </w:rPr>
        <w:t>本公司郑重声明，根据《政府采购促进中小企业发展管理办法》（财库﹝2020﹞46 号）的规定，本公司参加</w:t>
      </w:r>
      <w:r>
        <w:rPr>
          <w:rFonts w:hint="eastAsia" w:ascii="宋体" w:hAnsi="宋体"/>
          <w:bCs/>
          <w:color w:val="auto"/>
          <w:sz w:val="24"/>
          <w:highlight w:val="none"/>
          <w:u w:val="single"/>
        </w:rPr>
        <w:t>（单位名称）</w:t>
      </w:r>
      <w:r>
        <w:rPr>
          <w:rFonts w:hint="eastAsia" w:ascii="宋体" w:hAnsi="宋体"/>
          <w:bCs/>
          <w:color w:val="auto"/>
          <w:sz w:val="24"/>
          <w:highlight w:val="none"/>
        </w:rPr>
        <w:t>的</w:t>
      </w:r>
      <w:r>
        <w:rPr>
          <w:rFonts w:hint="eastAsia" w:ascii="宋体" w:hAnsi="宋体"/>
          <w:bCs/>
          <w:color w:val="auto"/>
          <w:sz w:val="24"/>
          <w:highlight w:val="none"/>
          <w:u w:val="single"/>
        </w:rPr>
        <w:t>（标段名称）</w:t>
      </w:r>
      <w:r>
        <w:rPr>
          <w:rFonts w:hint="eastAsia" w:ascii="宋体" w:hAnsi="宋体"/>
          <w:bCs/>
          <w:color w:val="auto"/>
          <w:sz w:val="24"/>
          <w:highlight w:val="none"/>
        </w:rPr>
        <w:t>采购活动，服务的单位全部由符合政策要求的中小企业承接。相关企业的具体情况如下：</w:t>
      </w:r>
    </w:p>
    <w:p w14:paraId="3F6170C0">
      <w:pPr>
        <w:numPr>
          <w:ilvl w:val="0"/>
          <w:numId w:val="11"/>
        </w:numPr>
        <w:spacing w:line="360" w:lineRule="auto"/>
        <w:ind w:firstLine="475" w:firstLineChars="198"/>
        <w:rPr>
          <w:rFonts w:hint="eastAsia" w:ascii="宋体" w:hAnsi="宋体"/>
          <w:bCs/>
          <w:color w:val="auto"/>
          <w:sz w:val="24"/>
          <w:highlight w:val="none"/>
        </w:rPr>
      </w:pPr>
      <w:r>
        <w:rPr>
          <w:rFonts w:hint="eastAsia" w:ascii="宋体" w:hAnsi="宋体"/>
          <w:bCs/>
          <w:color w:val="auto"/>
          <w:sz w:val="24"/>
          <w:highlight w:val="none"/>
          <w:u w:val="single"/>
        </w:rPr>
        <w:t xml:space="preserve">（标的名称） </w:t>
      </w:r>
      <w:r>
        <w:rPr>
          <w:rFonts w:hint="eastAsia" w:ascii="宋体" w:hAnsi="宋体"/>
          <w:bCs/>
          <w:color w:val="auto"/>
          <w:sz w:val="24"/>
          <w:highlight w:val="none"/>
        </w:rPr>
        <w:t>，属于</w:t>
      </w:r>
      <w:r>
        <w:rPr>
          <w:rFonts w:hint="eastAsia" w:ascii="宋体" w:hAnsi="宋体"/>
          <w:bCs/>
          <w:color w:val="auto"/>
          <w:sz w:val="24"/>
          <w:highlight w:val="none"/>
          <w:u w:val="single"/>
        </w:rPr>
        <w:t>（采购文件中明确的所属行业）</w:t>
      </w:r>
      <w:r>
        <w:rPr>
          <w:rFonts w:hint="eastAsia" w:ascii="宋体" w:hAnsi="宋体"/>
          <w:bCs/>
          <w:color w:val="auto"/>
          <w:sz w:val="24"/>
          <w:highlight w:val="none"/>
        </w:rPr>
        <w:t>； 承建（承接）企业为</w:t>
      </w:r>
      <w:r>
        <w:rPr>
          <w:rFonts w:hint="eastAsia" w:ascii="宋体" w:hAnsi="宋体"/>
          <w:bCs/>
          <w:color w:val="auto"/>
          <w:sz w:val="24"/>
          <w:highlight w:val="none"/>
          <w:u w:val="single"/>
        </w:rPr>
        <w:t>（企业名称）</w:t>
      </w:r>
      <w:r>
        <w:rPr>
          <w:rFonts w:hint="eastAsia" w:ascii="宋体" w:hAnsi="宋体"/>
          <w:bCs/>
          <w:color w:val="auto"/>
          <w:sz w:val="24"/>
          <w:highlight w:val="none"/>
        </w:rPr>
        <w:t>，从业人员</w:t>
      </w:r>
      <w:r>
        <w:rPr>
          <w:rFonts w:hint="eastAsia" w:ascii="宋体" w:hAnsi="宋体"/>
          <w:bCs/>
          <w:color w:val="auto"/>
          <w:sz w:val="24"/>
          <w:highlight w:val="none"/>
          <w:u w:val="single"/>
        </w:rPr>
        <w:t xml:space="preserve">     </w:t>
      </w:r>
      <w:r>
        <w:rPr>
          <w:rFonts w:hint="eastAsia" w:ascii="宋体" w:hAnsi="宋体"/>
          <w:bCs/>
          <w:color w:val="auto"/>
          <w:sz w:val="24"/>
          <w:highlight w:val="none"/>
        </w:rPr>
        <w:t>人，营业收入为</w:t>
      </w:r>
      <w:r>
        <w:rPr>
          <w:rFonts w:hint="eastAsia" w:ascii="宋体" w:hAnsi="宋体"/>
          <w:bCs/>
          <w:color w:val="auto"/>
          <w:sz w:val="24"/>
          <w:highlight w:val="none"/>
          <w:u w:val="single"/>
        </w:rPr>
        <w:t xml:space="preserve">     </w:t>
      </w:r>
      <w:r>
        <w:rPr>
          <w:rFonts w:hint="eastAsia" w:ascii="宋体" w:hAnsi="宋体"/>
          <w:bCs/>
          <w:color w:val="auto"/>
          <w:sz w:val="24"/>
          <w:highlight w:val="none"/>
        </w:rPr>
        <w:t>万元，资产总额为</w:t>
      </w:r>
    </w:p>
    <w:p w14:paraId="07F92815">
      <w:pPr>
        <w:spacing w:line="360" w:lineRule="auto"/>
        <w:rPr>
          <w:rFonts w:hint="eastAsia" w:ascii="宋体" w:hAnsi="宋体"/>
          <w:bCs/>
          <w:color w:val="auto"/>
          <w:sz w:val="24"/>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万元</w:t>
      </w:r>
      <w:r>
        <w:rPr>
          <w:rFonts w:hint="eastAsia" w:ascii="宋体" w:hAnsi="宋体" w:cs="宋体"/>
          <w:bCs/>
          <w:color w:val="auto"/>
          <w:sz w:val="24"/>
          <w:szCs w:val="24"/>
          <w:highlight w:val="none"/>
        </w:rPr>
        <w:t>¹</w:t>
      </w:r>
      <w:r>
        <w:rPr>
          <w:rFonts w:hint="eastAsia" w:ascii="宋体" w:hAnsi="宋体"/>
          <w:bCs/>
          <w:color w:val="auto"/>
          <w:sz w:val="24"/>
          <w:highlight w:val="none"/>
        </w:rPr>
        <w:t>，属于【（  ）</w:t>
      </w:r>
      <w:r>
        <w:rPr>
          <w:rFonts w:hint="eastAsia" w:ascii="宋体" w:hAnsi="宋体"/>
          <w:bCs/>
          <w:color w:val="auto"/>
          <w:sz w:val="24"/>
          <w:highlight w:val="none"/>
          <w:u w:val="single"/>
        </w:rPr>
        <w:t>中型企业</w:t>
      </w:r>
      <w:r>
        <w:rPr>
          <w:rFonts w:hint="eastAsia" w:ascii="宋体" w:hAnsi="宋体"/>
          <w:bCs/>
          <w:color w:val="auto"/>
          <w:sz w:val="24"/>
          <w:highlight w:val="none"/>
        </w:rPr>
        <w:t>、（  ）</w:t>
      </w:r>
      <w:r>
        <w:rPr>
          <w:rFonts w:hint="eastAsia" w:ascii="宋体" w:hAnsi="宋体"/>
          <w:bCs/>
          <w:color w:val="auto"/>
          <w:sz w:val="24"/>
          <w:highlight w:val="none"/>
          <w:u w:val="single"/>
        </w:rPr>
        <w:t>小型企业</w:t>
      </w:r>
      <w:r>
        <w:rPr>
          <w:rFonts w:hint="eastAsia" w:ascii="宋体" w:hAnsi="宋体"/>
          <w:bCs/>
          <w:color w:val="auto"/>
          <w:sz w:val="24"/>
          <w:highlight w:val="none"/>
        </w:rPr>
        <w:t>、（  ）</w:t>
      </w:r>
      <w:r>
        <w:rPr>
          <w:rFonts w:hint="eastAsia" w:ascii="宋体" w:hAnsi="宋体"/>
          <w:bCs/>
          <w:color w:val="auto"/>
          <w:sz w:val="24"/>
          <w:highlight w:val="none"/>
          <w:u w:val="single"/>
        </w:rPr>
        <w:t>微型企业</w:t>
      </w:r>
      <w:r>
        <w:rPr>
          <w:rFonts w:hint="eastAsia" w:ascii="宋体" w:hAnsi="宋体"/>
          <w:bCs/>
          <w:color w:val="auto"/>
          <w:sz w:val="24"/>
          <w:highlight w:val="none"/>
        </w:rPr>
        <w:t xml:space="preserve">】； </w:t>
      </w:r>
    </w:p>
    <w:p w14:paraId="1DDBE481">
      <w:pPr>
        <w:numPr>
          <w:ilvl w:val="0"/>
          <w:numId w:val="11"/>
        </w:numPr>
        <w:spacing w:line="360" w:lineRule="auto"/>
        <w:ind w:firstLine="475" w:firstLineChars="198"/>
        <w:rPr>
          <w:rFonts w:hint="eastAsia" w:ascii="宋体" w:hAnsi="宋体"/>
          <w:bCs/>
          <w:color w:val="auto"/>
          <w:sz w:val="24"/>
          <w:highlight w:val="none"/>
        </w:rPr>
      </w:pPr>
      <w:r>
        <w:rPr>
          <w:rFonts w:hint="eastAsia" w:ascii="宋体" w:hAnsi="宋体"/>
          <w:bCs/>
          <w:color w:val="auto"/>
          <w:sz w:val="24"/>
          <w:highlight w:val="none"/>
          <w:u w:val="single"/>
        </w:rPr>
        <w:t xml:space="preserve">（标的名称） </w:t>
      </w:r>
      <w:r>
        <w:rPr>
          <w:rFonts w:hint="eastAsia" w:ascii="宋体" w:hAnsi="宋体"/>
          <w:bCs/>
          <w:color w:val="auto"/>
          <w:sz w:val="24"/>
          <w:highlight w:val="none"/>
        </w:rPr>
        <w:t>，属于</w:t>
      </w:r>
      <w:r>
        <w:rPr>
          <w:rFonts w:hint="eastAsia" w:ascii="宋体" w:hAnsi="宋体"/>
          <w:bCs/>
          <w:color w:val="auto"/>
          <w:sz w:val="24"/>
          <w:highlight w:val="none"/>
          <w:u w:val="single"/>
        </w:rPr>
        <w:t>（采购文件中明确的所属行业）</w:t>
      </w:r>
      <w:r>
        <w:rPr>
          <w:rFonts w:hint="eastAsia" w:ascii="宋体" w:hAnsi="宋体"/>
          <w:bCs/>
          <w:color w:val="auto"/>
          <w:sz w:val="24"/>
          <w:highlight w:val="none"/>
        </w:rPr>
        <w:t>； 承建（承接）企业为</w:t>
      </w:r>
      <w:r>
        <w:rPr>
          <w:rFonts w:hint="eastAsia" w:ascii="宋体" w:hAnsi="宋体"/>
          <w:bCs/>
          <w:color w:val="auto"/>
          <w:sz w:val="24"/>
          <w:highlight w:val="none"/>
          <w:u w:val="single"/>
        </w:rPr>
        <w:t>（企业名称）</w:t>
      </w:r>
      <w:r>
        <w:rPr>
          <w:rFonts w:hint="eastAsia" w:ascii="宋体" w:hAnsi="宋体"/>
          <w:bCs/>
          <w:color w:val="auto"/>
          <w:sz w:val="24"/>
          <w:highlight w:val="none"/>
        </w:rPr>
        <w:t>，从业人员</w:t>
      </w:r>
      <w:r>
        <w:rPr>
          <w:rFonts w:hint="eastAsia" w:ascii="宋体" w:hAnsi="宋体"/>
          <w:bCs/>
          <w:color w:val="auto"/>
          <w:sz w:val="24"/>
          <w:highlight w:val="none"/>
          <w:u w:val="single"/>
        </w:rPr>
        <w:t xml:space="preserve">     </w:t>
      </w:r>
      <w:r>
        <w:rPr>
          <w:rFonts w:hint="eastAsia" w:ascii="宋体" w:hAnsi="宋体"/>
          <w:bCs/>
          <w:color w:val="auto"/>
          <w:sz w:val="24"/>
          <w:highlight w:val="none"/>
        </w:rPr>
        <w:t>人，营业收入为</w:t>
      </w:r>
      <w:r>
        <w:rPr>
          <w:rFonts w:hint="eastAsia" w:ascii="宋体" w:hAnsi="宋体"/>
          <w:bCs/>
          <w:color w:val="auto"/>
          <w:sz w:val="24"/>
          <w:highlight w:val="none"/>
          <w:u w:val="single"/>
        </w:rPr>
        <w:t xml:space="preserve">     </w:t>
      </w:r>
      <w:r>
        <w:rPr>
          <w:rFonts w:hint="eastAsia" w:ascii="宋体" w:hAnsi="宋体"/>
          <w:bCs/>
          <w:color w:val="auto"/>
          <w:sz w:val="24"/>
          <w:highlight w:val="none"/>
        </w:rPr>
        <w:t>万元，资产总额为</w:t>
      </w:r>
    </w:p>
    <w:p w14:paraId="19ED88FB">
      <w:pPr>
        <w:spacing w:line="360" w:lineRule="auto"/>
        <w:rPr>
          <w:rFonts w:hint="eastAsia" w:ascii="宋体" w:hAnsi="宋体"/>
          <w:bCs/>
          <w:color w:val="auto"/>
          <w:sz w:val="24"/>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万元，属于【（  ）</w:t>
      </w:r>
      <w:r>
        <w:rPr>
          <w:rFonts w:hint="eastAsia" w:ascii="宋体" w:hAnsi="宋体"/>
          <w:bCs/>
          <w:color w:val="auto"/>
          <w:sz w:val="24"/>
          <w:highlight w:val="none"/>
          <w:u w:val="single"/>
        </w:rPr>
        <w:t>中型企业</w:t>
      </w:r>
      <w:r>
        <w:rPr>
          <w:rFonts w:hint="eastAsia" w:ascii="宋体" w:hAnsi="宋体"/>
          <w:bCs/>
          <w:color w:val="auto"/>
          <w:sz w:val="24"/>
          <w:highlight w:val="none"/>
        </w:rPr>
        <w:t>、（  ）</w:t>
      </w:r>
      <w:r>
        <w:rPr>
          <w:rFonts w:hint="eastAsia" w:ascii="宋体" w:hAnsi="宋体"/>
          <w:bCs/>
          <w:color w:val="auto"/>
          <w:sz w:val="24"/>
          <w:highlight w:val="none"/>
          <w:u w:val="single"/>
        </w:rPr>
        <w:t>小型企业</w:t>
      </w:r>
      <w:r>
        <w:rPr>
          <w:rFonts w:hint="eastAsia" w:ascii="宋体" w:hAnsi="宋体"/>
          <w:bCs/>
          <w:color w:val="auto"/>
          <w:sz w:val="24"/>
          <w:highlight w:val="none"/>
        </w:rPr>
        <w:t>、（  ）</w:t>
      </w:r>
      <w:r>
        <w:rPr>
          <w:rFonts w:hint="eastAsia" w:ascii="宋体" w:hAnsi="宋体"/>
          <w:bCs/>
          <w:color w:val="auto"/>
          <w:sz w:val="24"/>
          <w:highlight w:val="none"/>
          <w:u w:val="single"/>
        </w:rPr>
        <w:t>微型企业</w:t>
      </w:r>
      <w:r>
        <w:rPr>
          <w:rFonts w:hint="eastAsia" w:ascii="宋体" w:hAnsi="宋体"/>
          <w:bCs/>
          <w:color w:val="auto"/>
          <w:sz w:val="24"/>
          <w:highlight w:val="none"/>
        </w:rPr>
        <w:t>】；</w:t>
      </w:r>
    </w:p>
    <w:p w14:paraId="389CBAB0">
      <w:pPr>
        <w:spacing w:line="360" w:lineRule="auto"/>
        <w:ind w:firstLine="475" w:firstLineChars="198"/>
        <w:rPr>
          <w:rFonts w:hint="eastAsia" w:ascii="宋体" w:hAnsi="宋体"/>
          <w:bCs/>
          <w:color w:val="auto"/>
          <w:sz w:val="24"/>
          <w:highlight w:val="none"/>
        </w:rPr>
      </w:pPr>
      <w:r>
        <w:rPr>
          <w:rFonts w:hint="eastAsia" w:ascii="宋体" w:hAnsi="宋体"/>
          <w:bCs/>
          <w:color w:val="auto"/>
          <w:sz w:val="24"/>
          <w:highlight w:val="none"/>
        </w:rPr>
        <w:t>……</w:t>
      </w:r>
    </w:p>
    <w:p w14:paraId="7B42596B">
      <w:pPr>
        <w:spacing w:line="360" w:lineRule="auto"/>
        <w:ind w:firstLine="475" w:firstLineChars="198"/>
        <w:rPr>
          <w:rFonts w:hint="eastAsia" w:ascii="宋体" w:hAnsi="宋体"/>
          <w:bCs/>
          <w:color w:val="auto"/>
          <w:sz w:val="24"/>
          <w:highlight w:val="none"/>
        </w:rPr>
      </w:pPr>
      <w:r>
        <w:rPr>
          <w:rFonts w:hint="eastAsia" w:ascii="宋体" w:hAnsi="宋体"/>
          <w:bCs/>
          <w:color w:val="auto"/>
          <w:sz w:val="24"/>
          <w:highlight w:val="none"/>
        </w:rPr>
        <w:t>以上企业，不属于大企业的分支机构，不存在控股股东为大企业的情形，也不存在与大企业的负责人为同一人的情形。</w:t>
      </w:r>
    </w:p>
    <w:p w14:paraId="025A7790">
      <w:pPr>
        <w:spacing w:line="360" w:lineRule="auto"/>
        <w:ind w:firstLine="475" w:firstLineChars="198"/>
        <w:rPr>
          <w:rFonts w:hint="eastAsia" w:ascii="宋体" w:hAnsi="宋体"/>
          <w:bCs/>
          <w:color w:val="auto"/>
          <w:sz w:val="24"/>
          <w:highlight w:val="none"/>
        </w:rPr>
      </w:pPr>
      <w:r>
        <w:rPr>
          <w:rFonts w:hint="eastAsia" w:ascii="宋体" w:hAnsi="宋体"/>
          <w:bCs/>
          <w:color w:val="auto"/>
          <w:sz w:val="24"/>
          <w:highlight w:val="none"/>
        </w:rPr>
        <w:t>本企业对上述声明内容的真实性负责。如有虚假，将依法承担相应责任。</w:t>
      </w:r>
    </w:p>
    <w:p w14:paraId="1E186A2B">
      <w:pPr>
        <w:spacing w:line="480" w:lineRule="exact"/>
        <w:ind w:firstLine="480" w:firstLineChars="200"/>
        <w:jc w:val="right"/>
        <w:rPr>
          <w:rFonts w:hint="eastAsia" w:ascii="宋体" w:hAnsi="宋体"/>
          <w:bCs/>
          <w:color w:val="auto"/>
          <w:sz w:val="24"/>
          <w:szCs w:val="24"/>
          <w:highlight w:val="none"/>
        </w:rPr>
      </w:pPr>
    </w:p>
    <w:p w14:paraId="3E7AA4E6">
      <w:pPr>
        <w:spacing w:line="480" w:lineRule="exact"/>
        <w:ind w:firstLine="480" w:firstLineChars="200"/>
        <w:jc w:val="center"/>
        <w:rPr>
          <w:rFonts w:hint="eastAsia" w:ascii="宋体" w:hAnsi="宋体"/>
          <w:bCs/>
          <w:color w:val="auto"/>
          <w:sz w:val="24"/>
          <w:szCs w:val="24"/>
          <w:highlight w:val="none"/>
        </w:rPr>
      </w:pPr>
      <w:r>
        <w:rPr>
          <w:rFonts w:hint="eastAsia" w:ascii="宋体" w:hAnsi="宋体"/>
          <w:bCs/>
          <w:color w:val="auto"/>
          <w:sz w:val="24"/>
          <w:szCs w:val="24"/>
          <w:highlight w:val="none"/>
        </w:rPr>
        <w:t>企业名称（盖章）：</w:t>
      </w:r>
    </w:p>
    <w:p w14:paraId="7E5D7E86">
      <w:pPr>
        <w:spacing w:line="480" w:lineRule="exact"/>
        <w:ind w:firstLine="480" w:firstLineChars="200"/>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            日期：</w:t>
      </w:r>
    </w:p>
    <w:p w14:paraId="5DE20EDF">
      <w:pPr>
        <w:spacing w:line="480" w:lineRule="exact"/>
        <w:ind w:firstLine="480" w:firstLineChars="200"/>
        <w:jc w:val="left"/>
        <w:rPr>
          <w:rFonts w:hint="eastAsia" w:ascii="宋体" w:hAnsi="宋体" w:cs="宋体"/>
          <w:bCs/>
          <w:color w:val="auto"/>
          <w:sz w:val="24"/>
          <w:szCs w:val="24"/>
          <w:highlight w:val="none"/>
        </w:rPr>
      </w:pPr>
    </w:p>
    <w:p w14:paraId="77A3988E">
      <w:pPr>
        <w:spacing w:line="480" w:lineRule="exact"/>
        <w:ind w:firstLine="480" w:firstLineChars="200"/>
        <w:jc w:val="left"/>
        <w:rPr>
          <w:rFonts w:hint="eastAsia" w:ascii="宋体" w:hAnsi="宋体"/>
          <w:bCs/>
          <w:color w:val="auto"/>
          <w:sz w:val="24"/>
          <w:szCs w:val="24"/>
          <w:highlight w:val="none"/>
        </w:rPr>
      </w:pPr>
      <w:r>
        <w:rPr>
          <w:rFonts w:hint="eastAsia" w:ascii="宋体" w:hAnsi="宋体" w:cs="宋体"/>
          <w:bCs/>
          <w:color w:val="auto"/>
          <w:sz w:val="24"/>
          <w:szCs w:val="24"/>
          <w:highlight w:val="none"/>
        </w:rPr>
        <w:t>注：¹</w:t>
      </w:r>
      <w:r>
        <w:rPr>
          <w:rFonts w:hint="eastAsia" w:ascii="宋体" w:hAnsi="宋体"/>
          <w:bCs/>
          <w:color w:val="auto"/>
          <w:sz w:val="24"/>
          <w:szCs w:val="24"/>
          <w:highlight w:val="none"/>
        </w:rPr>
        <w:t>从业人员、营业收入、资产总额填报上一年度数据，无上一年度数据的新成立企业可不填报。</w:t>
      </w:r>
    </w:p>
    <w:p w14:paraId="240FBBDE">
      <w:pPr>
        <w:jc w:val="left"/>
        <w:rPr>
          <w:rFonts w:ascii="宋体" w:hAnsi="宋体"/>
          <w:b/>
          <w:bCs/>
          <w:color w:val="auto"/>
          <w:sz w:val="32"/>
          <w:szCs w:val="32"/>
          <w:highlight w:val="none"/>
        </w:rPr>
      </w:pPr>
      <w:r>
        <w:rPr>
          <w:rFonts w:hint="eastAsia" w:ascii="宋体" w:hAnsi="宋体"/>
          <w:b/>
          <w:bCs/>
          <w:color w:val="auto"/>
          <w:sz w:val="32"/>
          <w:szCs w:val="32"/>
          <w:highlight w:val="none"/>
        </w:rPr>
        <w:t xml:space="preserve">   </w:t>
      </w:r>
    </w:p>
    <w:p w14:paraId="5BE6C61F">
      <w:pPr>
        <w:spacing w:line="440" w:lineRule="exact"/>
        <w:ind w:firstLine="482"/>
        <w:rPr>
          <w:rFonts w:hint="eastAsia" w:ascii="宋体" w:hAnsi="宋体"/>
          <w:b/>
          <w:color w:val="auto"/>
          <w:sz w:val="24"/>
          <w:highlight w:val="none"/>
        </w:rPr>
      </w:pPr>
      <w:r>
        <w:rPr>
          <w:rFonts w:hint="eastAsia" w:ascii="宋体" w:hAnsi="宋体"/>
          <w:b/>
          <w:color w:val="auto"/>
          <w:sz w:val="24"/>
          <w:highlight w:val="none"/>
        </w:rPr>
        <w:t>备注：</w:t>
      </w:r>
    </w:p>
    <w:p w14:paraId="520575C2">
      <w:pPr>
        <w:snapToGrid w:val="0"/>
        <w:ind w:firstLine="482"/>
        <w:rPr>
          <w:rFonts w:hint="eastAsia" w:ascii="宋体" w:hAnsi="宋体"/>
          <w:b/>
          <w:color w:val="auto"/>
          <w:sz w:val="24"/>
          <w:highlight w:val="none"/>
        </w:rPr>
      </w:pPr>
      <w:r>
        <w:rPr>
          <w:rFonts w:hint="eastAsia" w:ascii="宋体" w:hAnsi="宋体"/>
          <w:b/>
          <w:color w:val="auto"/>
          <w:sz w:val="24"/>
          <w:highlight w:val="none"/>
        </w:rPr>
        <w:t>1.非小、微企业无需在投标文件中提供。如为小、微企业应在投标文件的封面右上角明确注明相关信息以便方便认可。</w:t>
      </w:r>
    </w:p>
    <w:p w14:paraId="5B6D7FD4">
      <w:pPr>
        <w:adjustRightInd w:val="0"/>
        <w:snapToGrid w:val="0"/>
        <w:ind w:firstLine="482"/>
        <w:rPr>
          <w:rFonts w:hint="eastAsia" w:ascii="宋体" w:hAnsi="宋体"/>
          <w:b/>
          <w:color w:val="auto"/>
          <w:sz w:val="24"/>
          <w:szCs w:val="22"/>
          <w:highlight w:val="none"/>
        </w:rPr>
      </w:pPr>
      <w:r>
        <w:rPr>
          <w:rFonts w:hint="eastAsia" w:ascii="宋体" w:hAnsi="宋体"/>
          <w:b/>
          <w:color w:val="auto"/>
          <w:sz w:val="24"/>
          <w:szCs w:val="22"/>
          <w:highlight w:val="none"/>
        </w:rPr>
        <w:t>2.</w:t>
      </w:r>
      <w:r>
        <w:rPr>
          <w:rFonts w:hint="eastAsia" w:ascii="宋体" w:hAnsi="宋体"/>
          <w:b/>
          <w:color w:val="auto"/>
          <w:sz w:val="24"/>
          <w:szCs w:val="22"/>
          <w:highlight w:val="none"/>
          <w:lang w:eastAsia="zh-CN"/>
        </w:rPr>
        <w:t>供应商</w:t>
      </w:r>
      <w:r>
        <w:rPr>
          <w:rFonts w:hint="eastAsia" w:ascii="宋体" w:hAnsi="宋体"/>
          <w:b/>
          <w:color w:val="auto"/>
          <w:sz w:val="24"/>
          <w:szCs w:val="22"/>
          <w:highlight w:val="none"/>
        </w:rPr>
        <w:t>提供《中小企业声明函》的需保证其真实性，如经查实存在虚假证明的情况，由</w:t>
      </w:r>
      <w:r>
        <w:rPr>
          <w:rFonts w:hint="eastAsia" w:ascii="宋体" w:hAnsi="宋体"/>
          <w:b/>
          <w:color w:val="auto"/>
          <w:sz w:val="24"/>
          <w:szCs w:val="22"/>
          <w:highlight w:val="none"/>
          <w:lang w:eastAsia="zh-CN"/>
        </w:rPr>
        <w:t>供应商</w:t>
      </w:r>
      <w:r>
        <w:rPr>
          <w:rFonts w:hint="eastAsia" w:ascii="宋体" w:hAnsi="宋体"/>
          <w:b/>
          <w:color w:val="auto"/>
          <w:sz w:val="24"/>
          <w:szCs w:val="22"/>
          <w:highlight w:val="none"/>
        </w:rPr>
        <w:t>承担相应责任。</w:t>
      </w:r>
    </w:p>
    <w:p w14:paraId="44DDF134">
      <w:pPr>
        <w:spacing w:line="360" w:lineRule="atLeast"/>
        <w:jc w:val="left"/>
        <w:rPr>
          <w:rFonts w:hint="eastAsia" w:ascii="宋体" w:hAnsi="宋体"/>
          <w:sz w:val="24"/>
        </w:rPr>
      </w:pPr>
    </w:p>
    <w:bookmarkEnd w:id="76"/>
    <w:bookmarkEnd w:id="77"/>
    <w:p w14:paraId="79980071">
      <w:pPr>
        <w:rPr>
          <w:rFonts w:hint="eastAsia" w:hAnsi="宋体" w:cs="Calibri Light"/>
          <w:sz w:val="24"/>
        </w:rPr>
      </w:pPr>
      <w:r>
        <w:rPr>
          <w:rFonts w:hint="eastAsia" w:hAnsi="宋体" w:cs="Calibri Light"/>
          <w:sz w:val="24"/>
        </w:rPr>
        <w:br w:type="page"/>
      </w:r>
    </w:p>
    <w:p w14:paraId="6F645B5F">
      <w:pPr>
        <w:adjustRightInd w:val="0"/>
        <w:snapToGrid w:val="0"/>
        <w:spacing w:line="360" w:lineRule="auto"/>
        <w:jc w:val="center"/>
        <w:rPr>
          <w:rFonts w:hint="eastAsia" w:ascii="Arial" w:hAnsi="Arial" w:eastAsia="宋体" w:cs="Times New Roman"/>
          <w:b/>
          <w:bCs/>
          <w:kern w:val="2"/>
          <w:sz w:val="32"/>
          <w:szCs w:val="32"/>
          <w:lang w:val="en-US" w:eastAsia="zh-CN" w:bidi="ar-SA"/>
        </w:rPr>
      </w:pPr>
      <w:r>
        <w:rPr>
          <w:rFonts w:hint="eastAsia" w:ascii="Arial" w:hAnsi="Arial" w:eastAsia="宋体" w:cs="Times New Roman"/>
          <w:b/>
          <w:bCs/>
          <w:kern w:val="2"/>
          <w:sz w:val="32"/>
          <w:szCs w:val="32"/>
          <w:lang w:val="en-US" w:eastAsia="zh-CN" w:bidi="ar-SA"/>
        </w:rPr>
        <w:t>《监狱企业声明函》（如有可提供）</w:t>
      </w:r>
    </w:p>
    <w:p w14:paraId="5A8EF3C5">
      <w:pPr>
        <w:spacing w:line="480" w:lineRule="auto"/>
        <w:ind w:firstLine="475" w:firstLineChars="198"/>
        <w:rPr>
          <w:rFonts w:hint="eastAsia" w:ascii="宋体" w:hAnsi="宋体"/>
          <w:bCs/>
          <w:color w:val="auto"/>
          <w:sz w:val="24"/>
          <w:highlight w:val="none"/>
        </w:rPr>
      </w:pPr>
      <w:r>
        <w:rPr>
          <w:rFonts w:hint="eastAsia" w:ascii="宋体" w:hAnsi="宋体"/>
          <w:bCs/>
          <w:color w:val="auto"/>
          <w:sz w:val="24"/>
          <w:highlight w:val="none"/>
        </w:rPr>
        <w:t>本公司郑重声明，根据</w:t>
      </w:r>
      <w:r>
        <w:rPr>
          <w:rFonts w:hint="eastAsia" w:ascii="宋体" w:hAnsi="宋体"/>
          <w:bCs/>
          <w:color w:val="auto"/>
          <w:sz w:val="24"/>
          <w:szCs w:val="24"/>
          <w:highlight w:val="none"/>
        </w:rPr>
        <w:t>《财政部司法部关于政府采购支持监狱企业发展有关问题的通知》（财库</w:t>
      </w:r>
      <w:r>
        <w:rPr>
          <w:rFonts w:hint="eastAsia" w:ascii="宋体" w:hAnsi="宋体" w:cs="宋体"/>
          <w:color w:val="auto"/>
          <w:sz w:val="24"/>
          <w:szCs w:val="24"/>
          <w:highlight w:val="none"/>
        </w:rPr>
        <w:t>〔2014〕</w:t>
      </w:r>
      <w:r>
        <w:rPr>
          <w:rFonts w:hint="eastAsia" w:ascii="宋体" w:hAnsi="宋体"/>
          <w:bCs/>
          <w:color w:val="auto"/>
          <w:sz w:val="24"/>
          <w:szCs w:val="24"/>
          <w:highlight w:val="none"/>
        </w:rPr>
        <w:t>68号）</w:t>
      </w:r>
      <w:r>
        <w:rPr>
          <w:rFonts w:hint="eastAsia" w:ascii="宋体" w:hAnsi="宋体"/>
          <w:bCs/>
          <w:color w:val="auto"/>
          <w:sz w:val="24"/>
          <w:highlight w:val="none"/>
        </w:rPr>
        <w:t>的规定，本公司为</w:t>
      </w:r>
      <w:r>
        <w:rPr>
          <w:rFonts w:hint="eastAsia" w:ascii="宋体" w:hAnsi="宋体"/>
          <w:bCs/>
          <w:color w:val="auto"/>
          <w:sz w:val="24"/>
          <w:highlight w:val="none"/>
          <w:u w:val="single"/>
        </w:rPr>
        <w:t xml:space="preserve">        </w:t>
      </w:r>
      <w:r>
        <w:rPr>
          <w:rFonts w:hint="eastAsia" w:ascii="宋体" w:hAnsi="宋体"/>
          <w:bCs/>
          <w:color w:val="auto"/>
          <w:sz w:val="24"/>
          <w:highlight w:val="none"/>
        </w:rPr>
        <w:t>（请填写：监狱）企业。</w:t>
      </w:r>
    </w:p>
    <w:p w14:paraId="5F853147">
      <w:pPr>
        <w:spacing w:line="480" w:lineRule="auto"/>
        <w:ind w:firstLine="235" w:firstLineChars="98"/>
        <w:rPr>
          <w:rFonts w:hint="eastAsia" w:ascii="宋体" w:hAnsi="宋体"/>
          <w:bCs/>
          <w:color w:val="auto"/>
          <w:sz w:val="24"/>
          <w:highlight w:val="none"/>
        </w:rPr>
      </w:pPr>
      <w:r>
        <w:rPr>
          <w:rFonts w:hint="eastAsia" w:ascii="宋体" w:hAnsi="宋体"/>
          <w:bCs/>
          <w:color w:val="auto"/>
          <w:sz w:val="24"/>
          <w:highlight w:val="none"/>
        </w:rPr>
        <w:t xml:space="preserve">   本单位为符合条件的监狱企业，且本单位参加______单位的______项目采购活动提供本单位制造的货物（由本单位承担工程/提供服务）。</w:t>
      </w:r>
    </w:p>
    <w:p w14:paraId="38C96914">
      <w:pPr>
        <w:spacing w:line="48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本公司对上述声明的真实性负责，若有虚假，将依法承担相应责任。</w:t>
      </w:r>
    </w:p>
    <w:p w14:paraId="12CB49B4">
      <w:pPr>
        <w:spacing w:line="360" w:lineRule="auto"/>
        <w:ind w:firstLine="480" w:firstLineChars="200"/>
        <w:rPr>
          <w:rFonts w:hint="eastAsia" w:ascii="宋体" w:hAnsi="宋体"/>
          <w:bCs/>
          <w:color w:val="auto"/>
          <w:sz w:val="24"/>
          <w:highlight w:val="none"/>
        </w:rPr>
      </w:pPr>
    </w:p>
    <w:p w14:paraId="0F4D2EED">
      <w:pPr>
        <w:spacing w:line="360" w:lineRule="auto"/>
        <w:ind w:firstLine="480" w:firstLineChars="200"/>
        <w:rPr>
          <w:rFonts w:hint="eastAsia" w:ascii="宋体" w:hAnsi="宋体"/>
          <w:bCs/>
          <w:color w:val="auto"/>
          <w:sz w:val="24"/>
          <w:highlight w:val="none"/>
        </w:rPr>
      </w:pPr>
    </w:p>
    <w:p w14:paraId="0690241A">
      <w:pPr>
        <w:spacing w:line="360" w:lineRule="auto"/>
        <w:ind w:firstLine="235" w:firstLineChars="98"/>
        <w:jc w:val="right"/>
        <w:rPr>
          <w:rFonts w:hint="eastAsia"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lang w:eastAsia="zh-CN"/>
        </w:rPr>
        <w:t>供应商</w:t>
      </w:r>
      <w:r>
        <w:rPr>
          <w:rFonts w:hint="eastAsia" w:ascii="宋体" w:hAnsi="宋体"/>
          <w:bCs/>
          <w:color w:val="auto"/>
          <w:sz w:val="24"/>
          <w:highlight w:val="none"/>
        </w:rPr>
        <w:t>：</w:t>
      </w:r>
      <w:r>
        <w:rPr>
          <w:rFonts w:hint="eastAsia" w:ascii="宋体" w:hAnsi="宋体"/>
          <w:bCs/>
          <w:color w:val="auto"/>
          <w:sz w:val="24"/>
          <w:highlight w:val="none"/>
          <w:u w:val="single"/>
        </w:rPr>
        <w:t xml:space="preserve">                 </w:t>
      </w:r>
      <w:r>
        <w:rPr>
          <w:rFonts w:hint="eastAsia" w:ascii="宋体" w:hAnsi="宋体"/>
          <w:bCs/>
          <w:color w:val="auto"/>
          <w:sz w:val="24"/>
          <w:highlight w:val="none"/>
        </w:rPr>
        <w:t>（盖章）</w:t>
      </w:r>
    </w:p>
    <w:p w14:paraId="604779D0">
      <w:pPr>
        <w:spacing w:line="360" w:lineRule="auto"/>
        <w:ind w:firstLine="235" w:firstLineChars="98"/>
        <w:jc w:val="right"/>
        <w:rPr>
          <w:rFonts w:hint="eastAsia" w:ascii="宋体" w:hAnsi="宋体"/>
          <w:bCs/>
          <w:color w:val="auto"/>
          <w:sz w:val="24"/>
          <w:highlight w:val="none"/>
        </w:rPr>
      </w:pPr>
      <w:r>
        <w:rPr>
          <w:rFonts w:hint="eastAsia" w:ascii="宋体" w:hAnsi="宋体"/>
          <w:bCs/>
          <w:color w:val="auto"/>
          <w:sz w:val="24"/>
          <w:highlight w:val="none"/>
        </w:rPr>
        <w:t xml:space="preserve"> </w:t>
      </w:r>
    </w:p>
    <w:p w14:paraId="5BF36E01">
      <w:pPr>
        <w:spacing w:line="360" w:lineRule="auto"/>
        <w:ind w:firstLine="235" w:firstLineChars="98"/>
        <w:jc w:val="right"/>
        <w:outlineLvl w:val="9"/>
        <w:rPr>
          <w:rFonts w:hint="eastAsia"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sz w:val="24"/>
        </w:rPr>
        <w:t>法定代表人</w:t>
      </w:r>
      <w:r>
        <w:rPr>
          <w:rFonts w:hint="eastAsia" w:ascii="宋体" w:hAnsi="宋体"/>
          <w:sz w:val="24"/>
          <w:lang w:val="en-US" w:eastAsia="zh-CN"/>
        </w:rPr>
        <w:t>/</w:t>
      </w:r>
      <w:r>
        <w:rPr>
          <w:rFonts w:hint="eastAsia" w:ascii="宋体" w:hAnsi="宋体"/>
          <w:sz w:val="24"/>
        </w:rPr>
        <w:t>授权代表</w:t>
      </w:r>
      <w:r>
        <w:rPr>
          <w:rFonts w:hint="eastAsia" w:ascii="宋体" w:hAnsi="宋体"/>
          <w:sz w:val="24"/>
          <w:lang w:eastAsia="zh-CN"/>
        </w:rPr>
        <w:t>：</w:t>
      </w:r>
      <w:r>
        <w:rPr>
          <w:rFonts w:hint="eastAsia" w:ascii="宋体" w:hAnsi="宋体"/>
          <w:bCs/>
          <w:color w:val="auto"/>
          <w:sz w:val="24"/>
          <w:highlight w:val="none"/>
          <w:u w:val="single"/>
        </w:rPr>
        <w:t xml:space="preserve">             </w:t>
      </w:r>
      <w:r>
        <w:rPr>
          <w:rFonts w:hint="eastAsia" w:ascii="宋体" w:hAnsi="宋体"/>
          <w:bCs/>
          <w:color w:val="auto"/>
          <w:sz w:val="24"/>
          <w:highlight w:val="none"/>
        </w:rPr>
        <w:t>（签字或盖章）</w:t>
      </w:r>
    </w:p>
    <w:p w14:paraId="7AD31A22">
      <w:pPr>
        <w:spacing w:line="360" w:lineRule="auto"/>
        <w:ind w:firstLine="235" w:firstLineChars="98"/>
        <w:jc w:val="right"/>
        <w:rPr>
          <w:rFonts w:hint="eastAsia" w:ascii="宋体" w:hAnsi="宋体"/>
          <w:bCs/>
          <w:color w:val="auto"/>
          <w:sz w:val="24"/>
          <w:highlight w:val="none"/>
        </w:rPr>
      </w:pPr>
    </w:p>
    <w:p w14:paraId="21270B94">
      <w:pPr>
        <w:spacing w:line="360" w:lineRule="auto"/>
        <w:ind w:firstLine="235" w:firstLineChars="98"/>
        <w:jc w:val="right"/>
        <w:rPr>
          <w:rFonts w:hint="eastAsia" w:ascii="宋体" w:hAnsi="宋体"/>
          <w:bCs/>
          <w:color w:val="auto"/>
          <w:sz w:val="24"/>
          <w:highlight w:val="none"/>
        </w:rPr>
      </w:pPr>
      <w:r>
        <w:rPr>
          <w:rFonts w:hint="eastAsia" w:ascii="宋体" w:hAnsi="宋体"/>
          <w:bCs/>
          <w:color w:val="auto"/>
          <w:sz w:val="24"/>
          <w:highlight w:val="none"/>
        </w:rPr>
        <w:t xml:space="preserve">  日期：</w:t>
      </w: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日</w:t>
      </w:r>
    </w:p>
    <w:p w14:paraId="648E62D8">
      <w:pPr>
        <w:spacing w:line="360" w:lineRule="auto"/>
        <w:rPr>
          <w:rFonts w:ascii="宋体" w:hAnsi="宋体"/>
          <w:b/>
          <w:color w:val="auto"/>
          <w:sz w:val="24"/>
          <w:highlight w:val="none"/>
        </w:rPr>
      </w:pPr>
    </w:p>
    <w:p w14:paraId="3A0E8263">
      <w:pPr>
        <w:spacing w:line="360" w:lineRule="auto"/>
        <w:rPr>
          <w:rFonts w:ascii="宋体" w:hAnsi="宋体"/>
          <w:b/>
          <w:color w:val="auto"/>
          <w:sz w:val="24"/>
          <w:highlight w:val="none"/>
        </w:rPr>
      </w:pPr>
    </w:p>
    <w:p w14:paraId="145A4091">
      <w:pPr>
        <w:spacing w:line="360" w:lineRule="auto"/>
        <w:rPr>
          <w:rFonts w:ascii="宋体" w:hAnsi="宋体"/>
          <w:b/>
          <w:color w:val="auto"/>
          <w:sz w:val="24"/>
          <w:highlight w:val="none"/>
        </w:rPr>
      </w:pPr>
    </w:p>
    <w:p w14:paraId="3ECFB891">
      <w:pPr>
        <w:spacing w:line="360" w:lineRule="auto"/>
        <w:rPr>
          <w:rFonts w:hint="eastAsia" w:ascii="宋体" w:hAnsi="宋体"/>
          <w:b/>
          <w:color w:val="auto"/>
          <w:sz w:val="24"/>
          <w:highlight w:val="none"/>
        </w:rPr>
      </w:pPr>
    </w:p>
    <w:p w14:paraId="2FCAB075">
      <w:pPr>
        <w:spacing w:line="440" w:lineRule="exact"/>
        <w:ind w:firstLine="482"/>
        <w:rPr>
          <w:rFonts w:hint="eastAsia" w:ascii="宋体" w:hAnsi="宋体"/>
          <w:b/>
          <w:color w:val="auto"/>
          <w:sz w:val="24"/>
          <w:highlight w:val="none"/>
        </w:rPr>
      </w:pPr>
      <w:r>
        <w:rPr>
          <w:rFonts w:hint="eastAsia" w:ascii="宋体" w:hAnsi="宋体"/>
          <w:b/>
          <w:color w:val="auto"/>
          <w:sz w:val="24"/>
          <w:highlight w:val="none"/>
        </w:rPr>
        <w:t>注：</w:t>
      </w:r>
    </w:p>
    <w:p w14:paraId="79FAAE6B">
      <w:pPr>
        <w:spacing w:line="440" w:lineRule="exact"/>
        <w:ind w:firstLine="482"/>
        <w:rPr>
          <w:rFonts w:hint="eastAsia" w:ascii="宋体" w:hAnsi="宋体"/>
          <w:b/>
          <w:color w:val="auto"/>
          <w:sz w:val="24"/>
          <w:highlight w:val="none"/>
        </w:rPr>
      </w:pPr>
      <w:r>
        <w:rPr>
          <w:rFonts w:hint="eastAsia" w:ascii="宋体" w:hAnsi="宋体"/>
          <w:b/>
          <w:color w:val="auto"/>
          <w:sz w:val="24"/>
          <w:highlight w:val="none"/>
        </w:rPr>
        <w:t>1.非监狱企业无需在投标文件中提供。如为监狱企业应在投标文件的封面右上角明确注明相关信息以便方便认可。</w:t>
      </w:r>
    </w:p>
    <w:p w14:paraId="69FD263E">
      <w:pPr>
        <w:spacing w:line="440" w:lineRule="exact"/>
        <w:ind w:firstLine="482"/>
        <w:rPr>
          <w:rFonts w:hint="eastAsia" w:ascii="宋体" w:hAnsi="宋体"/>
          <w:b/>
          <w:color w:val="auto"/>
          <w:sz w:val="24"/>
          <w:highlight w:val="none"/>
        </w:rPr>
      </w:pPr>
      <w:r>
        <w:rPr>
          <w:rFonts w:hint="eastAsia" w:ascii="宋体" w:hAnsi="宋体"/>
          <w:b/>
          <w:color w:val="auto"/>
          <w:sz w:val="24"/>
          <w:highlight w:val="none"/>
        </w:rPr>
        <w:t>2.</w:t>
      </w:r>
      <w:r>
        <w:rPr>
          <w:rFonts w:hint="eastAsia" w:ascii="宋体" w:hAnsi="宋体"/>
          <w:b/>
          <w:color w:val="auto"/>
          <w:sz w:val="24"/>
          <w:highlight w:val="none"/>
          <w:lang w:eastAsia="zh-CN"/>
        </w:rPr>
        <w:t>供应商</w:t>
      </w:r>
      <w:r>
        <w:rPr>
          <w:rFonts w:hint="eastAsia" w:ascii="宋体" w:hAnsi="宋体"/>
          <w:b/>
          <w:color w:val="auto"/>
          <w:sz w:val="24"/>
          <w:highlight w:val="none"/>
        </w:rPr>
        <w:t>提供《监狱企业声明函》的需保证其真实性，如经查实存在虚假证明的情况，由</w:t>
      </w:r>
      <w:r>
        <w:rPr>
          <w:rFonts w:hint="eastAsia" w:ascii="宋体" w:hAnsi="宋体"/>
          <w:b/>
          <w:color w:val="auto"/>
          <w:sz w:val="24"/>
          <w:highlight w:val="none"/>
          <w:lang w:eastAsia="zh-CN"/>
        </w:rPr>
        <w:t>供应商</w:t>
      </w:r>
      <w:r>
        <w:rPr>
          <w:rFonts w:hint="eastAsia" w:ascii="宋体" w:hAnsi="宋体"/>
          <w:b/>
          <w:color w:val="auto"/>
          <w:sz w:val="24"/>
          <w:highlight w:val="none"/>
        </w:rPr>
        <w:t>承担相应责任。</w:t>
      </w:r>
    </w:p>
    <w:p w14:paraId="7BBA55BF">
      <w:pPr>
        <w:jc w:val="left"/>
        <w:rPr>
          <w:rFonts w:ascii="宋体" w:hAnsi="宋体"/>
          <w:b/>
          <w:bCs/>
          <w:color w:val="auto"/>
          <w:sz w:val="32"/>
          <w:szCs w:val="32"/>
          <w:highlight w:val="none"/>
        </w:rPr>
      </w:pPr>
    </w:p>
    <w:p w14:paraId="04AF543F">
      <w:pPr>
        <w:rPr>
          <w:rFonts w:hint="eastAsia" w:ascii="宋体" w:hAnsi="宋体"/>
          <w:b/>
          <w:bCs/>
          <w:color w:val="auto"/>
          <w:sz w:val="28"/>
          <w:szCs w:val="28"/>
          <w:highlight w:val="none"/>
        </w:rPr>
      </w:pPr>
      <w:r>
        <w:rPr>
          <w:rFonts w:hint="eastAsia" w:ascii="宋体" w:hAnsi="宋体"/>
          <w:b/>
          <w:bCs/>
          <w:color w:val="auto"/>
          <w:sz w:val="28"/>
          <w:szCs w:val="28"/>
          <w:highlight w:val="none"/>
        </w:rPr>
        <w:br w:type="page"/>
      </w:r>
    </w:p>
    <w:p w14:paraId="1554AAD8">
      <w:pPr>
        <w:adjustRightInd w:val="0"/>
        <w:snapToGrid w:val="0"/>
        <w:spacing w:line="360" w:lineRule="auto"/>
        <w:jc w:val="center"/>
        <w:rPr>
          <w:rFonts w:hint="eastAsia" w:ascii="Arial" w:hAnsi="Arial" w:eastAsia="宋体" w:cs="Times New Roman"/>
          <w:b/>
          <w:bCs/>
          <w:kern w:val="2"/>
          <w:sz w:val="32"/>
          <w:szCs w:val="32"/>
          <w:lang w:val="en-US" w:eastAsia="zh-CN" w:bidi="ar-SA"/>
        </w:rPr>
      </w:pPr>
      <w:r>
        <w:rPr>
          <w:rFonts w:hint="eastAsia" w:ascii="Arial" w:hAnsi="Arial" w:eastAsia="宋体" w:cs="Times New Roman"/>
          <w:b/>
          <w:bCs/>
          <w:kern w:val="2"/>
          <w:sz w:val="32"/>
          <w:szCs w:val="32"/>
          <w:lang w:val="en-US" w:eastAsia="zh-CN" w:bidi="ar-SA"/>
        </w:rPr>
        <w:t>残疾人福利性单位声明函（如有可提供）</w:t>
      </w:r>
    </w:p>
    <w:p w14:paraId="0D8F5E1F">
      <w:pPr>
        <w:spacing w:line="48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w:t>
      </w:r>
    </w:p>
    <w:p w14:paraId="49CDA63A">
      <w:pPr>
        <w:spacing w:line="480" w:lineRule="auto"/>
        <w:ind w:firstLine="475" w:firstLineChars="198"/>
        <w:rPr>
          <w:rFonts w:hint="eastAsia" w:ascii="宋体" w:hAnsi="宋体"/>
          <w:bCs/>
          <w:color w:val="auto"/>
          <w:sz w:val="24"/>
          <w:highlight w:val="none"/>
        </w:rPr>
      </w:pPr>
      <w:r>
        <w:rPr>
          <w:rFonts w:hint="eastAsia" w:ascii="宋体" w:hAnsi="宋体"/>
          <w:bCs/>
          <w:color w:val="auto"/>
          <w:sz w:val="24"/>
          <w:highlight w:val="none"/>
        </w:rPr>
        <w:t>本单位对上述声明的真实性负责。如有虚假，将依法承担相应责任。</w:t>
      </w:r>
    </w:p>
    <w:p w14:paraId="74E824FC">
      <w:pPr>
        <w:spacing w:line="588" w:lineRule="exact"/>
        <w:ind w:firstLine="624" w:firstLineChars="200"/>
        <w:rPr>
          <w:rFonts w:ascii="宋体" w:hAnsi="宋体"/>
          <w:bCs/>
          <w:color w:val="auto"/>
          <w:spacing w:val="6"/>
          <w:sz w:val="30"/>
          <w:szCs w:val="30"/>
          <w:highlight w:val="none"/>
        </w:rPr>
      </w:pPr>
    </w:p>
    <w:p w14:paraId="6B8C39FC">
      <w:pPr>
        <w:spacing w:line="588" w:lineRule="exact"/>
        <w:ind w:firstLine="626" w:firstLineChars="200"/>
        <w:rPr>
          <w:rFonts w:ascii="宋体" w:hAnsi="宋体"/>
          <w:b/>
          <w:bCs/>
          <w:color w:val="auto"/>
          <w:spacing w:val="6"/>
          <w:sz w:val="30"/>
          <w:szCs w:val="30"/>
          <w:highlight w:val="none"/>
        </w:rPr>
      </w:pPr>
    </w:p>
    <w:p w14:paraId="0C47F465">
      <w:pPr>
        <w:spacing w:line="360" w:lineRule="auto"/>
        <w:ind w:firstLine="235" w:firstLineChars="98"/>
        <w:jc w:val="right"/>
        <w:rPr>
          <w:rFonts w:hint="eastAsia"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lang w:eastAsia="zh-CN"/>
        </w:rPr>
        <w:t>供应商</w:t>
      </w:r>
      <w:r>
        <w:rPr>
          <w:rFonts w:hint="eastAsia" w:ascii="宋体" w:hAnsi="宋体"/>
          <w:bCs/>
          <w:color w:val="auto"/>
          <w:sz w:val="24"/>
          <w:highlight w:val="none"/>
        </w:rPr>
        <w:t>：</w:t>
      </w:r>
      <w:r>
        <w:rPr>
          <w:rFonts w:hint="eastAsia" w:ascii="宋体" w:hAnsi="宋体"/>
          <w:bCs/>
          <w:color w:val="auto"/>
          <w:sz w:val="24"/>
          <w:highlight w:val="none"/>
          <w:u w:val="single"/>
        </w:rPr>
        <w:t xml:space="preserve">                 </w:t>
      </w:r>
      <w:r>
        <w:rPr>
          <w:rFonts w:hint="eastAsia" w:ascii="宋体" w:hAnsi="宋体"/>
          <w:bCs/>
          <w:color w:val="auto"/>
          <w:sz w:val="24"/>
          <w:highlight w:val="none"/>
        </w:rPr>
        <w:t>（盖章）</w:t>
      </w:r>
    </w:p>
    <w:p w14:paraId="74CE5A88">
      <w:pPr>
        <w:spacing w:line="360" w:lineRule="auto"/>
        <w:ind w:firstLine="235" w:firstLineChars="98"/>
        <w:jc w:val="right"/>
        <w:rPr>
          <w:rFonts w:hint="eastAsia" w:ascii="宋体" w:hAnsi="宋体"/>
          <w:bCs/>
          <w:color w:val="auto"/>
          <w:sz w:val="24"/>
          <w:highlight w:val="none"/>
        </w:rPr>
      </w:pPr>
      <w:r>
        <w:rPr>
          <w:rFonts w:hint="eastAsia" w:ascii="宋体" w:hAnsi="宋体"/>
          <w:bCs/>
          <w:color w:val="auto"/>
          <w:sz w:val="24"/>
          <w:highlight w:val="none"/>
        </w:rPr>
        <w:t xml:space="preserve"> </w:t>
      </w:r>
    </w:p>
    <w:p w14:paraId="703333B6">
      <w:pPr>
        <w:spacing w:line="360" w:lineRule="auto"/>
        <w:ind w:firstLine="235" w:firstLineChars="98"/>
        <w:jc w:val="right"/>
        <w:outlineLvl w:val="9"/>
        <w:rPr>
          <w:rFonts w:hint="eastAsia"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sz w:val="24"/>
        </w:rPr>
        <w:t>法定代表人</w:t>
      </w:r>
      <w:r>
        <w:rPr>
          <w:rFonts w:hint="eastAsia" w:ascii="宋体" w:hAnsi="宋体"/>
          <w:sz w:val="24"/>
          <w:lang w:val="en-US" w:eastAsia="zh-CN"/>
        </w:rPr>
        <w:t>/</w:t>
      </w:r>
      <w:r>
        <w:rPr>
          <w:rFonts w:hint="eastAsia" w:ascii="宋体" w:hAnsi="宋体"/>
          <w:sz w:val="24"/>
        </w:rPr>
        <w:t>授权代表</w:t>
      </w:r>
      <w:r>
        <w:rPr>
          <w:rFonts w:hint="eastAsia" w:ascii="宋体" w:hAnsi="宋体"/>
          <w:sz w:val="24"/>
          <w:lang w:eastAsia="zh-CN"/>
        </w:rPr>
        <w:t>：</w:t>
      </w:r>
      <w:r>
        <w:rPr>
          <w:rFonts w:hint="eastAsia" w:ascii="宋体" w:hAnsi="宋体"/>
          <w:bCs/>
          <w:color w:val="auto"/>
          <w:sz w:val="24"/>
          <w:highlight w:val="none"/>
          <w:u w:val="single"/>
        </w:rPr>
        <w:t xml:space="preserve">             </w:t>
      </w:r>
      <w:r>
        <w:rPr>
          <w:rFonts w:hint="eastAsia" w:ascii="宋体" w:hAnsi="宋体"/>
          <w:bCs/>
          <w:color w:val="auto"/>
          <w:sz w:val="24"/>
          <w:highlight w:val="none"/>
        </w:rPr>
        <w:t>（签字或盖章）</w:t>
      </w:r>
    </w:p>
    <w:p w14:paraId="09532593">
      <w:pPr>
        <w:spacing w:line="360" w:lineRule="auto"/>
        <w:ind w:firstLine="235" w:firstLineChars="98"/>
        <w:jc w:val="right"/>
        <w:rPr>
          <w:rFonts w:hint="eastAsia" w:ascii="宋体" w:hAnsi="宋体"/>
          <w:bCs/>
          <w:color w:val="auto"/>
          <w:sz w:val="24"/>
          <w:highlight w:val="none"/>
        </w:rPr>
      </w:pPr>
    </w:p>
    <w:p w14:paraId="52F40633">
      <w:pPr>
        <w:spacing w:line="480" w:lineRule="auto"/>
        <w:ind w:firstLine="235" w:firstLineChars="98"/>
        <w:jc w:val="right"/>
        <w:rPr>
          <w:rFonts w:hint="eastAsia" w:ascii="宋体" w:hAnsi="宋体"/>
          <w:bCs/>
          <w:color w:val="auto"/>
          <w:sz w:val="24"/>
          <w:highlight w:val="none"/>
        </w:rPr>
      </w:pPr>
      <w:r>
        <w:rPr>
          <w:rFonts w:hint="eastAsia" w:ascii="宋体" w:hAnsi="宋体"/>
          <w:bCs/>
          <w:color w:val="auto"/>
          <w:sz w:val="24"/>
          <w:highlight w:val="none"/>
        </w:rPr>
        <w:t xml:space="preserve">  日期：</w:t>
      </w: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日</w:t>
      </w:r>
    </w:p>
    <w:p w14:paraId="312CF6A9">
      <w:pPr>
        <w:spacing w:line="480" w:lineRule="auto"/>
        <w:rPr>
          <w:rFonts w:hint="eastAsia" w:ascii="宋体" w:hAnsi="宋体"/>
          <w:color w:val="auto"/>
          <w:sz w:val="24"/>
          <w:highlight w:val="none"/>
        </w:rPr>
      </w:pPr>
    </w:p>
    <w:p w14:paraId="4A8BB41A">
      <w:pPr>
        <w:spacing w:line="480" w:lineRule="auto"/>
        <w:rPr>
          <w:rFonts w:hint="eastAsia" w:ascii="宋体" w:hAnsi="宋体"/>
          <w:b/>
          <w:color w:val="auto"/>
          <w:sz w:val="24"/>
          <w:highlight w:val="none"/>
        </w:rPr>
      </w:pPr>
    </w:p>
    <w:p w14:paraId="42166046">
      <w:pPr>
        <w:spacing w:line="440" w:lineRule="exact"/>
        <w:ind w:firstLine="482"/>
        <w:rPr>
          <w:rFonts w:hint="eastAsia" w:ascii="宋体" w:hAnsi="宋体"/>
          <w:b/>
          <w:color w:val="auto"/>
          <w:sz w:val="24"/>
          <w:highlight w:val="none"/>
        </w:rPr>
      </w:pPr>
      <w:r>
        <w:rPr>
          <w:rFonts w:hint="eastAsia" w:ascii="宋体" w:hAnsi="宋体"/>
          <w:b/>
          <w:color w:val="auto"/>
          <w:sz w:val="24"/>
          <w:highlight w:val="none"/>
        </w:rPr>
        <w:t>注：</w:t>
      </w:r>
    </w:p>
    <w:p w14:paraId="321682FC">
      <w:pPr>
        <w:spacing w:line="440" w:lineRule="exact"/>
        <w:ind w:firstLine="482"/>
        <w:rPr>
          <w:rFonts w:hint="eastAsia" w:ascii="宋体" w:hAnsi="宋体"/>
          <w:b/>
          <w:color w:val="auto"/>
          <w:sz w:val="24"/>
          <w:highlight w:val="none"/>
        </w:rPr>
      </w:pPr>
      <w:r>
        <w:rPr>
          <w:rFonts w:hint="eastAsia" w:ascii="宋体" w:hAnsi="宋体"/>
          <w:b/>
          <w:color w:val="auto"/>
          <w:sz w:val="24"/>
          <w:highlight w:val="none"/>
        </w:rPr>
        <w:t>1.非残疾人福利性单位无需在投标文件中提供。如为残疾人福利性单位应在投标文件的封面右上角明确注明相关信息以便方便认可。</w:t>
      </w:r>
    </w:p>
    <w:p w14:paraId="022F80F6">
      <w:pPr>
        <w:spacing w:line="440" w:lineRule="exact"/>
        <w:ind w:firstLine="482"/>
        <w:rPr>
          <w:rFonts w:hint="eastAsia" w:ascii="宋体" w:hAnsi="宋体"/>
          <w:b/>
          <w:color w:val="auto"/>
          <w:sz w:val="24"/>
          <w:highlight w:val="none"/>
        </w:rPr>
      </w:pPr>
      <w:r>
        <w:rPr>
          <w:rFonts w:hint="eastAsia" w:ascii="宋体" w:hAnsi="宋体"/>
          <w:b/>
          <w:color w:val="auto"/>
          <w:sz w:val="24"/>
          <w:highlight w:val="none"/>
        </w:rPr>
        <w:t>2.</w:t>
      </w:r>
      <w:r>
        <w:rPr>
          <w:rFonts w:hint="eastAsia" w:ascii="宋体" w:hAnsi="宋体"/>
          <w:b/>
          <w:color w:val="auto"/>
          <w:sz w:val="24"/>
          <w:highlight w:val="none"/>
          <w:lang w:eastAsia="zh-CN"/>
        </w:rPr>
        <w:t>供应商</w:t>
      </w:r>
      <w:r>
        <w:rPr>
          <w:rFonts w:hint="eastAsia" w:ascii="宋体" w:hAnsi="宋体"/>
          <w:b/>
          <w:color w:val="auto"/>
          <w:sz w:val="24"/>
          <w:highlight w:val="none"/>
        </w:rPr>
        <w:t>企业所提供的《残疾人福利性单位声明函》，由其自行承担相应的法律责任。</w:t>
      </w:r>
    </w:p>
    <w:p w14:paraId="0CB6AB5A">
      <w:pPr>
        <w:jc w:val="left"/>
        <w:rPr>
          <w:rFonts w:hint="eastAsia" w:ascii="宋体" w:hAnsi="宋体"/>
          <w:b/>
          <w:bCs/>
          <w:color w:val="auto"/>
          <w:sz w:val="28"/>
          <w:szCs w:val="28"/>
          <w:highlight w:val="none"/>
        </w:rPr>
      </w:pPr>
    </w:p>
    <w:p w14:paraId="19DEB9D4">
      <w:pPr>
        <w:pStyle w:val="13"/>
        <w:rPr>
          <w:rFonts w:hint="eastAsia"/>
          <w:color w:val="auto"/>
          <w:highlight w:val="none"/>
        </w:rPr>
      </w:pPr>
    </w:p>
    <w:p w14:paraId="54343589">
      <w:pPr>
        <w:rPr>
          <w:rFonts w:hint="eastAsia" w:ascii="宋体" w:hAnsi="宋体"/>
          <w:b/>
          <w:bCs/>
          <w:color w:val="auto"/>
          <w:sz w:val="28"/>
          <w:szCs w:val="28"/>
          <w:highlight w:val="none"/>
        </w:rPr>
      </w:pPr>
      <w:r>
        <w:rPr>
          <w:rFonts w:hint="eastAsia" w:ascii="宋体" w:hAnsi="宋体"/>
          <w:b/>
          <w:bCs/>
          <w:color w:val="auto"/>
          <w:sz w:val="28"/>
          <w:szCs w:val="28"/>
          <w:highlight w:val="none"/>
        </w:rPr>
        <w:br w:type="page"/>
      </w:r>
    </w:p>
    <w:p w14:paraId="2792167E">
      <w:pPr>
        <w:adjustRightInd w:val="0"/>
        <w:snapToGrid w:val="0"/>
        <w:spacing w:line="360" w:lineRule="auto"/>
        <w:jc w:val="center"/>
        <w:rPr>
          <w:rFonts w:hint="eastAsia" w:ascii="Arial" w:hAnsi="Arial" w:eastAsia="宋体" w:cs="Times New Roman"/>
          <w:b/>
          <w:bCs/>
          <w:kern w:val="2"/>
          <w:sz w:val="32"/>
          <w:szCs w:val="32"/>
          <w:lang w:val="en-US" w:eastAsia="zh-CN" w:bidi="ar-SA"/>
        </w:rPr>
      </w:pPr>
      <w:r>
        <w:rPr>
          <w:rFonts w:hint="eastAsia" w:ascii="Arial" w:hAnsi="Arial" w:eastAsia="宋体" w:cs="Times New Roman"/>
          <w:b/>
          <w:bCs/>
          <w:kern w:val="2"/>
          <w:sz w:val="32"/>
          <w:szCs w:val="32"/>
          <w:lang w:val="en-US" w:eastAsia="zh-CN" w:bidi="ar-SA"/>
        </w:rPr>
        <w:t>福利性单位声明函（如有可提供）</w:t>
      </w:r>
    </w:p>
    <w:p w14:paraId="0819E30D">
      <w:pPr>
        <w:spacing w:line="48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本单位郑重声明，根据陕西省《关于政府采购优先购买福利性企业产品和服务的意见》规定，本单位为符合条件的福利性单位，且本单位参加______单位的______项目采购活动提供本单位制造的货物，或者提供其他福利性单位制造的货物（不包括使用非福利性单位注册商标的货物）。</w:t>
      </w:r>
    </w:p>
    <w:p w14:paraId="2F609BD1">
      <w:pPr>
        <w:spacing w:line="480" w:lineRule="auto"/>
        <w:ind w:firstLine="475" w:firstLineChars="198"/>
        <w:rPr>
          <w:rFonts w:hint="eastAsia" w:ascii="宋体" w:hAnsi="宋体"/>
          <w:bCs/>
          <w:color w:val="auto"/>
          <w:sz w:val="24"/>
          <w:highlight w:val="none"/>
        </w:rPr>
      </w:pPr>
      <w:r>
        <w:rPr>
          <w:rFonts w:hint="eastAsia" w:ascii="宋体" w:hAnsi="宋体"/>
          <w:bCs/>
          <w:color w:val="auto"/>
          <w:sz w:val="24"/>
          <w:highlight w:val="none"/>
        </w:rPr>
        <w:t>本单位对上述声明的真实性负责。如有虚假，将依法承担相应责任。</w:t>
      </w:r>
    </w:p>
    <w:p w14:paraId="434C5D83">
      <w:pPr>
        <w:spacing w:line="588" w:lineRule="exact"/>
        <w:rPr>
          <w:rFonts w:hint="eastAsia" w:ascii="宋体" w:hAnsi="宋体"/>
          <w:b/>
          <w:bCs/>
          <w:color w:val="auto"/>
          <w:spacing w:val="6"/>
          <w:sz w:val="30"/>
          <w:szCs w:val="30"/>
          <w:highlight w:val="none"/>
        </w:rPr>
      </w:pPr>
    </w:p>
    <w:p w14:paraId="7DE5B6C8">
      <w:pPr>
        <w:spacing w:line="360" w:lineRule="auto"/>
        <w:ind w:firstLine="235" w:firstLineChars="98"/>
        <w:jc w:val="right"/>
        <w:rPr>
          <w:rFonts w:hint="eastAsia"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lang w:eastAsia="zh-CN"/>
        </w:rPr>
        <w:t>供应商</w:t>
      </w:r>
      <w:r>
        <w:rPr>
          <w:rFonts w:hint="eastAsia" w:ascii="宋体" w:hAnsi="宋体"/>
          <w:bCs/>
          <w:color w:val="auto"/>
          <w:sz w:val="24"/>
          <w:highlight w:val="none"/>
        </w:rPr>
        <w:t>：</w:t>
      </w:r>
      <w:r>
        <w:rPr>
          <w:rFonts w:hint="eastAsia" w:ascii="宋体" w:hAnsi="宋体"/>
          <w:bCs/>
          <w:color w:val="auto"/>
          <w:sz w:val="24"/>
          <w:highlight w:val="none"/>
          <w:u w:val="single"/>
        </w:rPr>
        <w:t xml:space="preserve">                 </w:t>
      </w:r>
      <w:r>
        <w:rPr>
          <w:rFonts w:hint="eastAsia" w:ascii="宋体" w:hAnsi="宋体"/>
          <w:bCs/>
          <w:color w:val="auto"/>
          <w:sz w:val="24"/>
          <w:highlight w:val="none"/>
        </w:rPr>
        <w:t>（盖章）</w:t>
      </w:r>
    </w:p>
    <w:p w14:paraId="0A22C94B">
      <w:pPr>
        <w:spacing w:line="360" w:lineRule="auto"/>
        <w:ind w:firstLine="235" w:firstLineChars="98"/>
        <w:jc w:val="right"/>
        <w:rPr>
          <w:rFonts w:hint="eastAsia" w:ascii="宋体" w:hAnsi="宋体"/>
          <w:bCs/>
          <w:color w:val="auto"/>
          <w:sz w:val="24"/>
          <w:highlight w:val="none"/>
        </w:rPr>
      </w:pPr>
      <w:r>
        <w:rPr>
          <w:rFonts w:hint="eastAsia" w:ascii="宋体" w:hAnsi="宋体"/>
          <w:bCs/>
          <w:color w:val="auto"/>
          <w:sz w:val="24"/>
          <w:highlight w:val="none"/>
        </w:rPr>
        <w:t xml:space="preserve"> </w:t>
      </w:r>
    </w:p>
    <w:p w14:paraId="4A086F4D">
      <w:pPr>
        <w:spacing w:line="360" w:lineRule="auto"/>
        <w:ind w:firstLine="235" w:firstLineChars="98"/>
        <w:jc w:val="right"/>
        <w:outlineLvl w:val="9"/>
        <w:rPr>
          <w:rFonts w:hint="eastAsia"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sz w:val="24"/>
        </w:rPr>
        <w:t>法定代表人</w:t>
      </w:r>
      <w:r>
        <w:rPr>
          <w:rFonts w:hint="eastAsia" w:ascii="宋体" w:hAnsi="宋体"/>
          <w:sz w:val="24"/>
          <w:lang w:val="en-US" w:eastAsia="zh-CN"/>
        </w:rPr>
        <w:t>/</w:t>
      </w:r>
      <w:r>
        <w:rPr>
          <w:rFonts w:hint="eastAsia" w:ascii="宋体" w:hAnsi="宋体"/>
          <w:sz w:val="24"/>
        </w:rPr>
        <w:t>授权代表</w:t>
      </w:r>
      <w:r>
        <w:rPr>
          <w:rFonts w:hint="eastAsia" w:ascii="宋体" w:hAnsi="宋体"/>
          <w:sz w:val="24"/>
          <w:lang w:eastAsia="zh-CN"/>
        </w:rPr>
        <w:t>：</w:t>
      </w:r>
      <w:r>
        <w:rPr>
          <w:rFonts w:hint="eastAsia" w:ascii="宋体" w:hAnsi="宋体"/>
          <w:bCs/>
          <w:color w:val="auto"/>
          <w:sz w:val="24"/>
          <w:highlight w:val="none"/>
          <w:u w:val="single"/>
        </w:rPr>
        <w:t xml:space="preserve">             </w:t>
      </w:r>
      <w:r>
        <w:rPr>
          <w:rFonts w:hint="eastAsia" w:ascii="宋体" w:hAnsi="宋体"/>
          <w:bCs/>
          <w:color w:val="auto"/>
          <w:sz w:val="24"/>
          <w:highlight w:val="none"/>
        </w:rPr>
        <w:t>（签字或盖章）</w:t>
      </w:r>
    </w:p>
    <w:p w14:paraId="07D0339F">
      <w:pPr>
        <w:spacing w:line="360" w:lineRule="auto"/>
        <w:ind w:firstLine="235" w:firstLineChars="98"/>
        <w:jc w:val="right"/>
        <w:rPr>
          <w:rFonts w:hint="eastAsia" w:ascii="宋体" w:hAnsi="宋体"/>
          <w:bCs/>
          <w:color w:val="auto"/>
          <w:sz w:val="24"/>
          <w:highlight w:val="none"/>
        </w:rPr>
      </w:pPr>
    </w:p>
    <w:p w14:paraId="4ED32F32">
      <w:pPr>
        <w:spacing w:line="480" w:lineRule="auto"/>
        <w:ind w:firstLine="235" w:firstLineChars="98"/>
        <w:jc w:val="right"/>
        <w:rPr>
          <w:rFonts w:hint="eastAsia" w:ascii="宋体" w:hAnsi="宋体"/>
          <w:bCs/>
          <w:color w:val="auto"/>
          <w:sz w:val="24"/>
          <w:highlight w:val="none"/>
        </w:rPr>
      </w:pPr>
      <w:r>
        <w:rPr>
          <w:rFonts w:hint="eastAsia" w:ascii="宋体" w:hAnsi="宋体"/>
          <w:bCs/>
          <w:color w:val="auto"/>
          <w:sz w:val="24"/>
          <w:highlight w:val="none"/>
        </w:rPr>
        <w:t xml:space="preserve">  日期：</w:t>
      </w: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日</w:t>
      </w:r>
    </w:p>
    <w:p w14:paraId="0C0E9872">
      <w:pPr>
        <w:spacing w:line="440" w:lineRule="exact"/>
        <w:ind w:firstLine="482"/>
        <w:rPr>
          <w:rFonts w:hint="eastAsia" w:ascii="宋体" w:hAnsi="宋体"/>
          <w:b/>
          <w:color w:val="auto"/>
          <w:sz w:val="24"/>
          <w:highlight w:val="none"/>
        </w:rPr>
      </w:pPr>
      <w:r>
        <w:rPr>
          <w:rFonts w:hint="eastAsia" w:ascii="宋体" w:hAnsi="宋体"/>
          <w:b/>
          <w:color w:val="auto"/>
          <w:sz w:val="24"/>
          <w:highlight w:val="none"/>
        </w:rPr>
        <w:t>注：</w:t>
      </w:r>
    </w:p>
    <w:p w14:paraId="594E5622">
      <w:pPr>
        <w:spacing w:line="440" w:lineRule="exact"/>
        <w:ind w:firstLine="482"/>
        <w:rPr>
          <w:rFonts w:hint="eastAsia" w:ascii="宋体" w:hAnsi="宋体"/>
          <w:b/>
          <w:color w:val="auto"/>
          <w:sz w:val="24"/>
          <w:highlight w:val="none"/>
        </w:rPr>
      </w:pPr>
      <w:r>
        <w:rPr>
          <w:rFonts w:hint="eastAsia" w:ascii="宋体" w:hAnsi="宋体"/>
          <w:b/>
          <w:color w:val="auto"/>
          <w:sz w:val="24"/>
          <w:highlight w:val="none"/>
        </w:rPr>
        <w:t>1.非福利性单位无需在投标文件中提供。如为福利性单位应在投标文件的封面右上角明确注明相关信息以便方便认可。</w:t>
      </w:r>
    </w:p>
    <w:p w14:paraId="5CE04870">
      <w:pPr>
        <w:spacing w:line="440" w:lineRule="exact"/>
        <w:ind w:firstLine="482"/>
        <w:rPr>
          <w:rFonts w:hint="eastAsia" w:ascii="宋体" w:hAnsi="宋体"/>
          <w:b/>
          <w:color w:val="auto"/>
          <w:sz w:val="24"/>
          <w:highlight w:val="none"/>
        </w:rPr>
      </w:pPr>
      <w:r>
        <w:rPr>
          <w:rFonts w:hint="eastAsia" w:ascii="宋体" w:hAnsi="宋体"/>
          <w:b/>
          <w:color w:val="auto"/>
          <w:sz w:val="24"/>
          <w:highlight w:val="none"/>
        </w:rPr>
        <w:t>2.</w:t>
      </w:r>
      <w:r>
        <w:rPr>
          <w:rFonts w:hint="eastAsia" w:ascii="宋体" w:hAnsi="宋体"/>
          <w:b/>
          <w:color w:val="auto"/>
          <w:sz w:val="24"/>
          <w:highlight w:val="none"/>
          <w:lang w:eastAsia="zh-CN"/>
        </w:rPr>
        <w:t>供应商</w:t>
      </w:r>
      <w:r>
        <w:rPr>
          <w:rFonts w:hint="eastAsia" w:ascii="宋体" w:hAnsi="宋体"/>
          <w:b/>
          <w:color w:val="auto"/>
          <w:sz w:val="24"/>
          <w:highlight w:val="none"/>
        </w:rPr>
        <w:t>企业所提供的《福利性单位声明函》，由其自行承担相应的法律责任。</w:t>
      </w:r>
    </w:p>
    <w:p w14:paraId="718E1F84">
      <w:pPr>
        <w:jc w:val="left"/>
        <w:rPr>
          <w:rFonts w:hint="eastAsia" w:ascii="宋体" w:hAnsi="宋体"/>
          <w:b/>
          <w:bCs/>
          <w:color w:val="auto"/>
          <w:sz w:val="28"/>
          <w:szCs w:val="28"/>
          <w:highlight w:val="none"/>
        </w:rPr>
      </w:pPr>
    </w:p>
    <w:p w14:paraId="0F0D3E9B">
      <w:pPr>
        <w:jc w:val="left"/>
        <w:rPr>
          <w:rFonts w:hint="eastAsia" w:ascii="宋体" w:hAnsi="宋体"/>
          <w:b/>
          <w:bCs/>
          <w:color w:val="auto"/>
          <w:sz w:val="28"/>
          <w:szCs w:val="28"/>
          <w:highlight w:val="none"/>
        </w:rPr>
      </w:pPr>
    </w:p>
    <w:p w14:paraId="7D3106A3">
      <w:pPr>
        <w:jc w:val="left"/>
        <w:rPr>
          <w:rFonts w:hint="eastAsia" w:ascii="宋体" w:hAnsi="宋体"/>
          <w:b/>
          <w:bCs/>
          <w:color w:val="auto"/>
          <w:sz w:val="28"/>
          <w:szCs w:val="28"/>
          <w:highlight w:val="none"/>
        </w:rPr>
      </w:pPr>
    </w:p>
    <w:p w14:paraId="159F348D">
      <w:pPr>
        <w:jc w:val="left"/>
        <w:rPr>
          <w:rFonts w:hint="eastAsia" w:ascii="宋体" w:hAnsi="宋体"/>
          <w:b/>
          <w:bCs/>
          <w:color w:val="auto"/>
          <w:sz w:val="28"/>
          <w:szCs w:val="28"/>
          <w:highlight w:val="none"/>
        </w:rPr>
      </w:pPr>
    </w:p>
    <w:p w14:paraId="5E03938E">
      <w:pPr>
        <w:jc w:val="left"/>
        <w:rPr>
          <w:rFonts w:hint="eastAsia" w:ascii="宋体" w:hAnsi="宋体"/>
          <w:b/>
          <w:bCs/>
          <w:color w:val="auto"/>
          <w:sz w:val="28"/>
          <w:szCs w:val="28"/>
          <w:highlight w:val="none"/>
        </w:rPr>
      </w:pPr>
    </w:p>
    <w:p w14:paraId="50DE6AA3">
      <w:pPr>
        <w:jc w:val="left"/>
        <w:rPr>
          <w:rFonts w:hint="eastAsia" w:ascii="宋体" w:hAnsi="宋体"/>
          <w:b/>
          <w:bCs/>
          <w:color w:val="auto"/>
          <w:sz w:val="28"/>
          <w:szCs w:val="28"/>
          <w:highlight w:val="none"/>
        </w:rPr>
      </w:pPr>
    </w:p>
    <w:p w14:paraId="0A3EC643">
      <w:pPr>
        <w:rPr>
          <w:rFonts w:hint="eastAsia" w:hAnsi="宋体" w:cs="Calibri Light"/>
          <w:sz w:val="24"/>
          <w:szCs w:val="24"/>
        </w:rPr>
      </w:pPr>
    </w:p>
    <w:sectPr>
      <w:headerReference r:id="rId10" w:type="first"/>
      <w:footerReference r:id="rId13" w:type="first"/>
      <w:headerReference r:id="rId8" w:type="default"/>
      <w:footerReference r:id="rId11" w:type="default"/>
      <w:headerReference r:id="rId9" w:type="even"/>
      <w:footerReference r:id="rId12" w:type="even"/>
      <w:pgSz w:w="11906" w:h="16838"/>
      <w:pgMar w:top="1418" w:right="1418" w:bottom="1418" w:left="1418" w:header="851" w:footer="850" w:gutter="0"/>
      <w:pgNumType w:fmt="decimal"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onsolas">
    <w:panose1 w:val="020B0609020204030204"/>
    <w:charset w:val="00"/>
    <w:family w:val="auto"/>
    <w:pitch w:val="default"/>
    <w:sig w:usb0="E00006FF" w:usb1="0000FCFF" w:usb2="00000001" w:usb3="00000000" w:csb0="6000019F" w:csb1="DFD70000"/>
  </w:font>
  <w:font w:name="Tahoma">
    <w:panose1 w:val="020B0604030504040204"/>
    <w:charset w:val="00"/>
    <w:family w:val="swiss"/>
    <w:pitch w:val="default"/>
    <w:sig w:usb0="E1002EFF" w:usb1="C000605B" w:usb2="00000029" w:usb3="00000000" w:csb0="200101FF" w:csb1="20280000"/>
  </w:font>
  <w:font w:name="....">
    <w:altName w:val="仿宋"/>
    <w:panose1 w:val="00000000000000000000"/>
    <w:charset w:val="86"/>
    <w:family w:val="swiss"/>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G Times (W1)">
    <w:altName w:val="Times New Roman"/>
    <w:panose1 w:val="00000000000000000000"/>
    <w:charset w:val="00"/>
    <w:family w:val="roman"/>
    <w:pitch w:val="default"/>
    <w:sig w:usb0="00000000" w:usb1="00000000" w:usb2="00000000" w:usb3="00000000" w:csb0="00000001" w:csb1="00000000"/>
  </w:font>
  <w:font w:name="Calibri Light">
    <w:panose1 w:val="020F0302020204030204"/>
    <w:charset w:val="00"/>
    <w:family w:val="swiss"/>
    <w:pitch w:val="default"/>
    <w:sig w:usb0="E4002EFF" w:usb1="C000247B" w:usb2="00000009" w:usb3="00000000" w:csb0="200001FF" w:csb1="00000000"/>
  </w:font>
  <w:font w:name="Helvetica">
    <w:altName w:val="Arial"/>
    <w:panose1 w:val="020B0604020202020204"/>
    <w:charset w:val="00"/>
    <w:family w:val="swiss"/>
    <w:pitch w:val="default"/>
    <w:sig w:usb0="00000000" w:usb1="00000000" w:usb2="00000009" w:usb3="00000000" w:csb0="000001FF" w:csb1="00000000"/>
  </w:font>
  <w:font w:name="MingLiU_HKSCS">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宋体-18030">
    <w:altName w:val="宋体"/>
    <w:panose1 w:val="00000000000000000000"/>
    <w:charset w:val="86"/>
    <w:family w:val="modern"/>
    <w:pitch w:val="default"/>
    <w:sig w:usb0="00000000" w:usb1="00000000" w:usb2="000A005E"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MingLiU">
    <w:altName w:val="PMingLiU-ExtB"/>
    <w:panose1 w:val="02020509000000000000"/>
    <w:charset w:val="88"/>
    <w:family w:val="modern"/>
    <w:pitch w:val="default"/>
    <w:sig w:usb0="00000000" w:usb1="0000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4B233">
    <w:pPr>
      <w:pStyle w:val="2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8C9C4D">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08C9C4D">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A214A0">
    <w:pPr>
      <w:pStyle w:val="20"/>
      <w:jc w:val="center"/>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6DF816">
                          <w:pPr>
                            <w:pStyle w:val="20"/>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56DF816">
                    <w:pPr>
                      <w:pStyle w:val="20"/>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3112A">
    <w:pPr>
      <w:pStyle w:val="2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917C5B">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7917C5B">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194EB2">
    <w:pPr>
      <w:pStyle w:val="2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41F3F">
    <w:pPr>
      <w:pStyle w:val="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12D8A8">
    <w:pPr>
      <w:pStyle w:val="20"/>
      <w:tabs>
        <w:tab w:val="left" w:pos="1260"/>
        <w:tab w:val="right" w:pos="9118"/>
      </w:tabs>
      <w:ind w:right="-48"/>
      <w:jc w:val="right"/>
      <w:rPr>
        <w:u w:val="single"/>
      </w:rPr>
    </w:pPr>
    <w:r>
      <w:rPr>
        <w:rFonts w:cs="Arial"/>
        <w:szCs w:val="21"/>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DADF84">
    <w:pPr>
      <w:pStyle w:val="22"/>
      <w:pBdr>
        <w:bottom w:val="none" w:color="auto" w:sz="0" w:space="1"/>
      </w:pBdr>
      <w:rPr>
        <w:rFonts w:hint="eastAsia"/>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0740C3">
    <w:pPr>
      <w:pStyle w:val="2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0347D3">
    <w:pPr>
      <w:pStyle w:val="2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68E33D"/>
    <w:multiLevelType w:val="singleLevel"/>
    <w:tmpl w:val="8B68E33D"/>
    <w:lvl w:ilvl="0" w:tentative="0">
      <w:start w:val="1"/>
      <w:numFmt w:val="chineseCounting"/>
      <w:suff w:val="nothing"/>
      <w:lvlText w:val="%1、"/>
      <w:lvlJc w:val="left"/>
      <w:rPr>
        <w:rFonts w:hint="eastAsia"/>
      </w:rPr>
    </w:lvl>
  </w:abstractNum>
  <w:abstractNum w:abstractNumId="1">
    <w:nsid w:val="8B724174"/>
    <w:multiLevelType w:val="singleLevel"/>
    <w:tmpl w:val="8B724174"/>
    <w:lvl w:ilvl="0" w:tentative="0">
      <w:start w:val="1"/>
      <w:numFmt w:val="chineseCounting"/>
      <w:suff w:val="nothing"/>
      <w:lvlText w:val="%1、"/>
      <w:lvlJc w:val="left"/>
      <w:rPr>
        <w:rFonts w:hint="eastAsia"/>
      </w:rPr>
    </w:lvl>
  </w:abstractNum>
  <w:abstractNum w:abstractNumId="2">
    <w:nsid w:val="AD1293FA"/>
    <w:multiLevelType w:val="singleLevel"/>
    <w:tmpl w:val="AD1293FA"/>
    <w:lvl w:ilvl="0" w:tentative="0">
      <w:start w:val="1"/>
      <w:numFmt w:val="chineseCounting"/>
      <w:suff w:val="nothing"/>
      <w:lvlText w:val="%1、"/>
      <w:lvlJc w:val="left"/>
      <w:rPr>
        <w:rFonts w:hint="eastAsia"/>
      </w:rPr>
    </w:lvl>
  </w:abstractNum>
  <w:abstractNum w:abstractNumId="3">
    <w:nsid w:val="D45F7393"/>
    <w:multiLevelType w:val="singleLevel"/>
    <w:tmpl w:val="D45F7393"/>
    <w:lvl w:ilvl="0" w:tentative="0">
      <w:start w:val="1"/>
      <w:numFmt w:val="chineseCounting"/>
      <w:suff w:val="nothing"/>
      <w:lvlText w:val="%1、"/>
      <w:lvlJc w:val="left"/>
      <w:rPr>
        <w:rFonts w:hint="eastAsia"/>
      </w:rPr>
    </w:lvl>
  </w:abstractNum>
  <w:abstractNum w:abstractNumId="4">
    <w:nsid w:val="DE070630"/>
    <w:multiLevelType w:val="singleLevel"/>
    <w:tmpl w:val="DE070630"/>
    <w:lvl w:ilvl="0" w:tentative="0">
      <w:start w:val="3"/>
      <w:numFmt w:val="decimal"/>
      <w:suff w:val="nothing"/>
      <w:lvlText w:val="（%1）"/>
      <w:lvlJc w:val="left"/>
    </w:lvl>
  </w:abstractNum>
  <w:abstractNum w:abstractNumId="5">
    <w:nsid w:val="E1DF094B"/>
    <w:multiLevelType w:val="singleLevel"/>
    <w:tmpl w:val="E1DF094B"/>
    <w:lvl w:ilvl="0" w:tentative="0">
      <w:start w:val="1"/>
      <w:numFmt w:val="chineseCounting"/>
      <w:suff w:val="nothing"/>
      <w:lvlText w:val="%1、"/>
      <w:lvlJc w:val="left"/>
      <w:rPr>
        <w:rFonts w:hint="eastAsia"/>
      </w:rPr>
    </w:lvl>
  </w:abstractNum>
  <w:abstractNum w:abstractNumId="6">
    <w:nsid w:val="00000002"/>
    <w:multiLevelType w:val="multilevel"/>
    <w:tmpl w:val="00000002"/>
    <w:lvl w:ilvl="0" w:tentative="0">
      <w:start w:val="1"/>
      <w:numFmt w:val="bullet"/>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7">
    <w:nsid w:val="2AD88724"/>
    <w:multiLevelType w:val="singleLevel"/>
    <w:tmpl w:val="2AD88724"/>
    <w:lvl w:ilvl="0" w:tentative="0">
      <w:start w:val="1"/>
      <w:numFmt w:val="chineseCounting"/>
      <w:suff w:val="nothing"/>
      <w:lvlText w:val="%1、"/>
      <w:lvlJc w:val="left"/>
      <w:rPr>
        <w:rFonts w:hint="eastAsia"/>
      </w:rPr>
    </w:lvl>
  </w:abstractNum>
  <w:abstractNum w:abstractNumId="8">
    <w:nsid w:val="2C29BFD0"/>
    <w:multiLevelType w:val="singleLevel"/>
    <w:tmpl w:val="2C29BFD0"/>
    <w:lvl w:ilvl="0" w:tentative="0">
      <w:start w:val="1"/>
      <w:numFmt w:val="chineseCounting"/>
      <w:suff w:val="nothing"/>
      <w:lvlText w:val="%1、"/>
      <w:lvlJc w:val="left"/>
      <w:rPr>
        <w:rFonts w:hint="eastAsia"/>
      </w:rPr>
    </w:lvl>
  </w:abstractNum>
  <w:abstractNum w:abstractNumId="9">
    <w:nsid w:val="5EF102C5"/>
    <w:multiLevelType w:val="multilevel"/>
    <w:tmpl w:val="5EF102C5"/>
    <w:lvl w:ilvl="0" w:tentative="0">
      <w:start w:val="1"/>
      <w:numFmt w:val="decimal"/>
      <w:lvlText w:val="%1、"/>
      <w:lvlJc w:val="left"/>
      <w:pPr>
        <w:ind w:left="1700" w:hanging="720"/>
      </w:pPr>
      <w:rPr>
        <w:rFonts w:hint="default" w:cs="Times New Roman"/>
      </w:rPr>
    </w:lvl>
    <w:lvl w:ilvl="1" w:tentative="0">
      <w:start w:val="1"/>
      <w:numFmt w:val="lowerLetter"/>
      <w:lvlText w:val="%2)"/>
      <w:lvlJc w:val="left"/>
      <w:pPr>
        <w:ind w:left="1820" w:hanging="420"/>
      </w:pPr>
      <w:rPr>
        <w:rFonts w:cs="Times New Roman"/>
      </w:rPr>
    </w:lvl>
    <w:lvl w:ilvl="2" w:tentative="0">
      <w:start w:val="1"/>
      <w:numFmt w:val="lowerRoman"/>
      <w:lvlText w:val="%3."/>
      <w:lvlJc w:val="right"/>
      <w:pPr>
        <w:ind w:left="2240" w:hanging="420"/>
      </w:pPr>
      <w:rPr>
        <w:rFonts w:cs="Times New Roman"/>
      </w:rPr>
    </w:lvl>
    <w:lvl w:ilvl="3" w:tentative="0">
      <w:start w:val="1"/>
      <w:numFmt w:val="decimal"/>
      <w:lvlText w:val="%4."/>
      <w:lvlJc w:val="left"/>
      <w:pPr>
        <w:ind w:left="2660" w:hanging="420"/>
      </w:pPr>
      <w:rPr>
        <w:rFonts w:cs="Times New Roman"/>
      </w:rPr>
    </w:lvl>
    <w:lvl w:ilvl="4" w:tentative="0">
      <w:start w:val="1"/>
      <w:numFmt w:val="lowerLetter"/>
      <w:lvlText w:val="%5)"/>
      <w:lvlJc w:val="left"/>
      <w:pPr>
        <w:ind w:left="3080" w:hanging="420"/>
      </w:pPr>
      <w:rPr>
        <w:rFonts w:cs="Times New Roman"/>
      </w:rPr>
    </w:lvl>
    <w:lvl w:ilvl="5" w:tentative="0">
      <w:start w:val="1"/>
      <w:numFmt w:val="lowerRoman"/>
      <w:lvlText w:val="%6."/>
      <w:lvlJc w:val="right"/>
      <w:pPr>
        <w:ind w:left="3500" w:hanging="420"/>
      </w:pPr>
      <w:rPr>
        <w:rFonts w:cs="Times New Roman"/>
      </w:rPr>
    </w:lvl>
    <w:lvl w:ilvl="6" w:tentative="0">
      <w:start w:val="1"/>
      <w:numFmt w:val="decimal"/>
      <w:lvlText w:val="%7."/>
      <w:lvlJc w:val="left"/>
      <w:pPr>
        <w:ind w:left="3920" w:hanging="420"/>
      </w:pPr>
      <w:rPr>
        <w:rFonts w:cs="Times New Roman"/>
      </w:rPr>
    </w:lvl>
    <w:lvl w:ilvl="7" w:tentative="0">
      <w:start w:val="1"/>
      <w:numFmt w:val="lowerLetter"/>
      <w:lvlText w:val="%8)"/>
      <w:lvlJc w:val="left"/>
      <w:pPr>
        <w:ind w:left="4340" w:hanging="420"/>
      </w:pPr>
      <w:rPr>
        <w:rFonts w:cs="Times New Roman"/>
      </w:rPr>
    </w:lvl>
    <w:lvl w:ilvl="8" w:tentative="0">
      <w:start w:val="1"/>
      <w:numFmt w:val="lowerRoman"/>
      <w:lvlText w:val="%9."/>
      <w:lvlJc w:val="right"/>
      <w:pPr>
        <w:ind w:left="4760" w:hanging="420"/>
      </w:pPr>
      <w:rPr>
        <w:rFonts w:cs="Times New Roman"/>
      </w:rPr>
    </w:lvl>
  </w:abstractNum>
  <w:abstractNum w:abstractNumId="10">
    <w:nsid w:val="6EC771C0"/>
    <w:multiLevelType w:val="singleLevel"/>
    <w:tmpl w:val="6EC771C0"/>
    <w:lvl w:ilvl="0" w:tentative="0">
      <w:start w:val="1"/>
      <w:numFmt w:val="decimal"/>
      <w:suff w:val="space"/>
      <w:lvlText w:val="%1."/>
      <w:lvlJc w:val="left"/>
    </w:lvl>
  </w:abstractNum>
  <w:num w:numId="1">
    <w:abstractNumId w:val="6"/>
  </w:num>
  <w:num w:numId="2">
    <w:abstractNumId w:val="4"/>
  </w:num>
  <w:num w:numId="3">
    <w:abstractNumId w:val="2"/>
  </w:num>
  <w:num w:numId="4">
    <w:abstractNumId w:val="7"/>
  </w:num>
  <w:num w:numId="5">
    <w:abstractNumId w:val="5"/>
  </w:num>
  <w:num w:numId="6">
    <w:abstractNumId w:val="0"/>
  </w:num>
  <w:num w:numId="7">
    <w:abstractNumId w:val="3"/>
  </w:num>
  <w:num w:numId="8">
    <w:abstractNumId w:val="8"/>
  </w:num>
  <w:num w:numId="9">
    <w:abstractNumId w:val="1"/>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4"/>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kxNDUxNDY0NmEzM2E1ZWNhMGQzNjFlNTZhZmZiNGQifQ=="/>
  </w:docVars>
  <w:rsids>
    <w:rsidRoot w:val="00172A27"/>
    <w:rsid w:val="00000D28"/>
    <w:rsid w:val="00000E61"/>
    <w:rsid w:val="000023B3"/>
    <w:rsid w:val="0000389B"/>
    <w:rsid w:val="00004AA3"/>
    <w:rsid w:val="00005316"/>
    <w:rsid w:val="00006A86"/>
    <w:rsid w:val="00006FB6"/>
    <w:rsid w:val="00007100"/>
    <w:rsid w:val="00007257"/>
    <w:rsid w:val="000076E7"/>
    <w:rsid w:val="00007F0A"/>
    <w:rsid w:val="00010710"/>
    <w:rsid w:val="00010BD1"/>
    <w:rsid w:val="000115C4"/>
    <w:rsid w:val="00012166"/>
    <w:rsid w:val="0001232C"/>
    <w:rsid w:val="00012502"/>
    <w:rsid w:val="0001256B"/>
    <w:rsid w:val="00013428"/>
    <w:rsid w:val="00013931"/>
    <w:rsid w:val="00014550"/>
    <w:rsid w:val="00014A6E"/>
    <w:rsid w:val="00014BE3"/>
    <w:rsid w:val="000159C2"/>
    <w:rsid w:val="00015D18"/>
    <w:rsid w:val="00016206"/>
    <w:rsid w:val="000163EA"/>
    <w:rsid w:val="000165D8"/>
    <w:rsid w:val="000166B2"/>
    <w:rsid w:val="00016903"/>
    <w:rsid w:val="00016A91"/>
    <w:rsid w:val="00016AFB"/>
    <w:rsid w:val="00016B6D"/>
    <w:rsid w:val="00017BA3"/>
    <w:rsid w:val="00020A0E"/>
    <w:rsid w:val="000214DE"/>
    <w:rsid w:val="00021691"/>
    <w:rsid w:val="00021A3B"/>
    <w:rsid w:val="00021A80"/>
    <w:rsid w:val="00021F4D"/>
    <w:rsid w:val="00021FBF"/>
    <w:rsid w:val="00023262"/>
    <w:rsid w:val="00024426"/>
    <w:rsid w:val="00024978"/>
    <w:rsid w:val="00025707"/>
    <w:rsid w:val="00025F71"/>
    <w:rsid w:val="00026BF5"/>
    <w:rsid w:val="00027824"/>
    <w:rsid w:val="000309E6"/>
    <w:rsid w:val="000315A2"/>
    <w:rsid w:val="00031725"/>
    <w:rsid w:val="00031806"/>
    <w:rsid w:val="00032AE8"/>
    <w:rsid w:val="00033134"/>
    <w:rsid w:val="0003355F"/>
    <w:rsid w:val="00033CF0"/>
    <w:rsid w:val="00035719"/>
    <w:rsid w:val="00036140"/>
    <w:rsid w:val="00036FA9"/>
    <w:rsid w:val="00037AB0"/>
    <w:rsid w:val="000401A7"/>
    <w:rsid w:val="00040CA8"/>
    <w:rsid w:val="00040D66"/>
    <w:rsid w:val="00040DF4"/>
    <w:rsid w:val="0004174F"/>
    <w:rsid w:val="00041C2C"/>
    <w:rsid w:val="000422DB"/>
    <w:rsid w:val="00042AC6"/>
    <w:rsid w:val="00043904"/>
    <w:rsid w:val="00044CDB"/>
    <w:rsid w:val="00044D77"/>
    <w:rsid w:val="0004553C"/>
    <w:rsid w:val="000464D8"/>
    <w:rsid w:val="00046823"/>
    <w:rsid w:val="00046BCE"/>
    <w:rsid w:val="00046C1B"/>
    <w:rsid w:val="000475E4"/>
    <w:rsid w:val="000501F9"/>
    <w:rsid w:val="0005080B"/>
    <w:rsid w:val="000515B8"/>
    <w:rsid w:val="00053196"/>
    <w:rsid w:val="00053EA7"/>
    <w:rsid w:val="000544E7"/>
    <w:rsid w:val="0005454D"/>
    <w:rsid w:val="00054CEE"/>
    <w:rsid w:val="00055064"/>
    <w:rsid w:val="0006015A"/>
    <w:rsid w:val="00060164"/>
    <w:rsid w:val="00060838"/>
    <w:rsid w:val="00061F71"/>
    <w:rsid w:val="000644B4"/>
    <w:rsid w:val="000647A0"/>
    <w:rsid w:val="00066676"/>
    <w:rsid w:val="00066837"/>
    <w:rsid w:val="00067394"/>
    <w:rsid w:val="00067B35"/>
    <w:rsid w:val="00070C8C"/>
    <w:rsid w:val="00071A4C"/>
    <w:rsid w:val="00071DDC"/>
    <w:rsid w:val="000721BB"/>
    <w:rsid w:val="00072547"/>
    <w:rsid w:val="000737D3"/>
    <w:rsid w:val="00073CD3"/>
    <w:rsid w:val="00073D37"/>
    <w:rsid w:val="00074CBC"/>
    <w:rsid w:val="00075513"/>
    <w:rsid w:val="00075A44"/>
    <w:rsid w:val="00076AB8"/>
    <w:rsid w:val="00077A72"/>
    <w:rsid w:val="00080839"/>
    <w:rsid w:val="00081E79"/>
    <w:rsid w:val="0008238E"/>
    <w:rsid w:val="00083F5A"/>
    <w:rsid w:val="000845D2"/>
    <w:rsid w:val="00084D6B"/>
    <w:rsid w:val="00085286"/>
    <w:rsid w:val="00085841"/>
    <w:rsid w:val="00086D01"/>
    <w:rsid w:val="000870B8"/>
    <w:rsid w:val="00087B19"/>
    <w:rsid w:val="000922BD"/>
    <w:rsid w:val="00092E24"/>
    <w:rsid w:val="00093D8C"/>
    <w:rsid w:val="000947B6"/>
    <w:rsid w:val="00094FC3"/>
    <w:rsid w:val="0009633E"/>
    <w:rsid w:val="000972C3"/>
    <w:rsid w:val="00097B69"/>
    <w:rsid w:val="00097DD4"/>
    <w:rsid w:val="000A0924"/>
    <w:rsid w:val="000A09FA"/>
    <w:rsid w:val="000A2E12"/>
    <w:rsid w:val="000A2EA1"/>
    <w:rsid w:val="000A3172"/>
    <w:rsid w:val="000A351E"/>
    <w:rsid w:val="000A48EF"/>
    <w:rsid w:val="000A6733"/>
    <w:rsid w:val="000A684A"/>
    <w:rsid w:val="000A6EC1"/>
    <w:rsid w:val="000A6EF8"/>
    <w:rsid w:val="000A745D"/>
    <w:rsid w:val="000A76D3"/>
    <w:rsid w:val="000A7911"/>
    <w:rsid w:val="000A7971"/>
    <w:rsid w:val="000A7AB6"/>
    <w:rsid w:val="000B3067"/>
    <w:rsid w:val="000B3C45"/>
    <w:rsid w:val="000B3C92"/>
    <w:rsid w:val="000B3CF7"/>
    <w:rsid w:val="000B4182"/>
    <w:rsid w:val="000B5106"/>
    <w:rsid w:val="000B532E"/>
    <w:rsid w:val="000B5725"/>
    <w:rsid w:val="000B64B2"/>
    <w:rsid w:val="000B70D0"/>
    <w:rsid w:val="000C0624"/>
    <w:rsid w:val="000C1518"/>
    <w:rsid w:val="000C28D1"/>
    <w:rsid w:val="000C3369"/>
    <w:rsid w:val="000C40DA"/>
    <w:rsid w:val="000C540C"/>
    <w:rsid w:val="000C7412"/>
    <w:rsid w:val="000C784A"/>
    <w:rsid w:val="000C7864"/>
    <w:rsid w:val="000C78A4"/>
    <w:rsid w:val="000D0216"/>
    <w:rsid w:val="000D1737"/>
    <w:rsid w:val="000D1A85"/>
    <w:rsid w:val="000D2BE4"/>
    <w:rsid w:val="000D3FD0"/>
    <w:rsid w:val="000D4375"/>
    <w:rsid w:val="000D6FEC"/>
    <w:rsid w:val="000D7697"/>
    <w:rsid w:val="000D7943"/>
    <w:rsid w:val="000E1816"/>
    <w:rsid w:val="000E1EAE"/>
    <w:rsid w:val="000E25B7"/>
    <w:rsid w:val="000E33CB"/>
    <w:rsid w:val="000E3891"/>
    <w:rsid w:val="000E3EC0"/>
    <w:rsid w:val="000E43B9"/>
    <w:rsid w:val="000E4F2F"/>
    <w:rsid w:val="000E5349"/>
    <w:rsid w:val="000E59DE"/>
    <w:rsid w:val="000E5EB8"/>
    <w:rsid w:val="000E7C44"/>
    <w:rsid w:val="000E7D8B"/>
    <w:rsid w:val="000E7F9B"/>
    <w:rsid w:val="000F005D"/>
    <w:rsid w:val="000F0C3E"/>
    <w:rsid w:val="000F2836"/>
    <w:rsid w:val="000F34EA"/>
    <w:rsid w:val="000F3692"/>
    <w:rsid w:val="000F4853"/>
    <w:rsid w:val="000F5481"/>
    <w:rsid w:val="000F6E49"/>
    <w:rsid w:val="000F723D"/>
    <w:rsid w:val="000F79DE"/>
    <w:rsid w:val="00100496"/>
    <w:rsid w:val="00102092"/>
    <w:rsid w:val="00102373"/>
    <w:rsid w:val="00103AAF"/>
    <w:rsid w:val="00103CE6"/>
    <w:rsid w:val="0010451F"/>
    <w:rsid w:val="00104BEA"/>
    <w:rsid w:val="00105045"/>
    <w:rsid w:val="00105C3F"/>
    <w:rsid w:val="00105FBD"/>
    <w:rsid w:val="0010602F"/>
    <w:rsid w:val="00107053"/>
    <w:rsid w:val="00107116"/>
    <w:rsid w:val="00107E0E"/>
    <w:rsid w:val="0011087A"/>
    <w:rsid w:val="00110D23"/>
    <w:rsid w:val="0011178B"/>
    <w:rsid w:val="00111B69"/>
    <w:rsid w:val="00112952"/>
    <w:rsid w:val="00112AB3"/>
    <w:rsid w:val="001131F5"/>
    <w:rsid w:val="001136EF"/>
    <w:rsid w:val="0011529E"/>
    <w:rsid w:val="00115E08"/>
    <w:rsid w:val="0011685D"/>
    <w:rsid w:val="0011726B"/>
    <w:rsid w:val="0011740C"/>
    <w:rsid w:val="001208C1"/>
    <w:rsid w:val="00120C75"/>
    <w:rsid w:val="001214A0"/>
    <w:rsid w:val="00121921"/>
    <w:rsid w:val="00122C82"/>
    <w:rsid w:val="001244A8"/>
    <w:rsid w:val="0012552D"/>
    <w:rsid w:val="001255C3"/>
    <w:rsid w:val="00125A4B"/>
    <w:rsid w:val="00126306"/>
    <w:rsid w:val="00126341"/>
    <w:rsid w:val="00126F11"/>
    <w:rsid w:val="001302C5"/>
    <w:rsid w:val="00131F6F"/>
    <w:rsid w:val="00132C7C"/>
    <w:rsid w:val="00132D40"/>
    <w:rsid w:val="00133E0D"/>
    <w:rsid w:val="0013538B"/>
    <w:rsid w:val="001358F8"/>
    <w:rsid w:val="00135A65"/>
    <w:rsid w:val="0013619C"/>
    <w:rsid w:val="001369C0"/>
    <w:rsid w:val="00137CAF"/>
    <w:rsid w:val="001410F0"/>
    <w:rsid w:val="00142470"/>
    <w:rsid w:val="00142549"/>
    <w:rsid w:val="001425BD"/>
    <w:rsid w:val="00144D67"/>
    <w:rsid w:val="001458D5"/>
    <w:rsid w:val="001459D7"/>
    <w:rsid w:val="001472CB"/>
    <w:rsid w:val="00147342"/>
    <w:rsid w:val="00147459"/>
    <w:rsid w:val="00147B5D"/>
    <w:rsid w:val="00147D89"/>
    <w:rsid w:val="0015034A"/>
    <w:rsid w:val="00150670"/>
    <w:rsid w:val="0015072D"/>
    <w:rsid w:val="00150848"/>
    <w:rsid w:val="00151E84"/>
    <w:rsid w:val="00152337"/>
    <w:rsid w:val="00152572"/>
    <w:rsid w:val="001527DE"/>
    <w:rsid w:val="001529DB"/>
    <w:rsid w:val="00153DF7"/>
    <w:rsid w:val="00156776"/>
    <w:rsid w:val="00156D1C"/>
    <w:rsid w:val="001606D5"/>
    <w:rsid w:val="00160AD1"/>
    <w:rsid w:val="00160B40"/>
    <w:rsid w:val="00161405"/>
    <w:rsid w:val="001624BD"/>
    <w:rsid w:val="00162C5E"/>
    <w:rsid w:val="00164A6B"/>
    <w:rsid w:val="00165038"/>
    <w:rsid w:val="001657FC"/>
    <w:rsid w:val="001668F0"/>
    <w:rsid w:val="0016787B"/>
    <w:rsid w:val="00167F48"/>
    <w:rsid w:val="001701BD"/>
    <w:rsid w:val="001704A9"/>
    <w:rsid w:val="00170500"/>
    <w:rsid w:val="00170BE4"/>
    <w:rsid w:val="00171588"/>
    <w:rsid w:val="00171998"/>
    <w:rsid w:val="001720FD"/>
    <w:rsid w:val="001721C2"/>
    <w:rsid w:val="00172282"/>
    <w:rsid w:val="00173119"/>
    <w:rsid w:val="00173C5B"/>
    <w:rsid w:val="0017440F"/>
    <w:rsid w:val="00174435"/>
    <w:rsid w:val="00174A2F"/>
    <w:rsid w:val="00175568"/>
    <w:rsid w:val="00175AD5"/>
    <w:rsid w:val="0017690F"/>
    <w:rsid w:val="0017771A"/>
    <w:rsid w:val="00177758"/>
    <w:rsid w:val="001803CD"/>
    <w:rsid w:val="00180FDD"/>
    <w:rsid w:val="00181563"/>
    <w:rsid w:val="00181808"/>
    <w:rsid w:val="001820E9"/>
    <w:rsid w:val="001829B3"/>
    <w:rsid w:val="0018352D"/>
    <w:rsid w:val="00183595"/>
    <w:rsid w:val="00183AA0"/>
    <w:rsid w:val="0018534B"/>
    <w:rsid w:val="00185F81"/>
    <w:rsid w:val="00186573"/>
    <w:rsid w:val="00187482"/>
    <w:rsid w:val="001874C8"/>
    <w:rsid w:val="001908B2"/>
    <w:rsid w:val="00191616"/>
    <w:rsid w:val="001919F9"/>
    <w:rsid w:val="00191D3A"/>
    <w:rsid w:val="00192DB2"/>
    <w:rsid w:val="00193A8E"/>
    <w:rsid w:val="00194268"/>
    <w:rsid w:val="00194E7C"/>
    <w:rsid w:val="001953B5"/>
    <w:rsid w:val="00196AD1"/>
    <w:rsid w:val="001970DE"/>
    <w:rsid w:val="001974D8"/>
    <w:rsid w:val="00197B38"/>
    <w:rsid w:val="001A09DB"/>
    <w:rsid w:val="001A2438"/>
    <w:rsid w:val="001A275B"/>
    <w:rsid w:val="001A2BD4"/>
    <w:rsid w:val="001A3703"/>
    <w:rsid w:val="001A467E"/>
    <w:rsid w:val="001A48D0"/>
    <w:rsid w:val="001A4AAC"/>
    <w:rsid w:val="001A5E72"/>
    <w:rsid w:val="001A61D8"/>
    <w:rsid w:val="001A652D"/>
    <w:rsid w:val="001B0BC6"/>
    <w:rsid w:val="001B18F1"/>
    <w:rsid w:val="001B2D5E"/>
    <w:rsid w:val="001B38A8"/>
    <w:rsid w:val="001B3B84"/>
    <w:rsid w:val="001B3FBA"/>
    <w:rsid w:val="001B6FBD"/>
    <w:rsid w:val="001B7010"/>
    <w:rsid w:val="001B7E8D"/>
    <w:rsid w:val="001C0E2C"/>
    <w:rsid w:val="001C1F51"/>
    <w:rsid w:val="001C201B"/>
    <w:rsid w:val="001C238B"/>
    <w:rsid w:val="001C3138"/>
    <w:rsid w:val="001C3317"/>
    <w:rsid w:val="001C3AA4"/>
    <w:rsid w:val="001C4B16"/>
    <w:rsid w:val="001C68DA"/>
    <w:rsid w:val="001C6F74"/>
    <w:rsid w:val="001C720E"/>
    <w:rsid w:val="001D1587"/>
    <w:rsid w:val="001D1ABD"/>
    <w:rsid w:val="001D1B8C"/>
    <w:rsid w:val="001D24FC"/>
    <w:rsid w:val="001D25A8"/>
    <w:rsid w:val="001D4EC0"/>
    <w:rsid w:val="001D5235"/>
    <w:rsid w:val="001D56BF"/>
    <w:rsid w:val="001D5702"/>
    <w:rsid w:val="001D572A"/>
    <w:rsid w:val="001D5859"/>
    <w:rsid w:val="001D6A5E"/>
    <w:rsid w:val="001D738B"/>
    <w:rsid w:val="001D7AE2"/>
    <w:rsid w:val="001E0ECF"/>
    <w:rsid w:val="001E0F32"/>
    <w:rsid w:val="001E1531"/>
    <w:rsid w:val="001E157E"/>
    <w:rsid w:val="001E1C36"/>
    <w:rsid w:val="001E2FE6"/>
    <w:rsid w:val="001E3E8D"/>
    <w:rsid w:val="001E4D31"/>
    <w:rsid w:val="001E5590"/>
    <w:rsid w:val="001E6D6B"/>
    <w:rsid w:val="001E6FE7"/>
    <w:rsid w:val="001E7E29"/>
    <w:rsid w:val="001F0918"/>
    <w:rsid w:val="001F0DDE"/>
    <w:rsid w:val="001F0E1E"/>
    <w:rsid w:val="001F1409"/>
    <w:rsid w:val="001F1EB0"/>
    <w:rsid w:val="001F1FC1"/>
    <w:rsid w:val="001F1FCF"/>
    <w:rsid w:val="001F3208"/>
    <w:rsid w:val="001F3C8D"/>
    <w:rsid w:val="001F3D16"/>
    <w:rsid w:val="001F43BD"/>
    <w:rsid w:val="001F48C7"/>
    <w:rsid w:val="001F4B07"/>
    <w:rsid w:val="001F558F"/>
    <w:rsid w:val="001F65F1"/>
    <w:rsid w:val="001F76E0"/>
    <w:rsid w:val="001F7C5E"/>
    <w:rsid w:val="0020002C"/>
    <w:rsid w:val="00201A01"/>
    <w:rsid w:val="002026AE"/>
    <w:rsid w:val="0020325E"/>
    <w:rsid w:val="00204BFF"/>
    <w:rsid w:val="002055C9"/>
    <w:rsid w:val="00205C8D"/>
    <w:rsid w:val="00205DF3"/>
    <w:rsid w:val="00210F57"/>
    <w:rsid w:val="002110FB"/>
    <w:rsid w:val="0021124B"/>
    <w:rsid w:val="0021224F"/>
    <w:rsid w:val="002130A7"/>
    <w:rsid w:val="002132CA"/>
    <w:rsid w:val="00214042"/>
    <w:rsid w:val="00214287"/>
    <w:rsid w:val="00214D29"/>
    <w:rsid w:val="0021637C"/>
    <w:rsid w:val="002176C3"/>
    <w:rsid w:val="00217C2A"/>
    <w:rsid w:val="00217C49"/>
    <w:rsid w:val="002210AD"/>
    <w:rsid w:val="00221D99"/>
    <w:rsid w:val="00222A82"/>
    <w:rsid w:val="00222E9F"/>
    <w:rsid w:val="00223694"/>
    <w:rsid w:val="002249C1"/>
    <w:rsid w:val="00225514"/>
    <w:rsid w:val="002259EF"/>
    <w:rsid w:val="00225D77"/>
    <w:rsid w:val="00227AD9"/>
    <w:rsid w:val="00230200"/>
    <w:rsid w:val="00230A55"/>
    <w:rsid w:val="00230D59"/>
    <w:rsid w:val="0023131C"/>
    <w:rsid w:val="002313B1"/>
    <w:rsid w:val="00231760"/>
    <w:rsid w:val="00231D57"/>
    <w:rsid w:val="00232B70"/>
    <w:rsid w:val="0023322F"/>
    <w:rsid w:val="002333E6"/>
    <w:rsid w:val="002339F9"/>
    <w:rsid w:val="00234AA7"/>
    <w:rsid w:val="002359E0"/>
    <w:rsid w:val="00235F92"/>
    <w:rsid w:val="00236068"/>
    <w:rsid w:val="00236CE2"/>
    <w:rsid w:val="00237715"/>
    <w:rsid w:val="0023793E"/>
    <w:rsid w:val="002405CE"/>
    <w:rsid w:val="002405EA"/>
    <w:rsid w:val="00240C9C"/>
    <w:rsid w:val="00240FF4"/>
    <w:rsid w:val="0024130C"/>
    <w:rsid w:val="00241FB6"/>
    <w:rsid w:val="002428D3"/>
    <w:rsid w:val="00242C46"/>
    <w:rsid w:val="00243188"/>
    <w:rsid w:val="002436B6"/>
    <w:rsid w:val="002444EC"/>
    <w:rsid w:val="0024500F"/>
    <w:rsid w:val="00245199"/>
    <w:rsid w:val="00245AE5"/>
    <w:rsid w:val="00245BAE"/>
    <w:rsid w:val="00246551"/>
    <w:rsid w:val="0024712F"/>
    <w:rsid w:val="00247302"/>
    <w:rsid w:val="00247363"/>
    <w:rsid w:val="0024784D"/>
    <w:rsid w:val="0024786E"/>
    <w:rsid w:val="00247C8A"/>
    <w:rsid w:val="002522D2"/>
    <w:rsid w:val="002529FE"/>
    <w:rsid w:val="00253407"/>
    <w:rsid w:val="002555A3"/>
    <w:rsid w:val="0025625C"/>
    <w:rsid w:val="00256C65"/>
    <w:rsid w:val="00256CBA"/>
    <w:rsid w:val="00257023"/>
    <w:rsid w:val="002575F1"/>
    <w:rsid w:val="002579C5"/>
    <w:rsid w:val="0026091A"/>
    <w:rsid w:val="002628A7"/>
    <w:rsid w:val="00262A29"/>
    <w:rsid w:val="00262C5D"/>
    <w:rsid w:val="00263697"/>
    <w:rsid w:val="00264789"/>
    <w:rsid w:val="002658E1"/>
    <w:rsid w:val="00266167"/>
    <w:rsid w:val="00266245"/>
    <w:rsid w:val="00266A2F"/>
    <w:rsid w:val="00266FA3"/>
    <w:rsid w:val="00267519"/>
    <w:rsid w:val="00267712"/>
    <w:rsid w:val="00267892"/>
    <w:rsid w:val="00270C27"/>
    <w:rsid w:val="00271259"/>
    <w:rsid w:val="00271426"/>
    <w:rsid w:val="002717F9"/>
    <w:rsid w:val="00272082"/>
    <w:rsid w:val="00272493"/>
    <w:rsid w:val="00273073"/>
    <w:rsid w:val="002737DC"/>
    <w:rsid w:val="00273CCA"/>
    <w:rsid w:val="0027426B"/>
    <w:rsid w:val="00275917"/>
    <w:rsid w:val="00275F17"/>
    <w:rsid w:val="0027663A"/>
    <w:rsid w:val="00276C35"/>
    <w:rsid w:val="00277364"/>
    <w:rsid w:val="00277952"/>
    <w:rsid w:val="0028020F"/>
    <w:rsid w:val="002806E8"/>
    <w:rsid w:val="00280BBB"/>
    <w:rsid w:val="002816B6"/>
    <w:rsid w:val="00281A74"/>
    <w:rsid w:val="002845E1"/>
    <w:rsid w:val="002846FA"/>
    <w:rsid w:val="0028512D"/>
    <w:rsid w:val="0028572B"/>
    <w:rsid w:val="002858AE"/>
    <w:rsid w:val="00285C92"/>
    <w:rsid w:val="00286C46"/>
    <w:rsid w:val="002871B3"/>
    <w:rsid w:val="00287482"/>
    <w:rsid w:val="00287582"/>
    <w:rsid w:val="002901FE"/>
    <w:rsid w:val="00290B3F"/>
    <w:rsid w:val="00292148"/>
    <w:rsid w:val="002926EA"/>
    <w:rsid w:val="00292AF0"/>
    <w:rsid w:val="00292CC8"/>
    <w:rsid w:val="00293482"/>
    <w:rsid w:val="002947C9"/>
    <w:rsid w:val="002950A7"/>
    <w:rsid w:val="00295396"/>
    <w:rsid w:val="002961AD"/>
    <w:rsid w:val="002967F2"/>
    <w:rsid w:val="0029706E"/>
    <w:rsid w:val="002974CC"/>
    <w:rsid w:val="002A056C"/>
    <w:rsid w:val="002A098C"/>
    <w:rsid w:val="002A0B89"/>
    <w:rsid w:val="002A18EC"/>
    <w:rsid w:val="002A278C"/>
    <w:rsid w:val="002A2A0C"/>
    <w:rsid w:val="002A3411"/>
    <w:rsid w:val="002A3910"/>
    <w:rsid w:val="002A4BA8"/>
    <w:rsid w:val="002A5CC8"/>
    <w:rsid w:val="002A5D28"/>
    <w:rsid w:val="002A619F"/>
    <w:rsid w:val="002A6719"/>
    <w:rsid w:val="002A6BCC"/>
    <w:rsid w:val="002A6EEF"/>
    <w:rsid w:val="002A6F62"/>
    <w:rsid w:val="002A7ED9"/>
    <w:rsid w:val="002B06F0"/>
    <w:rsid w:val="002B0D43"/>
    <w:rsid w:val="002B2443"/>
    <w:rsid w:val="002B2D6B"/>
    <w:rsid w:val="002B41AF"/>
    <w:rsid w:val="002B57E2"/>
    <w:rsid w:val="002B5F05"/>
    <w:rsid w:val="002B5F30"/>
    <w:rsid w:val="002B603A"/>
    <w:rsid w:val="002C0654"/>
    <w:rsid w:val="002C0FC8"/>
    <w:rsid w:val="002C12D8"/>
    <w:rsid w:val="002C1880"/>
    <w:rsid w:val="002C19B1"/>
    <w:rsid w:val="002C1C65"/>
    <w:rsid w:val="002C23B3"/>
    <w:rsid w:val="002C23C2"/>
    <w:rsid w:val="002C29E3"/>
    <w:rsid w:val="002C3310"/>
    <w:rsid w:val="002C37F1"/>
    <w:rsid w:val="002C5246"/>
    <w:rsid w:val="002C534E"/>
    <w:rsid w:val="002C5648"/>
    <w:rsid w:val="002C57FC"/>
    <w:rsid w:val="002C5A3A"/>
    <w:rsid w:val="002C6750"/>
    <w:rsid w:val="002C6996"/>
    <w:rsid w:val="002C720E"/>
    <w:rsid w:val="002C7481"/>
    <w:rsid w:val="002C7DCA"/>
    <w:rsid w:val="002C7FC4"/>
    <w:rsid w:val="002D1741"/>
    <w:rsid w:val="002D2BA9"/>
    <w:rsid w:val="002D4333"/>
    <w:rsid w:val="002D4574"/>
    <w:rsid w:val="002D47EC"/>
    <w:rsid w:val="002D4C3B"/>
    <w:rsid w:val="002D4D5C"/>
    <w:rsid w:val="002D4E1B"/>
    <w:rsid w:val="002D659A"/>
    <w:rsid w:val="002D6C0E"/>
    <w:rsid w:val="002E051E"/>
    <w:rsid w:val="002E15FA"/>
    <w:rsid w:val="002E1E1F"/>
    <w:rsid w:val="002E3259"/>
    <w:rsid w:val="002E417B"/>
    <w:rsid w:val="002E4C09"/>
    <w:rsid w:val="002E5958"/>
    <w:rsid w:val="002E5969"/>
    <w:rsid w:val="002E59D3"/>
    <w:rsid w:val="002E6C14"/>
    <w:rsid w:val="002E74CD"/>
    <w:rsid w:val="002F00C9"/>
    <w:rsid w:val="002F180F"/>
    <w:rsid w:val="002F1DF1"/>
    <w:rsid w:val="002F211B"/>
    <w:rsid w:val="002F3502"/>
    <w:rsid w:val="002F38A3"/>
    <w:rsid w:val="002F3EA4"/>
    <w:rsid w:val="002F482C"/>
    <w:rsid w:val="002F5721"/>
    <w:rsid w:val="002F573B"/>
    <w:rsid w:val="002F74A3"/>
    <w:rsid w:val="003019A2"/>
    <w:rsid w:val="00302035"/>
    <w:rsid w:val="00302192"/>
    <w:rsid w:val="003039B3"/>
    <w:rsid w:val="0030484D"/>
    <w:rsid w:val="00304E4C"/>
    <w:rsid w:val="003060B1"/>
    <w:rsid w:val="00306D10"/>
    <w:rsid w:val="00306D95"/>
    <w:rsid w:val="00306E16"/>
    <w:rsid w:val="00307144"/>
    <w:rsid w:val="00307245"/>
    <w:rsid w:val="00307950"/>
    <w:rsid w:val="00307EE9"/>
    <w:rsid w:val="00310330"/>
    <w:rsid w:val="00310D51"/>
    <w:rsid w:val="003112A1"/>
    <w:rsid w:val="00311885"/>
    <w:rsid w:val="003118FA"/>
    <w:rsid w:val="00313034"/>
    <w:rsid w:val="00313232"/>
    <w:rsid w:val="00313533"/>
    <w:rsid w:val="003137B6"/>
    <w:rsid w:val="00313DD8"/>
    <w:rsid w:val="003142B1"/>
    <w:rsid w:val="00314E94"/>
    <w:rsid w:val="003151A0"/>
    <w:rsid w:val="00315460"/>
    <w:rsid w:val="00315499"/>
    <w:rsid w:val="00315EC6"/>
    <w:rsid w:val="00317142"/>
    <w:rsid w:val="00317994"/>
    <w:rsid w:val="00317B08"/>
    <w:rsid w:val="003209DF"/>
    <w:rsid w:val="003213BA"/>
    <w:rsid w:val="00321513"/>
    <w:rsid w:val="00322E68"/>
    <w:rsid w:val="0032398F"/>
    <w:rsid w:val="00323A9E"/>
    <w:rsid w:val="00323B88"/>
    <w:rsid w:val="00323C29"/>
    <w:rsid w:val="003243D4"/>
    <w:rsid w:val="00324677"/>
    <w:rsid w:val="00324AE6"/>
    <w:rsid w:val="0032535F"/>
    <w:rsid w:val="003255A9"/>
    <w:rsid w:val="00325646"/>
    <w:rsid w:val="00325E51"/>
    <w:rsid w:val="003264F9"/>
    <w:rsid w:val="0033192C"/>
    <w:rsid w:val="00334265"/>
    <w:rsid w:val="00335871"/>
    <w:rsid w:val="00336528"/>
    <w:rsid w:val="00336784"/>
    <w:rsid w:val="00336875"/>
    <w:rsid w:val="00336A62"/>
    <w:rsid w:val="00336FC7"/>
    <w:rsid w:val="00337328"/>
    <w:rsid w:val="00337CB0"/>
    <w:rsid w:val="00337FDC"/>
    <w:rsid w:val="00340219"/>
    <w:rsid w:val="0034299A"/>
    <w:rsid w:val="00342DB8"/>
    <w:rsid w:val="00342F20"/>
    <w:rsid w:val="00345412"/>
    <w:rsid w:val="0034546B"/>
    <w:rsid w:val="00345799"/>
    <w:rsid w:val="00345DBA"/>
    <w:rsid w:val="00346E00"/>
    <w:rsid w:val="003503A0"/>
    <w:rsid w:val="00350721"/>
    <w:rsid w:val="003524FA"/>
    <w:rsid w:val="003526E9"/>
    <w:rsid w:val="00352BF6"/>
    <w:rsid w:val="00352C7E"/>
    <w:rsid w:val="00352EC6"/>
    <w:rsid w:val="00353436"/>
    <w:rsid w:val="003538D8"/>
    <w:rsid w:val="00353B3F"/>
    <w:rsid w:val="0035494D"/>
    <w:rsid w:val="00354F1C"/>
    <w:rsid w:val="003553A5"/>
    <w:rsid w:val="003554EC"/>
    <w:rsid w:val="00355B57"/>
    <w:rsid w:val="00355C00"/>
    <w:rsid w:val="00356206"/>
    <w:rsid w:val="003571EA"/>
    <w:rsid w:val="00357989"/>
    <w:rsid w:val="003579CF"/>
    <w:rsid w:val="00357D1F"/>
    <w:rsid w:val="00360F4B"/>
    <w:rsid w:val="00361785"/>
    <w:rsid w:val="00362538"/>
    <w:rsid w:val="0036473F"/>
    <w:rsid w:val="003647EF"/>
    <w:rsid w:val="003651BE"/>
    <w:rsid w:val="00367EFB"/>
    <w:rsid w:val="00370DA7"/>
    <w:rsid w:val="0037150D"/>
    <w:rsid w:val="0037168F"/>
    <w:rsid w:val="003728A5"/>
    <w:rsid w:val="003728B6"/>
    <w:rsid w:val="00372C74"/>
    <w:rsid w:val="00373A32"/>
    <w:rsid w:val="00373F01"/>
    <w:rsid w:val="00374005"/>
    <w:rsid w:val="003740D3"/>
    <w:rsid w:val="0037429E"/>
    <w:rsid w:val="00374899"/>
    <w:rsid w:val="00375F3B"/>
    <w:rsid w:val="00376248"/>
    <w:rsid w:val="0038148F"/>
    <w:rsid w:val="00381554"/>
    <w:rsid w:val="003852DE"/>
    <w:rsid w:val="0038572B"/>
    <w:rsid w:val="003860ED"/>
    <w:rsid w:val="003862BC"/>
    <w:rsid w:val="00387974"/>
    <w:rsid w:val="00387987"/>
    <w:rsid w:val="00390113"/>
    <w:rsid w:val="00391FE9"/>
    <w:rsid w:val="00392382"/>
    <w:rsid w:val="003933D3"/>
    <w:rsid w:val="00393859"/>
    <w:rsid w:val="0039389A"/>
    <w:rsid w:val="003942E7"/>
    <w:rsid w:val="00395B21"/>
    <w:rsid w:val="00396ECB"/>
    <w:rsid w:val="003A099D"/>
    <w:rsid w:val="003A1B6B"/>
    <w:rsid w:val="003A26D5"/>
    <w:rsid w:val="003A383A"/>
    <w:rsid w:val="003A3F1B"/>
    <w:rsid w:val="003A4858"/>
    <w:rsid w:val="003A5438"/>
    <w:rsid w:val="003A565D"/>
    <w:rsid w:val="003A58C4"/>
    <w:rsid w:val="003A5D7E"/>
    <w:rsid w:val="003A5D9B"/>
    <w:rsid w:val="003A6C53"/>
    <w:rsid w:val="003B0066"/>
    <w:rsid w:val="003B045B"/>
    <w:rsid w:val="003B080D"/>
    <w:rsid w:val="003B0C8A"/>
    <w:rsid w:val="003B0D26"/>
    <w:rsid w:val="003B2672"/>
    <w:rsid w:val="003B2818"/>
    <w:rsid w:val="003B29DD"/>
    <w:rsid w:val="003B2BCC"/>
    <w:rsid w:val="003B3241"/>
    <w:rsid w:val="003B357F"/>
    <w:rsid w:val="003B3AA3"/>
    <w:rsid w:val="003B3E27"/>
    <w:rsid w:val="003B4B1C"/>
    <w:rsid w:val="003B5708"/>
    <w:rsid w:val="003B5DBF"/>
    <w:rsid w:val="003B5E26"/>
    <w:rsid w:val="003B6E75"/>
    <w:rsid w:val="003B78FF"/>
    <w:rsid w:val="003B7913"/>
    <w:rsid w:val="003B7BB6"/>
    <w:rsid w:val="003C13AA"/>
    <w:rsid w:val="003C160C"/>
    <w:rsid w:val="003C1709"/>
    <w:rsid w:val="003C1900"/>
    <w:rsid w:val="003C2044"/>
    <w:rsid w:val="003C43AA"/>
    <w:rsid w:val="003C4C1F"/>
    <w:rsid w:val="003C6C59"/>
    <w:rsid w:val="003C7FE5"/>
    <w:rsid w:val="003D010A"/>
    <w:rsid w:val="003D018A"/>
    <w:rsid w:val="003D2501"/>
    <w:rsid w:val="003D27E8"/>
    <w:rsid w:val="003D2B9F"/>
    <w:rsid w:val="003D366B"/>
    <w:rsid w:val="003D3C39"/>
    <w:rsid w:val="003D5035"/>
    <w:rsid w:val="003D6912"/>
    <w:rsid w:val="003D7453"/>
    <w:rsid w:val="003D7790"/>
    <w:rsid w:val="003D7849"/>
    <w:rsid w:val="003D7D20"/>
    <w:rsid w:val="003E0169"/>
    <w:rsid w:val="003E07AF"/>
    <w:rsid w:val="003E0BEB"/>
    <w:rsid w:val="003E1BEC"/>
    <w:rsid w:val="003E1D06"/>
    <w:rsid w:val="003E1FC0"/>
    <w:rsid w:val="003E2549"/>
    <w:rsid w:val="003E284C"/>
    <w:rsid w:val="003E2EE4"/>
    <w:rsid w:val="003E2F64"/>
    <w:rsid w:val="003E356C"/>
    <w:rsid w:val="003E38DB"/>
    <w:rsid w:val="003E4E98"/>
    <w:rsid w:val="003E51C1"/>
    <w:rsid w:val="003E56CC"/>
    <w:rsid w:val="003E5E38"/>
    <w:rsid w:val="003F0800"/>
    <w:rsid w:val="003F0997"/>
    <w:rsid w:val="003F0C00"/>
    <w:rsid w:val="003F2FC3"/>
    <w:rsid w:val="003F3228"/>
    <w:rsid w:val="003F3461"/>
    <w:rsid w:val="003F3C2D"/>
    <w:rsid w:val="003F4778"/>
    <w:rsid w:val="003F62FE"/>
    <w:rsid w:val="003F7141"/>
    <w:rsid w:val="003F78B5"/>
    <w:rsid w:val="003F7949"/>
    <w:rsid w:val="0040067D"/>
    <w:rsid w:val="00400C7D"/>
    <w:rsid w:val="00400C96"/>
    <w:rsid w:val="004010C8"/>
    <w:rsid w:val="004019E8"/>
    <w:rsid w:val="00402562"/>
    <w:rsid w:val="00403575"/>
    <w:rsid w:val="00405479"/>
    <w:rsid w:val="004055E6"/>
    <w:rsid w:val="004058A7"/>
    <w:rsid w:val="0040614F"/>
    <w:rsid w:val="00407948"/>
    <w:rsid w:val="00407D30"/>
    <w:rsid w:val="00407D55"/>
    <w:rsid w:val="00407F73"/>
    <w:rsid w:val="004108C2"/>
    <w:rsid w:val="004120E8"/>
    <w:rsid w:val="00412286"/>
    <w:rsid w:val="00412462"/>
    <w:rsid w:val="00412670"/>
    <w:rsid w:val="0041276C"/>
    <w:rsid w:val="0041280F"/>
    <w:rsid w:val="00412C2D"/>
    <w:rsid w:val="00414437"/>
    <w:rsid w:val="00414E31"/>
    <w:rsid w:val="0041525A"/>
    <w:rsid w:val="004155DA"/>
    <w:rsid w:val="00415936"/>
    <w:rsid w:val="00415A7C"/>
    <w:rsid w:val="00415CA0"/>
    <w:rsid w:val="00416403"/>
    <w:rsid w:val="004170B0"/>
    <w:rsid w:val="004171EF"/>
    <w:rsid w:val="00417538"/>
    <w:rsid w:val="00417F0D"/>
    <w:rsid w:val="00417F1A"/>
    <w:rsid w:val="00420646"/>
    <w:rsid w:val="004209F1"/>
    <w:rsid w:val="00421001"/>
    <w:rsid w:val="00421249"/>
    <w:rsid w:val="00421610"/>
    <w:rsid w:val="004222F8"/>
    <w:rsid w:val="00422BC3"/>
    <w:rsid w:val="00422FAD"/>
    <w:rsid w:val="004234D8"/>
    <w:rsid w:val="00423A11"/>
    <w:rsid w:val="00423A7F"/>
    <w:rsid w:val="00423E53"/>
    <w:rsid w:val="00423F42"/>
    <w:rsid w:val="00425BB7"/>
    <w:rsid w:val="00425D61"/>
    <w:rsid w:val="00426A83"/>
    <w:rsid w:val="00427A7F"/>
    <w:rsid w:val="00427B0E"/>
    <w:rsid w:val="0043001B"/>
    <w:rsid w:val="00430DFD"/>
    <w:rsid w:val="00431A58"/>
    <w:rsid w:val="00431EF9"/>
    <w:rsid w:val="00432353"/>
    <w:rsid w:val="00432970"/>
    <w:rsid w:val="00432B0C"/>
    <w:rsid w:val="00433843"/>
    <w:rsid w:val="00433AB8"/>
    <w:rsid w:val="004341BA"/>
    <w:rsid w:val="0043496E"/>
    <w:rsid w:val="00435858"/>
    <w:rsid w:val="00435E10"/>
    <w:rsid w:val="0043616E"/>
    <w:rsid w:val="00437156"/>
    <w:rsid w:val="004373C3"/>
    <w:rsid w:val="00440C31"/>
    <w:rsid w:val="00440DDC"/>
    <w:rsid w:val="00441B1C"/>
    <w:rsid w:val="00441FDB"/>
    <w:rsid w:val="00442713"/>
    <w:rsid w:val="004427B7"/>
    <w:rsid w:val="00443CF3"/>
    <w:rsid w:val="004447FC"/>
    <w:rsid w:val="004449D9"/>
    <w:rsid w:val="00445A2F"/>
    <w:rsid w:val="00445F99"/>
    <w:rsid w:val="00447B29"/>
    <w:rsid w:val="0045142D"/>
    <w:rsid w:val="0045161D"/>
    <w:rsid w:val="00451787"/>
    <w:rsid w:val="00451DDA"/>
    <w:rsid w:val="0045232C"/>
    <w:rsid w:val="0045256C"/>
    <w:rsid w:val="00452AA5"/>
    <w:rsid w:val="00452B6A"/>
    <w:rsid w:val="00453C4C"/>
    <w:rsid w:val="00455379"/>
    <w:rsid w:val="00455813"/>
    <w:rsid w:val="00455CBA"/>
    <w:rsid w:val="0045631E"/>
    <w:rsid w:val="00457335"/>
    <w:rsid w:val="00457EC2"/>
    <w:rsid w:val="00460408"/>
    <w:rsid w:val="004610C3"/>
    <w:rsid w:val="004612B8"/>
    <w:rsid w:val="00461533"/>
    <w:rsid w:val="004620F0"/>
    <w:rsid w:val="00462F14"/>
    <w:rsid w:val="00463C7F"/>
    <w:rsid w:val="00463ED6"/>
    <w:rsid w:val="00464540"/>
    <w:rsid w:val="00465672"/>
    <w:rsid w:val="00465A56"/>
    <w:rsid w:val="00465BD5"/>
    <w:rsid w:val="004661BE"/>
    <w:rsid w:val="00466534"/>
    <w:rsid w:val="00466E1B"/>
    <w:rsid w:val="00467943"/>
    <w:rsid w:val="004709D5"/>
    <w:rsid w:val="00473570"/>
    <w:rsid w:val="00474818"/>
    <w:rsid w:val="0047551F"/>
    <w:rsid w:val="004757AC"/>
    <w:rsid w:val="004759AD"/>
    <w:rsid w:val="00476193"/>
    <w:rsid w:val="00476418"/>
    <w:rsid w:val="00477C0A"/>
    <w:rsid w:val="0048016D"/>
    <w:rsid w:val="00480326"/>
    <w:rsid w:val="00480C48"/>
    <w:rsid w:val="004818DC"/>
    <w:rsid w:val="00481DE5"/>
    <w:rsid w:val="00482162"/>
    <w:rsid w:val="00483F03"/>
    <w:rsid w:val="00483F44"/>
    <w:rsid w:val="0048409F"/>
    <w:rsid w:val="004846FE"/>
    <w:rsid w:val="004850A1"/>
    <w:rsid w:val="004853F3"/>
    <w:rsid w:val="00485D00"/>
    <w:rsid w:val="0048627C"/>
    <w:rsid w:val="004862B3"/>
    <w:rsid w:val="004878D6"/>
    <w:rsid w:val="0049019E"/>
    <w:rsid w:val="004903B2"/>
    <w:rsid w:val="004904CB"/>
    <w:rsid w:val="00490507"/>
    <w:rsid w:val="00490B74"/>
    <w:rsid w:val="004926AD"/>
    <w:rsid w:val="00492E33"/>
    <w:rsid w:val="004931F4"/>
    <w:rsid w:val="00493747"/>
    <w:rsid w:val="0049429F"/>
    <w:rsid w:val="00495A0A"/>
    <w:rsid w:val="00495BE2"/>
    <w:rsid w:val="00495E3F"/>
    <w:rsid w:val="004962A7"/>
    <w:rsid w:val="00497386"/>
    <w:rsid w:val="00497A34"/>
    <w:rsid w:val="00497C69"/>
    <w:rsid w:val="004A09EF"/>
    <w:rsid w:val="004A1457"/>
    <w:rsid w:val="004A2067"/>
    <w:rsid w:val="004A249D"/>
    <w:rsid w:val="004A259F"/>
    <w:rsid w:val="004A3033"/>
    <w:rsid w:val="004A3098"/>
    <w:rsid w:val="004A30C8"/>
    <w:rsid w:val="004A3E44"/>
    <w:rsid w:val="004A4C49"/>
    <w:rsid w:val="004A54F2"/>
    <w:rsid w:val="004A5F0E"/>
    <w:rsid w:val="004A5F2F"/>
    <w:rsid w:val="004A6BAD"/>
    <w:rsid w:val="004A79A9"/>
    <w:rsid w:val="004B04CB"/>
    <w:rsid w:val="004B0AE9"/>
    <w:rsid w:val="004B1219"/>
    <w:rsid w:val="004B2726"/>
    <w:rsid w:val="004B2A87"/>
    <w:rsid w:val="004B2EE5"/>
    <w:rsid w:val="004B3940"/>
    <w:rsid w:val="004B3A46"/>
    <w:rsid w:val="004B3A5E"/>
    <w:rsid w:val="004B435E"/>
    <w:rsid w:val="004B4AE4"/>
    <w:rsid w:val="004B4E53"/>
    <w:rsid w:val="004B64ED"/>
    <w:rsid w:val="004B75E4"/>
    <w:rsid w:val="004B7BD3"/>
    <w:rsid w:val="004C0072"/>
    <w:rsid w:val="004C007D"/>
    <w:rsid w:val="004C0199"/>
    <w:rsid w:val="004C019D"/>
    <w:rsid w:val="004C2158"/>
    <w:rsid w:val="004C271B"/>
    <w:rsid w:val="004C34E7"/>
    <w:rsid w:val="004C3948"/>
    <w:rsid w:val="004C453F"/>
    <w:rsid w:val="004C4F00"/>
    <w:rsid w:val="004C50BF"/>
    <w:rsid w:val="004C526D"/>
    <w:rsid w:val="004C5473"/>
    <w:rsid w:val="004C64A0"/>
    <w:rsid w:val="004C688D"/>
    <w:rsid w:val="004C74E2"/>
    <w:rsid w:val="004C7527"/>
    <w:rsid w:val="004C7EC6"/>
    <w:rsid w:val="004D083A"/>
    <w:rsid w:val="004D0D73"/>
    <w:rsid w:val="004D1375"/>
    <w:rsid w:val="004D1770"/>
    <w:rsid w:val="004D278A"/>
    <w:rsid w:val="004D2AC6"/>
    <w:rsid w:val="004D2E65"/>
    <w:rsid w:val="004D3369"/>
    <w:rsid w:val="004D53DC"/>
    <w:rsid w:val="004D54B3"/>
    <w:rsid w:val="004D5D0A"/>
    <w:rsid w:val="004D5E3F"/>
    <w:rsid w:val="004D5E48"/>
    <w:rsid w:val="004D6DA4"/>
    <w:rsid w:val="004E0728"/>
    <w:rsid w:val="004E08D7"/>
    <w:rsid w:val="004E10D3"/>
    <w:rsid w:val="004E1398"/>
    <w:rsid w:val="004E1586"/>
    <w:rsid w:val="004E2A88"/>
    <w:rsid w:val="004E2D1F"/>
    <w:rsid w:val="004E3C8B"/>
    <w:rsid w:val="004E4807"/>
    <w:rsid w:val="004E493E"/>
    <w:rsid w:val="004E5C52"/>
    <w:rsid w:val="004E635E"/>
    <w:rsid w:val="004E6B4F"/>
    <w:rsid w:val="004E70F5"/>
    <w:rsid w:val="004E7BA0"/>
    <w:rsid w:val="004E7ECB"/>
    <w:rsid w:val="004F02E3"/>
    <w:rsid w:val="004F0922"/>
    <w:rsid w:val="004F0E78"/>
    <w:rsid w:val="004F127D"/>
    <w:rsid w:val="004F1471"/>
    <w:rsid w:val="004F17C4"/>
    <w:rsid w:val="004F2561"/>
    <w:rsid w:val="004F29F1"/>
    <w:rsid w:val="004F2FA7"/>
    <w:rsid w:val="004F3675"/>
    <w:rsid w:val="004F38AE"/>
    <w:rsid w:val="004F3C99"/>
    <w:rsid w:val="004F4110"/>
    <w:rsid w:val="004F47D8"/>
    <w:rsid w:val="004F4EBA"/>
    <w:rsid w:val="00500536"/>
    <w:rsid w:val="00501185"/>
    <w:rsid w:val="0050188A"/>
    <w:rsid w:val="00501DBC"/>
    <w:rsid w:val="00502DD0"/>
    <w:rsid w:val="005036D0"/>
    <w:rsid w:val="00503F15"/>
    <w:rsid w:val="0050408B"/>
    <w:rsid w:val="00504630"/>
    <w:rsid w:val="00504E7B"/>
    <w:rsid w:val="005052D6"/>
    <w:rsid w:val="005055F5"/>
    <w:rsid w:val="0050654A"/>
    <w:rsid w:val="005102D7"/>
    <w:rsid w:val="005115A1"/>
    <w:rsid w:val="00511A36"/>
    <w:rsid w:val="00511EF1"/>
    <w:rsid w:val="005124B2"/>
    <w:rsid w:val="00512581"/>
    <w:rsid w:val="00512A42"/>
    <w:rsid w:val="005147A7"/>
    <w:rsid w:val="0051591F"/>
    <w:rsid w:val="00515EB2"/>
    <w:rsid w:val="005165D4"/>
    <w:rsid w:val="00516E20"/>
    <w:rsid w:val="00516FE1"/>
    <w:rsid w:val="005170BC"/>
    <w:rsid w:val="005177A9"/>
    <w:rsid w:val="00517EE6"/>
    <w:rsid w:val="00520091"/>
    <w:rsid w:val="00520576"/>
    <w:rsid w:val="005206C2"/>
    <w:rsid w:val="00520F3E"/>
    <w:rsid w:val="00521E25"/>
    <w:rsid w:val="00522B65"/>
    <w:rsid w:val="005237A6"/>
    <w:rsid w:val="00523C98"/>
    <w:rsid w:val="0052423D"/>
    <w:rsid w:val="0052452E"/>
    <w:rsid w:val="00524885"/>
    <w:rsid w:val="00524BE7"/>
    <w:rsid w:val="00524E33"/>
    <w:rsid w:val="00525132"/>
    <w:rsid w:val="00526462"/>
    <w:rsid w:val="00530589"/>
    <w:rsid w:val="0053171A"/>
    <w:rsid w:val="00532615"/>
    <w:rsid w:val="0053279D"/>
    <w:rsid w:val="00532C94"/>
    <w:rsid w:val="00535797"/>
    <w:rsid w:val="00535AA4"/>
    <w:rsid w:val="0053652D"/>
    <w:rsid w:val="00536C93"/>
    <w:rsid w:val="00536E8F"/>
    <w:rsid w:val="00536FCB"/>
    <w:rsid w:val="0054094E"/>
    <w:rsid w:val="005430AF"/>
    <w:rsid w:val="005440F6"/>
    <w:rsid w:val="005446A7"/>
    <w:rsid w:val="00544DCC"/>
    <w:rsid w:val="00544E71"/>
    <w:rsid w:val="00544F29"/>
    <w:rsid w:val="00545378"/>
    <w:rsid w:val="0054581E"/>
    <w:rsid w:val="00545846"/>
    <w:rsid w:val="00545C25"/>
    <w:rsid w:val="005467B5"/>
    <w:rsid w:val="00547BA2"/>
    <w:rsid w:val="005501CE"/>
    <w:rsid w:val="00550D81"/>
    <w:rsid w:val="005511FB"/>
    <w:rsid w:val="005528E4"/>
    <w:rsid w:val="00554705"/>
    <w:rsid w:val="00554F8F"/>
    <w:rsid w:val="00555015"/>
    <w:rsid w:val="005550EB"/>
    <w:rsid w:val="005557AE"/>
    <w:rsid w:val="005569E5"/>
    <w:rsid w:val="00560581"/>
    <w:rsid w:val="00560FC3"/>
    <w:rsid w:val="00562FFC"/>
    <w:rsid w:val="00563F13"/>
    <w:rsid w:val="00564FCF"/>
    <w:rsid w:val="00564FD5"/>
    <w:rsid w:val="005651BD"/>
    <w:rsid w:val="00565C91"/>
    <w:rsid w:val="0056722B"/>
    <w:rsid w:val="005677DF"/>
    <w:rsid w:val="00567B8F"/>
    <w:rsid w:val="00570405"/>
    <w:rsid w:val="00570C22"/>
    <w:rsid w:val="00571989"/>
    <w:rsid w:val="00572596"/>
    <w:rsid w:val="00572AD9"/>
    <w:rsid w:val="005742E0"/>
    <w:rsid w:val="00574CAE"/>
    <w:rsid w:val="00575181"/>
    <w:rsid w:val="00575A6F"/>
    <w:rsid w:val="0057701A"/>
    <w:rsid w:val="005778DC"/>
    <w:rsid w:val="00580F04"/>
    <w:rsid w:val="00581CD1"/>
    <w:rsid w:val="00582419"/>
    <w:rsid w:val="00582758"/>
    <w:rsid w:val="00583986"/>
    <w:rsid w:val="00584751"/>
    <w:rsid w:val="00584C30"/>
    <w:rsid w:val="00585507"/>
    <w:rsid w:val="005858AB"/>
    <w:rsid w:val="00585F1E"/>
    <w:rsid w:val="0058679B"/>
    <w:rsid w:val="005873D4"/>
    <w:rsid w:val="00587BE3"/>
    <w:rsid w:val="0059048B"/>
    <w:rsid w:val="00591317"/>
    <w:rsid w:val="0059224C"/>
    <w:rsid w:val="00593818"/>
    <w:rsid w:val="00594267"/>
    <w:rsid w:val="0059449D"/>
    <w:rsid w:val="005946F3"/>
    <w:rsid w:val="00594913"/>
    <w:rsid w:val="0059498F"/>
    <w:rsid w:val="00595FB6"/>
    <w:rsid w:val="005961EA"/>
    <w:rsid w:val="00596CE5"/>
    <w:rsid w:val="00597999"/>
    <w:rsid w:val="00597EDD"/>
    <w:rsid w:val="005A041B"/>
    <w:rsid w:val="005A0C72"/>
    <w:rsid w:val="005A12F1"/>
    <w:rsid w:val="005A1885"/>
    <w:rsid w:val="005A1BC9"/>
    <w:rsid w:val="005A1E16"/>
    <w:rsid w:val="005A1E96"/>
    <w:rsid w:val="005A254B"/>
    <w:rsid w:val="005A28E3"/>
    <w:rsid w:val="005A349F"/>
    <w:rsid w:val="005A4A0A"/>
    <w:rsid w:val="005A5156"/>
    <w:rsid w:val="005A5645"/>
    <w:rsid w:val="005A5B91"/>
    <w:rsid w:val="005A5FB3"/>
    <w:rsid w:val="005A628B"/>
    <w:rsid w:val="005A678E"/>
    <w:rsid w:val="005A699F"/>
    <w:rsid w:val="005A6D9D"/>
    <w:rsid w:val="005A6EE5"/>
    <w:rsid w:val="005A7CBC"/>
    <w:rsid w:val="005A7D71"/>
    <w:rsid w:val="005B0497"/>
    <w:rsid w:val="005B0AD7"/>
    <w:rsid w:val="005B1AE7"/>
    <w:rsid w:val="005B2F22"/>
    <w:rsid w:val="005B5A90"/>
    <w:rsid w:val="005B6813"/>
    <w:rsid w:val="005B781E"/>
    <w:rsid w:val="005B784C"/>
    <w:rsid w:val="005C04B6"/>
    <w:rsid w:val="005C0772"/>
    <w:rsid w:val="005C0B85"/>
    <w:rsid w:val="005C0ECE"/>
    <w:rsid w:val="005C10C8"/>
    <w:rsid w:val="005C143B"/>
    <w:rsid w:val="005C1A03"/>
    <w:rsid w:val="005C1ACA"/>
    <w:rsid w:val="005C1EC8"/>
    <w:rsid w:val="005C31F8"/>
    <w:rsid w:val="005C40BB"/>
    <w:rsid w:val="005C421D"/>
    <w:rsid w:val="005C44EE"/>
    <w:rsid w:val="005C479C"/>
    <w:rsid w:val="005C50A9"/>
    <w:rsid w:val="005D0567"/>
    <w:rsid w:val="005D151B"/>
    <w:rsid w:val="005D1A18"/>
    <w:rsid w:val="005D350D"/>
    <w:rsid w:val="005D3B8A"/>
    <w:rsid w:val="005D5707"/>
    <w:rsid w:val="005D57F7"/>
    <w:rsid w:val="005D5934"/>
    <w:rsid w:val="005D5CED"/>
    <w:rsid w:val="005D5E9E"/>
    <w:rsid w:val="005D6A0E"/>
    <w:rsid w:val="005D6A3A"/>
    <w:rsid w:val="005D717B"/>
    <w:rsid w:val="005D7B75"/>
    <w:rsid w:val="005D7D41"/>
    <w:rsid w:val="005E0982"/>
    <w:rsid w:val="005E0AFE"/>
    <w:rsid w:val="005E0E75"/>
    <w:rsid w:val="005E3299"/>
    <w:rsid w:val="005E32F4"/>
    <w:rsid w:val="005E337C"/>
    <w:rsid w:val="005E3848"/>
    <w:rsid w:val="005E5676"/>
    <w:rsid w:val="005E5A20"/>
    <w:rsid w:val="005E5B1F"/>
    <w:rsid w:val="005E5F76"/>
    <w:rsid w:val="005E6E48"/>
    <w:rsid w:val="005E7E05"/>
    <w:rsid w:val="005F0377"/>
    <w:rsid w:val="005F0488"/>
    <w:rsid w:val="005F0FD5"/>
    <w:rsid w:val="005F4453"/>
    <w:rsid w:val="005F4BBE"/>
    <w:rsid w:val="005F4DA9"/>
    <w:rsid w:val="005F4E11"/>
    <w:rsid w:val="005F5903"/>
    <w:rsid w:val="005F5EC1"/>
    <w:rsid w:val="005F681B"/>
    <w:rsid w:val="005F6CED"/>
    <w:rsid w:val="005F6FC7"/>
    <w:rsid w:val="005F7085"/>
    <w:rsid w:val="005F7EC6"/>
    <w:rsid w:val="0060056E"/>
    <w:rsid w:val="00600ED6"/>
    <w:rsid w:val="006021E2"/>
    <w:rsid w:val="00602333"/>
    <w:rsid w:val="0060551C"/>
    <w:rsid w:val="00605776"/>
    <w:rsid w:val="00605C02"/>
    <w:rsid w:val="00606260"/>
    <w:rsid w:val="006064FE"/>
    <w:rsid w:val="00606B62"/>
    <w:rsid w:val="006071DE"/>
    <w:rsid w:val="00607AD8"/>
    <w:rsid w:val="00607D22"/>
    <w:rsid w:val="006115A4"/>
    <w:rsid w:val="006116A2"/>
    <w:rsid w:val="00612C30"/>
    <w:rsid w:val="006130AF"/>
    <w:rsid w:val="006133F3"/>
    <w:rsid w:val="006157C4"/>
    <w:rsid w:val="00617E77"/>
    <w:rsid w:val="0062061C"/>
    <w:rsid w:val="00620D78"/>
    <w:rsid w:val="00621416"/>
    <w:rsid w:val="00622053"/>
    <w:rsid w:val="006227F9"/>
    <w:rsid w:val="00623155"/>
    <w:rsid w:val="00623A05"/>
    <w:rsid w:val="00624536"/>
    <w:rsid w:val="00624DB7"/>
    <w:rsid w:val="0062561D"/>
    <w:rsid w:val="006259FB"/>
    <w:rsid w:val="006267BA"/>
    <w:rsid w:val="00630B76"/>
    <w:rsid w:val="00630C29"/>
    <w:rsid w:val="00630CC1"/>
    <w:rsid w:val="00631853"/>
    <w:rsid w:val="006323F0"/>
    <w:rsid w:val="00633154"/>
    <w:rsid w:val="00633420"/>
    <w:rsid w:val="00633CD9"/>
    <w:rsid w:val="00633E92"/>
    <w:rsid w:val="006345A4"/>
    <w:rsid w:val="00634B77"/>
    <w:rsid w:val="00634F2E"/>
    <w:rsid w:val="006354C5"/>
    <w:rsid w:val="006360BC"/>
    <w:rsid w:val="00636694"/>
    <w:rsid w:val="00640007"/>
    <w:rsid w:val="00640507"/>
    <w:rsid w:val="00641CB9"/>
    <w:rsid w:val="006424B5"/>
    <w:rsid w:val="00643018"/>
    <w:rsid w:val="006442ED"/>
    <w:rsid w:val="006454BC"/>
    <w:rsid w:val="00646141"/>
    <w:rsid w:val="00646488"/>
    <w:rsid w:val="0064688F"/>
    <w:rsid w:val="00650E7D"/>
    <w:rsid w:val="00653791"/>
    <w:rsid w:val="00653878"/>
    <w:rsid w:val="00653B19"/>
    <w:rsid w:val="006541A9"/>
    <w:rsid w:val="006543CA"/>
    <w:rsid w:val="006545B9"/>
    <w:rsid w:val="006555B1"/>
    <w:rsid w:val="0065580A"/>
    <w:rsid w:val="00655B78"/>
    <w:rsid w:val="0065639E"/>
    <w:rsid w:val="00657669"/>
    <w:rsid w:val="00657774"/>
    <w:rsid w:val="00657A6C"/>
    <w:rsid w:val="00660708"/>
    <w:rsid w:val="006608BE"/>
    <w:rsid w:val="006610D8"/>
    <w:rsid w:val="00663380"/>
    <w:rsid w:val="0066389A"/>
    <w:rsid w:val="006644D6"/>
    <w:rsid w:val="006646F3"/>
    <w:rsid w:val="00665381"/>
    <w:rsid w:val="0066553D"/>
    <w:rsid w:val="0066579D"/>
    <w:rsid w:val="00665D0E"/>
    <w:rsid w:val="006661BD"/>
    <w:rsid w:val="00666959"/>
    <w:rsid w:val="00670090"/>
    <w:rsid w:val="00671012"/>
    <w:rsid w:val="0067165B"/>
    <w:rsid w:val="00672C1A"/>
    <w:rsid w:val="00672E8C"/>
    <w:rsid w:val="00674182"/>
    <w:rsid w:val="006747DA"/>
    <w:rsid w:val="00674CAB"/>
    <w:rsid w:val="00676204"/>
    <w:rsid w:val="00676513"/>
    <w:rsid w:val="00676723"/>
    <w:rsid w:val="00676B8B"/>
    <w:rsid w:val="00676F2E"/>
    <w:rsid w:val="006805FF"/>
    <w:rsid w:val="006819EA"/>
    <w:rsid w:val="00681EE5"/>
    <w:rsid w:val="0068277B"/>
    <w:rsid w:val="006827FA"/>
    <w:rsid w:val="006829B0"/>
    <w:rsid w:val="00683A89"/>
    <w:rsid w:val="00683AB7"/>
    <w:rsid w:val="006842EF"/>
    <w:rsid w:val="00685276"/>
    <w:rsid w:val="006852A7"/>
    <w:rsid w:val="0068637F"/>
    <w:rsid w:val="00686CF0"/>
    <w:rsid w:val="0068702A"/>
    <w:rsid w:val="006877E8"/>
    <w:rsid w:val="00687E14"/>
    <w:rsid w:val="00690AEB"/>
    <w:rsid w:val="00690B9E"/>
    <w:rsid w:val="0069278A"/>
    <w:rsid w:val="00692C95"/>
    <w:rsid w:val="00692EAF"/>
    <w:rsid w:val="00692F9F"/>
    <w:rsid w:val="006944A7"/>
    <w:rsid w:val="00695B8B"/>
    <w:rsid w:val="006965A4"/>
    <w:rsid w:val="006965B5"/>
    <w:rsid w:val="006967A2"/>
    <w:rsid w:val="006969B2"/>
    <w:rsid w:val="00697113"/>
    <w:rsid w:val="00697B2B"/>
    <w:rsid w:val="006A0A96"/>
    <w:rsid w:val="006A0CFB"/>
    <w:rsid w:val="006A2D58"/>
    <w:rsid w:val="006A3866"/>
    <w:rsid w:val="006A45DD"/>
    <w:rsid w:val="006A4C2C"/>
    <w:rsid w:val="006A5075"/>
    <w:rsid w:val="006A6E65"/>
    <w:rsid w:val="006A7D72"/>
    <w:rsid w:val="006B0BC8"/>
    <w:rsid w:val="006B0F63"/>
    <w:rsid w:val="006B26D9"/>
    <w:rsid w:val="006B375F"/>
    <w:rsid w:val="006B381D"/>
    <w:rsid w:val="006B3BBC"/>
    <w:rsid w:val="006B3C4F"/>
    <w:rsid w:val="006B4242"/>
    <w:rsid w:val="006B4A16"/>
    <w:rsid w:val="006B4B9A"/>
    <w:rsid w:val="006B62E7"/>
    <w:rsid w:val="006B7410"/>
    <w:rsid w:val="006B795A"/>
    <w:rsid w:val="006B7AC6"/>
    <w:rsid w:val="006B7CE5"/>
    <w:rsid w:val="006B7E94"/>
    <w:rsid w:val="006C0BFB"/>
    <w:rsid w:val="006C144B"/>
    <w:rsid w:val="006C14CD"/>
    <w:rsid w:val="006C18A0"/>
    <w:rsid w:val="006C19B8"/>
    <w:rsid w:val="006C1A2E"/>
    <w:rsid w:val="006C2F06"/>
    <w:rsid w:val="006C3384"/>
    <w:rsid w:val="006C3A0B"/>
    <w:rsid w:val="006C4E20"/>
    <w:rsid w:val="006C5604"/>
    <w:rsid w:val="006C6894"/>
    <w:rsid w:val="006C793C"/>
    <w:rsid w:val="006D0262"/>
    <w:rsid w:val="006D0668"/>
    <w:rsid w:val="006D1BB7"/>
    <w:rsid w:val="006D2CE9"/>
    <w:rsid w:val="006D5B15"/>
    <w:rsid w:val="006D5BF8"/>
    <w:rsid w:val="006D5EC1"/>
    <w:rsid w:val="006D650E"/>
    <w:rsid w:val="006D6920"/>
    <w:rsid w:val="006D6A4C"/>
    <w:rsid w:val="006D6BD3"/>
    <w:rsid w:val="006D7588"/>
    <w:rsid w:val="006D75F2"/>
    <w:rsid w:val="006E0A19"/>
    <w:rsid w:val="006E14AF"/>
    <w:rsid w:val="006E1582"/>
    <w:rsid w:val="006E1B00"/>
    <w:rsid w:val="006E1DE7"/>
    <w:rsid w:val="006E21EB"/>
    <w:rsid w:val="006E26A6"/>
    <w:rsid w:val="006E2B53"/>
    <w:rsid w:val="006E303D"/>
    <w:rsid w:val="006E41FB"/>
    <w:rsid w:val="006E4D07"/>
    <w:rsid w:val="006E595A"/>
    <w:rsid w:val="006E62BE"/>
    <w:rsid w:val="006E652B"/>
    <w:rsid w:val="006E74B3"/>
    <w:rsid w:val="006F08C0"/>
    <w:rsid w:val="006F154A"/>
    <w:rsid w:val="006F1A15"/>
    <w:rsid w:val="006F2D24"/>
    <w:rsid w:val="006F314C"/>
    <w:rsid w:val="006F3300"/>
    <w:rsid w:val="006F36DE"/>
    <w:rsid w:val="006F3C36"/>
    <w:rsid w:val="006F4827"/>
    <w:rsid w:val="006F5B14"/>
    <w:rsid w:val="006F5C44"/>
    <w:rsid w:val="006F648B"/>
    <w:rsid w:val="006F7EFE"/>
    <w:rsid w:val="007005EF"/>
    <w:rsid w:val="007013F9"/>
    <w:rsid w:val="007018BA"/>
    <w:rsid w:val="007029AC"/>
    <w:rsid w:val="00703085"/>
    <w:rsid w:val="00705867"/>
    <w:rsid w:val="00705A98"/>
    <w:rsid w:val="00706D5B"/>
    <w:rsid w:val="007100FA"/>
    <w:rsid w:val="00711058"/>
    <w:rsid w:val="007112B5"/>
    <w:rsid w:val="00711DDE"/>
    <w:rsid w:val="00713D0A"/>
    <w:rsid w:val="00714131"/>
    <w:rsid w:val="007141C4"/>
    <w:rsid w:val="00714533"/>
    <w:rsid w:val="00714824"/>
    <w:rsid w:val="00715627"/>
    <w:rsid w:val="00716B6A"/>
    <w:rsid w:val="0071700C"/>
    <w:rsid w:val="0071742A"/>
    <w:rsid w:val="0072065E"/>
    <w:rsid w:val="00720869"/>
    <w:rsid w:val="00720C77"/>
    <w:rsid w:val="007210FF"/>
    <w:rsid w:val="00723424"/>
    <w:rsid w:val="00723684"/>
    <w:rsid w:val="00723A1E"/>
    <w:rsid w:val="0072410A"/>
    <w:rsid w:val="00724296"/>
    <w:rsid w:val="00724AA0"/>
    <w:rsid w:val="00725D06"/>
    <w:rsid w:val="007263EA"/>
    <w:rsid w:val="00727768"/>
    <w:rsid w:val="00730CB6"/>
    <w:rsid w:val="00731420"/>
    <w:rsid w:val="0073187C"/>
    <w:rsid w:val="007327A2"/>
    <w:rsid w:val="00732A10"/>
    <w:rsid w:val="0073330A"/>
    <w:rsid w:val="0073409C"/>
    <w:rsid w:val="0073420A"/>
    <w:rsid w:val="00734B58"/>
    <w:rsid w:val="00735F64"/>
    <w:rsid w:val="00736880"/>
    <w:rsid w:val="0073692E"/>
    <w:rsid w:val="00737D99"/>
    <w:rsid w:val="00737DE6"/>
    <w:rsid w:val="00740524"/>
    <w:rsid w:val="00740784"/>
    <w:rsid w:val="007407F6"/>
    <w:rsid w:val="00740841"/>
    <w:rsid w:val="00740C4F"/>
    <w:rsid w:val="00740E15"/>
    <w:rsid w:val="00741869"/>
    <w:rsid w:val="00741E68"/>
    <w:rsid w:val="00742711"/>
    <w:rsid w:val="00742D48"/>
    <w:rsid w:val="007437E9"/>
    <w:rsid w:val="00743CFB"/>
    <w:rsid w:val="007445D4"/>
    <w:rsid w:val="00745448"/>
    <w:rsid w:val="007458EA"/>
    <w:rsid w:val="007466E8"/>
    <w:rsid w:val="00746994"/>
    <w:rsid w:val="00746E81"/>
    <w:rsid w:val="007473F5"/>
    <w:rsid w:val="0074779C"/>
    <w:rsid w:val="00750021"/>
    <w:rsid w:val="00750388"/>
    <w:rsid w:val="00750BE8"/>
    <w:rsid w:val="00750F5C"/>
    <w:rsid w:val="00751083"/>
    <w:rsid w:val="0075157A"/>
    <w:rsid w:val="00751586"/>
    <w:rsid w:val="00751971"/>
    <w:rsid w:val="00752D96"/>
    <w:rsid w:val="007532EB"/>
    <w:rsid w:val="00753CA7"/>
    <w:rsid w:val="00753D05"/>
    <w:rsid w:val="00754611"/>
    <w:rsid w:val="0075618B"/>
    <w:rsid w:val="00756385"/>
    <w:rsid w:val="00756E99"/>
    <w:rsid w:val="00757960"/>
    <w:rsid w:val="00760308"/>
    <w:rsid w:val="00760358"/>
    <w:rsid w:val="00760748"/>
    <w:rsid w:val="00760979"/>
    <w:rsid w:val="00760F29"/>
    <w:rsid w:val="00760FEC"/>
    <w:rsid w:val="00761734"/>
    <w:rsid w:val="00761795"/>
    <w:rsid w:val="007618E6"/>
    <w:rsid w:val="00761AC5"/>
    <w:rsid w:val="007622D6"/>
    <w:rsid w:val="00762F49"/>
    <w:rsid w:val="00762F9C"/>
    <w:rsid w:val="00763580"/>
    <w:rsid w:val="00763D25"/>
    <w:rsid w:val="00764AFA"/>
    <w:rsid w:val="00765410"/>
    <w:rsid w:val="007662E1"/>
    <w:rsid w:val="007711F4"/>
    <w:rsid w:val="0077153F"/>
    <w:rsid w:val="007720BD"/>
    <w:rsid w:val="00772493"/>
    <w:rsid w:val="0077255F"/>
    <w:rsid w:val="00772AEE"/>
    <w:rsid w:val="0077375F"/>
    <w:rsid w:val="00773771"/>
    <w:rsid w:val="007738A3"/>
    <w:rsid w:val="00773DC2"/>
    <w:rsid w:val="007740D0"/>
    <w:rsid w:val="007741D5"/>
    <w:rsid w:val="00774837"/>
    <w:rsid w:val="00776823"/>
    <w:rsid w:val="00776AF4"/>
    <w:rsid w:val="00776D7D"/>
    <w:rsid w:val="007778DD"/>
    <w:rsid w:val="00777AAF"/>
    <w:rsid w:val="00780F68"/>
    <w:rsid w:val="00781C03"/>
    <w:rsid w:val="007844B3"/>
    <w:rsid w:val="0078488C"/>
    <w:rsid w:val="00784EC0"/>
    <w:rsid w:val="00785CC4"/>
    <w:rsid w:val="00786215"/>
    <w:rsid w:val="00786DB6"/>
    <w:rsid w:val="00787234"/>
    <w:rsid w:val="007906CB"/>
    <w:rsid w:val="00790D69"/>
    <w:rsid w:val="0079140F"/>
    <w:rsid w:val="00791530"/>
    <w:rsid w:val="00791D7F"/>
    <w:rsid w:val="00792AC0"/>
    <w:rsid w:val="00792B18"/>
    <w:rsid w:val="007933D9"/>
    <w:rsid w:val="00793638"/>
    <w:rsid w:val="00793918"/>
    <w:rsid w:val="007939E5"/>
    <w:rsid w:val="00793C15"/>
    <w:rsid w:val="00793CEA"/>
    <w:rsid w:val="00793ED4"/>
    <w:rsid w:val="0079425A"/>
    <w:rsid w:val="007950AD"/>
    <w:rsid w:val="00795CF8"/>
    <w:rsid w:val="00795E8B"/>
    <w:rsid w:val="00797B7A"/>
    <w:rsid w:val="00797F2F"/>
    <w:rsid w:val="007A0216"/>
    <w:rsid w:val="007A0E4C"/>
    <w:rsid w:val="007A17A4"/>
    <w:rsid w:val="007A1C98"/>
    <w:rsid w:val="007A1EC3"/>
    <w:rsid w:val="007A32CD"/>
    <w:rsid w:val="007A36AB"/>
    <w:rsid w:val="007A4966"/>
    <w:rsid w:val="007A52CF"/>
    <w:rsid w:val="007A5B99"/>
    <w:rsid w:val="007A7C77"/>
    <w:rsid w:val="007A7F10"/>
    <w:rsid w:val="007B11A9"/>
    <w:rsid w:val="007B13FA"/>
    <w:rsid w:val="007B242A"/>
    <w:rsid w:val="007B2D72"/>
    <w:rsid w:val="007B3F05"/>
    <w:rsid w:val="007B45D4"/>
    <w:rsid w:val="007B6B1D"/>
    <w:rsid w:val="007B7B51"/>
    <w:rsid w:val="007C013C"/>
    <w:rsid w:val="007C073D"/>
    <w:rsid w:val="007C0E78"/>
    <w:rsid w:val="007C1CC5"/>
    <w:rsid w:val="007C1E7A"/>
    <w:rsid w:val="007C2BBD"/>
    <w:rsid w:val="007C31EF"/>
    <w:rsid w:val="007C49D5"/>
    <w:rsid w:val="007C4F4C"/>
    <w:rsid w:val="007C4F5F"/>
    <w:rsid w:val="007C4FB5"/>
    <w:rsid w:val="007C654A"/>
    <w:rsid w:val="007C702C"/>
    <w:rsid w:val="007C7051"/>
    <w:rsid w:val="007D03F4"/>
    <w:rsid w:val="007D1069"/>
    <w:rsid w:val="007D2312"/>
    <w:rsid w:val="007D276F"/>
    <w:rsid w:val="007D2E4E"/>
    <w:rsid w:val="007D387D"/>
    <w:rsid w:val="007D3DD2"/>
    <w:rsid w:val="007D493C"/>
    <w:rsid w:val="007D5239"/>
    <w:rsid w:val="007D57C9"/>
    <w:rsid w:val="007D5A42"/>
    <w:rsid w:val="007D5DF6"/>
    <w:rsid w:val="007D6C03"/>
    <w:rsid w:val="007D7095"/>
    <w:rsid w:val="007D7CE9"/>
    <w:rsid w:val="007E020E"/>
    <w:rsid w:val="007E0289"/>
    <w:rsid w:val="007E0A93"/>
    <w:rsid w:val="007E11B1"/>
    <w:rsid w:val="007E2902"/>
    <w:rsid w:val="007E2CF7"/>
    <w:rsid w:val="007E2E4D"/>
    <w:rsid w:val="007E3164"/>
    <w:rsid w:val="007E32E5"/>
    <w:rsid w:val="007E4500"/>
    <w:rsid w:val="007E53C1"/>
    <w:rsid w:val="007E585D"/>
    <w:rsid w:val="007E5CA0"/>
    <w:rsid w:val="007E5CF6"/>
    <w:rsid w:val="007E7B73"/>
    <w:rsid w:val="007E7C53"/>
    <w:rsid w:val="007F0649"/>
    <w:rsid w:val="007F06F7"/>
    <w:rsid w:val="007F089F"/>
    <w:rsid w:val="007F09A9"/>
    <w:rsid w:val="007F1596"/>
    <w:rsid w:val="007F16EC"/>
    <w:rsid w:val="007F1801"/>
    <w:rsid w:val="007F1BFC"/>
    <w:rsid w:val="007F1D26"/>
    <w:rsid w:val="007F2959"/>
    <w:rsid w:val="007F2B45"/>
    <w:rsid w:val="007F31EB"/>
    <w:rsid w:val="007F4A80"/>
    <w:rsid w:val="007F4F64"/>
    <w:rsid w:val="007F5626"/>
    <w:rsid w:val="007F6353"/>
    <w:rsid w:val="007F6CF9"/>
    <w:rsid w:val="007F76F9"/>
    <w:rsid w:val="007F7CD6"/>
    <w:rsid w:val="00800F11"/>
    <w:rsid w:val="00801005"/>
    <w:rsid w:val="00801979"/>
    <w:rsid w:val="00803502"/>
    <w:rsid w:val="00804496"/>
    <w:rsid w:val="00804995"/>
    <w:rsid w:val="00804B9C"/>
    <w:rsid w:val="00804DCD"/>
    <w:rsid w:val="0080545F"/>
    <w:rsid w:val="008071D7"/>
    <w:rsid w:val="008073F2"/>
    <w:rsid w:val="00807C2F"/>
    <w:rsid w:val="00811544"/>
    <w:rsid w:val="00811FA9"/>
    <w:rsid w:val="00812537"/>
    <w:rsid w:val="00812CB4"/>
    <w:rsid w:val="00812E8B"/>
    <w:rsid w:val="008134AA"/>
    <w:rsid w:val="00813AC9"/>
    <w:rsid w:val="00813BF1"/>
    <w:rsid w:val="00813FA8"/>
    <w:rsid w:val="0081411F"/>
    <w:rsid w:val="0081463C"/>
    <w:rsid w:val="00814C67"/>
    <w:rsid w:val="00816866"/>
    <w:rsid w:val="00817B67"/>
    <w:rsid w:val="00820D76"/>
    <w:rsid w:val="00821262"/>
    <w:rsid w:val="00821694"/>
    <w:rsid w:val="00822ED6"/>
    <w:rsid w:val="00824590"/>
    <w:rsid w:val="008248A1"/>
    <w:rsid w:val="00824E68"/>
    <w:rsid w:val="00826BEB"/>
    <w:rsid w:val="008300B1"/>
    <w:rsid w:val="008312CB"/>
    <w:rsid w:val="00831927"/>
    <w:rsid w:val="008320DD"/>
    <w:rsid w:val="008321FC"/>
    <w:rsid w:val="008323B2"/>
    <w:rsid w:val="008327A4"/>
    <w:rsid w:val="008329F3"/>
    <w:rsid w:val="00833025"/>
    <w:rsid w:val="00833104"/>
    <w:rsid w:val="008340B7"/>
    <w:rsid w:val="008347EB"/>
    <w:rsid w:val="008355C6"/>
    <w:rsid w:val="008355D8"/>
    <w:rsid w:val="00835800"/>
    <w:rsid w:val="00835BFF"/>
    <w:rsid w:val="008360C4"/>
    <w:rsid w:val="00836140"/>
    <w:rsid w:val="008362F5"/>
    <w:rsid w:val="00836598"/>
    <w:rsid w:val="008365D3"/>
    <w:rsid w:val="00837663"/>
    <w:rsid w:val="008408F0"/>
    <w:rsid w:val="00842970"/>
    <w:rsid w:val="008429FB"/>
    <w:rsid w:val="008432CD"/>
    <w:rsid w:val="0084483D"/>
    <w:rsid w:val="00845452"/>
    <w:rsid w:val="008457EC"/>
    <w:rsid w:val="00845A86"/>
    <w:rsid w:val="00846230"/>
    <w:rsid w:val="008467C2"/>
    <w:rsid w:val="00847364"/>
    <w:rsid w:val="00847A44"/>
    <w:rsid w:val="00851002"/>
    <w:rsid w:val="00851984"/>
    <w:rsid w:val="00851BBD"/>
    <w:rsid w:val="008547FD"/>
    <w:rsid w:val="00854E76"/>
    <w:rsid w:val="008557BA"/>
    <w:rsid w:val="00855887"/>
    <w:rsid w:val="00856264"/>
    <w:rsid w:val="00857507"/>
    <w:rsid w:val="00857A63"/>
    <w:rsid w:val="0086025E"/>
    <w:rsid w:val="00860980"/>
    <w:rsid w:val="00860C35"/>
    <w:rsid w:val="0086198B"/>
    <w:rsid w:val="0086256E"/>
    <w:rsid w:val="00862699"/>
    <w:rsid w:val="00862EF6"/>
    <w:rsid w:val="00863062"/>
    <w:rsid w:val="00863A79"/>
    <w:rsid w:val="00864066"/>
    <w:rsid w:val="00864CE7"/>
    <w:rsid w:val="00865B10"/>
    <w:rsid w:val="008701D3"/>
    <w:rsid w:val="008703D6"/>
    <w:rsid w:val="008707FC"/>
    <w:rsid w:val="00870B2C"/>
    <w:rsid w:val="00871364"/>
    <w:rsid w:val="00871458"/>
    <w:rsid w:val="00871B5C"/>
    <w:rsid w:val="00872983"/>
    <w:rsid w:val="008729D2"/>
    <w:rsid w:val="00873191"/>
    <w:rsid w:val="0087398D"/>
    <w:rsid w:val="00875554"/>
    <w:rsid w:val="00875DDE"/>
    <w:rsid w:val="008764D3"/>
    <w:rsid w:val="00877777"/>
    <w:rsid w:val="0088026C"/>
    <w:rsid w:val="00882B37"/>
    <w:rsid w:val="00883706"/>
    <w:rsid w:val="008841F3"/>
    <w:rsid w:val="0088422C"/>
    <w:rsid w:val="00885B24"/>
    <w:rsid w:val="00885E81"/>
    <w:rsid w:val="00886E99"/>
    <w:rsid w:val="008875D3"/>
    <w:rsid w:val="00887C0D"/>
    <w:rsid w:val="0089090B"/>
    <w:rsid w:val="00891A28"/>
    <w:rsid w:val="00892510"/>
    <w:rsid w:val="00892AF1"/>
    <w:rsid w:val="00893C76"/>
    <w:rsid w:val="00894026"/>
    <w:rsid w:val="00894691"/>
    <w:rsid w:val="0089524C"/>
    <w:rsid w:val="008963EC"/>
    <w:rsid w:val="008969A7"/>
    <w:rsid w:val="0089719B"/>
    <w:rsid w:val="008975FE"/>
    <w:rsid w:val="008A1272"/>
    <w:rsid w:val="008A1B4F"/>
    <w:rsid w:val="008A1DC0"/>
    <w:rsid w:val="008A352E"/>
    <w:rsid w:val="008A36AA"/>
    <w:rsid w:val="008A3CD0"/>
    <w:rsid w:val="008A4A2B"/>
    <w:rsid w:val="008A61BD"/>
    <w:rsid w:val="008A622A"/>
    <w:rsid w:val="008A6B0B"/>
    <w:rsid w:val="008A7EC9"/>
    <w:rsid w:val="008B2069"/>
    <w:rsid w:val="008B23B1"/>
    <w:rsid w:val="008B273B"/>
    <w:rsid w:val="008B2B04"/>
    <w:rsid w:val="008B33C2"/>
    <w:rsid w:val="008B39E1"/>
    <w:rsid w:val="008B3BB9"/>
    <w:rsid w:val="008B440F"/>
    <w:rsid w:val="008B567A"/>
    <w:rsid w:val="008B67A9"/>
    <w:rsid w:val="008B7363"/>
    <w:rsid w:val="008B736A"/>
    <w:rsid w:val="008B7C3E"/>
    <w:rsid w:val="008B7D4B"/>
    <w:rsid w:val="008C0F89"/>
    <w:rsid w:val="008C1B55"/>
    <w:rsid w:val="008C206B"/>
    <w:rsid w:val="008C29C9"/>
    <w:rsid w:val="008C3D83"/>
    <w:rsid w:val="008C3E14"/>
    <w:rsid w:val="008C48F2"/>
    <w:rsid w:val="008C49C0"/>
    <w:rsid w:val="008C610D"/>
    <w:rsid w:val="008C6E3A"/>
    <w:rsid w:val="008C7058"/>
    <w:rsid w:val="008D0F39"/>
    <w:rsid w:val="008D10D1"/>
    <w:rsid w:val="008D135B"/>
    <w:rsid w:val="008D2DBF"/>
    <w:rsid w:val="008D5AA5"/>
    <w:rsid w:val="008D605C"/>
    <w:rsid w:val="008D6774"/>
    <w:rsid w:val="008D6B04"/>
    <w:rsid w:val="008E09D9"/>
    <w:rsid w:val="008E1005"/>
    <w:rsid w:val="008E199B"/>
    <w:rsid w:val="008E33C8"/>
    <w:rsid w:val="008E38E1"/>
    <w:rsid w:val="008E41AB"/>
    <w:rsid w:val="008E4296"/>
    <w:rsid w:val="008E51ED"/>
    <w:rsid w:val="008E6266"/>
    <w:rsid w:val="008E65D8"/>
    <w:rsid w:val="008E65F0"/>
    <w:rsid w:val="008E67F2"/>
    <w:rsid w:val="008E684C"/>
    <w:rsid w:val="008E7610"/>
    <w:rsid w:val="008F134D"/>
    <w:rsid w:val="008F1B61"/>
    <w:rsid w:val="008F1BC0"/>
    <w:rsid w:val="008F1EB4"/>
    <w:rsid w:val="008F249E"/>
    <w:rsid w:val="008F2645"/>
    <w:rsid w:val="008F36C5"/>
    <w:rsid w:val="008F447C"/>
    <w:rsid w:val="008F57D4"/>
    <w:rsid w:val="008F7A95"/>
    <w:rsid w:val="0090014B"/>
    <w:rsid w:val="00900C3A"/>
    <w:rsid w:val="00900C81"/>
    <w:rsid w:val="00901CA1"/>
    <w:rsid w:val="00902031"/>
    <w:rsid w:val="0090241A"/>
    <w:rsid w:val="00902454"/>
    <w:rsid w:val="00902B86"/>
    <w:rsid w:val="00902EF8"/>
    <w:rsid w:val="00903514"/>
    <w:rsid w:val="00906C56"/>
    <w:rsid w:val="009079AF"/>
    <w:rsid w:val="00907CCC"/>
    <w:rsid w:val="0091021E"/>
    <w:rsid w:val="00910312"/>
    <w:rsid w:val="00910DF3"/>
    <w:rsid w:val="00911A9E"/>
    <w:rsid w:val="00911F13"/>
    <w:rsid w:val="00912634"/>
    <w:rsid w:val="00913198"/>
    <w:rsid w:val="00913648"/>
    <w:rsid w:val="00913A1B"/>
    <w:rsid w:val="009142A4"/>
    <w:rsid w:val="00914AD3"/>
    <w:rsid w:val="00915950"/>
    <w:rsid w:val="00915C49"/>
    <w:rsid w:val="0091601A"/>
    <w:rsid w:val="009179A9"/>
    <w:rsid w:val="00920092"/>
    <w:rsid w:val="0092065B"/>
    <w:rsid w:val="009212A9"/>
    <w:rsid w:val="00921EA1"/>
    <w:rsid w:val="00921F4A"/>
    <w:rsid w:val="00922668"/>
    <w:rsid w:val="00922757"/>
    <w:rsid w:val="00923136"/>
    <w:rsid w:val="0092591B"/>
    <w:rsid w:val="00926400"/>
    <w:rsid w:val="0092681D"/>
    <w:rsid w:val="00926B58"/>
    <w:rsid w:val="00926CA8"/>
    <w:rsid w:val="0092780E"/>
    <w:rsid w:val="00927BCF"/>
    <w:rsid w:val="00930F0E"/>
    <w:rsid w:val="0093138C"/>
    <w:rsid w:val="009313B8"/>
    <w:rsid w:val="00931D52"/>
    <w:rsid w:val="0093204E"/>
    <w:rsid w:val="0093273B"/>
    <w:rsid w:val="00933069"/>
    <w:rsid w:val="00933C94"/>
    <w:rsid w:val="009346C4"/>
    <w:rsid w:val="00934AFE"/>
    <w:rsid w:val="00935DEE"/>
    <w:rsid w:val="009360EF"/>
    <w:rsid w:val="00936830"/>
    <w:rsid w:val="00936CBB"/>
    <w:rsid w:val="00937E66"/>
    <w:rsid w:val="009408D7"/>
    <w:rsid w:val="0094151A"/>
    <w:rsid w:val="00942E0C"/>
    <w:rsid w:val="009431E6"/>
    <w:rsid w:val="00943321"/>
    <w:rsid w:val="009434DA"/>
    <w:rsid w:val="0094391F"/>
    <w:rsid w:val="00943AC9"/>
    <w:rsid w:val="009440F7"/>
    <w:rsid w:val="00945C97"/>
    <w:rsid w:val="0094658A"/>
    <w:rsid w:val="00946E9D"/>
    <w:rsid w:val="00947C2B"/>
    <w:rsid w:val="0095183B"/>
    <w:rsid w:val="00952751"/>
    <w:rsid w:val="00952DEC"/>
    <w:rsid w:val="00954AC6"/>
    <w:rsid w:val="00955586"/>
    <w:rsid w:val="00955C3F"/>
    <w:rsid w:val="00957138"/>
    <w:rsid w:val="00957315"/>
    <w:rsid w:val="00957877"/>
    <w:rsid w:val="00960018"/>
    <w:rsid w:val="009606B4"/>
    <w:rsid w:val="00960720"/>
    <w:rsid w:val="00960FC4"/>
    <w:rsid w:val="009611CA"/>
    <w:rsid w:val="00961901"/>
    <w:rsid w:val="00962A3B"/>
    <w:rsid w:val="00962F3D"/>
    <w:rsid w:val="009633FC"/>
    <w:rsid w:val="00963598"/>
    <w:rsid w:val="00963D95"/>
    <w:rsid w:val="009641EE"/>
    <w:rsid w:val="00964AA6"/>
    <w:rsid w:val="00964AD5"/>
    <w:rsid w:val="00965BF4"/>
    <w:rsid w:val="0096607A"/>
    <w:rsid w:val="0096654B"/>
    <w:rsid w:val="00966FF4"/>
    <w:rsid w:val="00970565"/>
    <w:rsid w:val="00970F8F"/>
    <w:rsid w:val="009718E1"/>
    <w:rsid w:val="0097225B"/>
    <w:rsid w:val="00972616"/>
    <w:rsid w:val="00972D30"/>
    <w:rsid w:val="00973614"/>
    <w:rsid w:val="0097461E"/>
    <w:rsid w:val="009755B7"/>
    <w:rsid w:val="00975782"/>
    <w:rsid w:val="0097742E"/>
    <w:rsid w:val="00980747"/>
    <w:rsid w:val="009813AE"/>
    <w:rsid w:val="00981827"/>
    <w:rsid w:val="00981BCC"/>
    <w:rsid w:val="009830C1"/>
    <w:rsid w:val="00983148"/>
    <w:rsid w:val="009836F2"/>
    <w:rsid w:val="0098507C"/>
    <w:rsid w:val="00986FB0"/>
    <w:rsid w:val="009873ED"/>
    <w:rsid w:val="009876F0"/>
    <w:rsid w:val="00987B1C"/>
    <w:rsid w:val="00990293"/>
    <w:rsid w:val="00992310"/>
    <w:rsid w:val="00992BC3"/>
    <w:rsid w:val="00993E1A"/>
    <w:rsid w:val="00994ADF"/>
    <w:rsid w:val="009964AC"/>
    <w:rsid w:val="009964C9"/>
    <w:rsid w:val="00997D22"/>
    <w:rsid w:val="009A0875"/>
    <w:rsid w:val="009A0E48"/>
    <w:rsid w:val="009A1ABD"/>
    <w:rsid w:val="009A1B49"/>
    <w:rsid w:val="009A2C3B"/>
    <w:rsid w:val="009A3ED7"/>
    <w:rsid w:val="009A5923"/>
    <w:rsid w:val="009A5B08"/>
    <w:rsid w:val="009A649C"/>
    <w:rsid w:val="009A6C73"/>
    <w:rsid w:val="009A7B20"/>
    <w:rsid w:val="009A7C6F"/>
    <w:rsid w:val="009B02D8"/>
    <w:rsid w:val="009B1938"/>
    <w:rsid w:val="009B1C26"/>
    <w:rsid w:val="009B1EDA"/>
    <w:rsid w:val="009B2A96"/>
    <w:rsid w:val="009B40C2"/>
    <w:rsid w:val="009B5A99"/>
    <w:rsid w:val="009B6177"/>
    <w:rsid w:val="009B6DF9"/>
    <w:rsid w:val="009B7109"/>
    <w:rsid w:val="009B7A14"/>
    <w:rsid w:val="009B7F95"/>
    <w:rsid w:val="009C0977"/>
    <w:rsid w:val="009C0D69"/>
    <w:rsid w:val="009C1949"/>
    <w:rsid w:val="009C1A39"/>
    <w:rsid w:val="009C2D51"/>
    <w:rsid w:val="009C3A05"/>
    <w:rsid w:val="009C3A11"/>
    <w:rsid w:val="009C3B9B"/>
    <w:rsid w:val="009C3D03"/>
    <w:rsid w:val="009C3E67"/>
    <w:rsid w:val="009C4396"/>
    <w:rsid w:val="009C4DA0"/>
    <w:rsid w:val="009C52D6"/>
    <w:rsid w:val="009C5F7A"/>
    <w:rsid w:val="009C6361"/>
    <w:rsid w:val="009C735B"/>
    <w:rsid w:val="009C7527"/>
    <w:rsid w:val="009C7A11"/>
    <w:rsid w:val="009D025C"/>
    <w:rsid w:val="009D03DF"/>
    <w:rsid w:val="009D0546"/>
    <w:rsid w:val="009D198F"/>
    <w:rsid w:val="009D3A1E"/>
    <w:rsid w:val="009D3C26"/>
    <w:rsid w:val="009D449E"/>
    <w:rsid w:val="009D488C"/>
    <w:rsid w:val="009D5018"/>
    <w:rsid w:val="009D50BD"/>
    <w:rsid w:val="009D5D85"/>
    <w:rsid w:val="009D6265"/>
    <w:rsid w:val="009E04E8"/>
    <w:rsid w:val="009E0D98"/>
    <w:rsid w:val="009E13E5"/>
    <w:rsid w:val="009E14D7"/>
    <w:rsid w:val="009E1B2B"/>
    <w:rsid w:val="009E253D"/>
    <w:rsid w:val="009E2810"/>
    <w:rsid w:val="009E2CD4"/>
    <w:rsid w:val="009E309B"/>
    <w:rsid w:val="009E43D9"/>
    <w:rsid w:val="009E4613"/>
    <w:rsid w:val="009E5A14"/>
    <w:rsid w:val="009E5A8B"/>
    <w:rsid w:val="009E6ABD"/>
    <w:rsid w:val="009E6C2E"/>
    <w:rsid w:val="009E6CE0"/>
    <w:rsid w:val="009E72C6"/>
    <w:rsid w:val="009E7655"/>
    <w:rsid w:val="009E779C"/>
    <w:rsid w:val="009F1857"/>
    <w:rsid w:val="009F3A70"/>
    <w:rsid w:val="009F457A"/>
    <w:rsid w:val="009F4B32"/>
    <w:rsid w:val="009F4BCB"/>
    <w:rsid w:val="009F4DD0"/>
    <w:rsid w:val="009F50C0"/>
    <w:rsid w:val="009F53B4"/>
    <w:rsid w:val="009F575C"/>
    <w:rsid w:val="009F57D3"/>
    <w:rsid w:val="009F5D4A"/>
    <w:rsid w:val="009F6538"/>
    <w:rsid w:val="009F7336"/>
    <w:rsid w:val="009F78CE"/>
    <w:rsid w:val="00A007AE"/>
    <w:rsid w:val="00A008E8"/>
    <w:rsid w:val="00A00B0C"/>
    <w:rsid w:val="00A00E78"/>
    <w:rsid w:val="00A01BC8"/>
    <w:rsid w:val="00A024CB"/>
    <w:rsid w:val="00A02E26"/>
    <w:rsid w:val="00A03082"/>
    <w:rsid w:val="00A03737"/>
    <w:rsid w:val="00A04149"/>
    <w:rsid w:val="00A04824"/>
    <w:rsid w:val="00A04BAB"/>
    <w:rsid w:val="00A0573E"/>
    <w:rsid w:val="00A071CA"/>
    <w:rsid w:val="00A07384"/>
    <w:rsid w:val="00A107DB"/>
    <w:rsid w:val="00A1240E"/>
    <w:rsid w:val="00A13BF3"/>
    <w:rsid w:val="00A13D7C"/>
    <w:rsid w:val="00A1400C"/>
    <w:rsid w:val="00A14BD8"/>
    <w:rsid w:val="00A14EE4"/>
    <w:rsid w:val="00A156FD"/>
    <w:rsid w:val="00A15F9B"/>
    <w:rsid w:val="00A16059"/>
    <w:rsid w:val="00A16D51"/>
    <w:rsid w:val="00A20181"/>
    <w:rsid w:val="00A206D0"/>
    <w:rsid w:val="00A20EA1"/>
    <w:rsid w:val="00A20F0C"/>
    <w:rsid w:val="00A21805"/>
    <w:rsid w:val="00A232E2"/>
    <w:rsid w:val="00A23304"/>
    <w:rsid w:val="00A23934"/>
    <w:rsid w:val="00A24E2D"/>
    <w:rsid w:val="00A25E32"/>
    <w:rsid w:val="00A26266"/>
    <w:rsid w:val="00A26E12"/>
    <w:rsid w:val="00A271F9"/>
    <w:rsid w:val="00A2730A"/>
    <w:rsid w:val="00A2734D"/>
    <w:rsid w:val="00A27FBD"/>
    <w:rsid w:val="00A31265"/>
    <w:rsid w:val="00A31A7A"/>
    <w:rsid w:val="00A32589"/>
    <w:rsid w:val="00A32CF0"/>
    <w:rsid w:val="00A33884"/>
    <w:rsid w:val="00A33A07"/>
    <w:rsid w:val="00A3467C"/>
    <w:rsid w:val="00A34A6E"/>
    <w:rsid w:val="00A34D41"/>
    <w:rsid w:val="00A357FE"/>
    <w:rsid w:val="00A368D2"/>
    <w:rsid w:val="00A36BEC"/>
    <w:rsid w:val="00A37088"/>
    <w:rsid w:val="00A37218"/>
    <w:rsid w:val="00A40113"/>
    <w:rsid w:val="00A41004"/>
    <w:rsid w:val="00A417CA"/>
    <w:rsid w:val="00A41E1B"/>
    <w:rsid w:val="00A42E5C"/>
    <w:rsid w:val="00A432EA"/>
    <w:rsid w:val="00A43BD7"/>
    <w:rsid w:val="00A440AC"/>
    <w:rsid w:val="00A45830"/>
    <w:rsid w:val="00A45898"/>
    <w:rsid w:val="00A4658B"/>
    <w:rsid w:val="00A46E8C"/>
    <w:rsid w:val="00A5136E"/>
    <w:rsid w:val="00A5157E"/>
    <w:rsid w:val="00A51B3A"/>
    <w:rsid w:val="00A52AFB"/>
    <w:rsid w:val="00A53E98"/>
    <w:rsid w:val="00A55043"/>
    <w:rsid w:val="00A569E4"/>
    <w:rsid w:val="00A572A0"/>
    <w:rsid w:val="00A579AC"/>
    <w:rsid w:val="00A57B2A"/>
    <w:rsid w:val="00A6064B"/>
    <w:rsid w:val="00A62060"/>
    <w:rsid w:val="00A62434"/>
    <w:rsid w:val="00A62679"/>
    <w:rsid w:val="00A63D82"/>
    <w:rsid w:val="00A676AD"/>
    <w:rsid w:val="00A67E47"/>
    <w:rsid w:val="00A70121"/>
    <w:rsid w:val="00A701B0"/>
    <w:rsid w:val="00A70648"/>
    <w:rsid w:val="00A70EAB"/>
    <w:rsid w:val="00A713B2"/>
    <w:rsid w:val="00A71452"/>
    <w:rsid w:val="00A71C7B"/>
    <w:rsid w:val="00A721B9"/>
    <w:rsid w:val="00A721BC"/>
    <w:rsid w:val="00A7260B"/>
    <w:rsid w:val="00A73A30"/>
    <w:rsid w:val="00A75BFC"/>
    <w:rsid w:val="00A75E3A"/>
    <w:rsid w:val="00A767B2"/>
    <w:rsid w:val="00A768F4"/>
    <w:rsid w:val="00A776A6"/>
    <w:rsid w:val="00A776B9"/>
    <w:rsid w:val="00A77C5A"/>
    <w:rsid w:val="00A8055B"/>
    <w:rsid w:val="00A80840"/>
    <w:rsid w:val="00A80AA2"/>
    <w:rsid w:val="00A82213"/>
    <w:rsid w:val="00A8295A"/>
    <w:rsid w:val="00A82F6A"/>
    <w:rsid w:val="00A8363B"/>
    <w:rsid w:val="00A836EB"/>
    <w:rsid w:val="00A83BE8"/>
    <w:rsid w:val="00A83D69"/>
    <w:rsid w:val="00A84499"/>
    <w:rsid w:val="00A853AD"/>
    <w:rsid w:val="00A91B63"/>
    <w:rsid w:val="00A91F92"/>
    <w:rsid w:val="00A9228C"/>
    <w:rsid w:val="00A92869"/>
    <w:rsid w:val="00A92883"/>
    <w:rsid w:val="00A92FFE"/>
    <w:rsid w:val="00A9571D"/>
    <w:rsid w:val="00A95979"/>
    <w:rsid w:val="00A95985"/>
    <w:rsid w:val="00A9599A"/>
    <w:rsid w:val="00A95E1C"/>
    <w:rsid w:val="00A96E56"/>
    <w:rsid w:val="00AA1E0E"/>
    <w:rsid w:val="00AA27F8"/>
    <w:rsid w:val="00AA3587"/>
    <w:rsid w:val="00AA459A"/>
    <w:rsid w:val="00AA47FE"/>
    <w:rsid w:val="00AA497B"/>
    <w:rsid w:val="00AA64C6"/>
    <w:rsid w:val="00AA6967"/>
    <w:rsid w:val="00AA6995"/>
    <w:rsid w:val="00AA7404"/>
    <w:rsid w:val="00AB0AA5"/>
    <w:rsid w:val="00AB1089"/>
    <w:rsid w:val="00AB122D"/>
    <w:rsid w:val="00AB25A5"/>
    <w:rsid w:val="00AB2717"/>
    <w:rsid w:val="00AB3F26"/>
    <w:rsid w:val="00AB4689"/>
    <w:rsid w:val="00AB54C7"/>
    <w:rsid w:val="00AB5C04"/>
    <w:rsid w:val="00AB699C"/>
    <w:rsid w:val="00AB6A90"/>
    <w:rsid w:val="00AB701B"/>
    <w:rsid w:val="00AB7B70"/>
    <w:rsid w:val="00AC0EB5"/>
    <w:rsid w:val="00AC178D"/>
    <w:rsid w:val="00AC1BAD"/>
    <w:rsid w:val="00AC25BF"/>
    <w:rsid w:val="00AC271E"/>
    <w:rsid w:val="00AC28E9"/>
    <w:rsid w:val="00AC32A5"/>
    <w:rsid w:val="00AC36A1"/>
    <w:rsid w:val="00AC3C5D"/>
    <w:rsid w:val="00AC5C27"/>
    <w:rsid w:val="00AC6340"/>
    <w:rsid w:val="00AC6932"/>
    <w:rsid w:val="00AC6CA4"/>
    <w:rsid w:val="00AC7C08"/>
    <w:rsid w:val="00AD0881"/>
    <w:rsid w:val="00AD09F3"/>
    <w:rsid w:val="00AD2CC3"/>
    <w:rsid w:val="00AD2E18"/>
    <w:rsid w:val="00AD2ECE"/>
    <w:rsid w:val="00AD34F1"/>
    <w:rsid w:val="00AD367A"/>
    <w:rsid w:val="00AD3EAC"/>
    <w:rsid w:val="00AD450B"/>
    <w:rsid w:val="00AD5300"/>
    <w:rsid w:val="00AD6809"/>
    <w:rsid w:val="00AD6B89"/>
    <w:rsid w:val="00AD7048"/>
    <w:rsid w:val="00AD7277"/>
    <w:rsid w:val="00AD74D3"/>
    <w:rsid w:val="00AD7B42"/>
    <w:rsid w:val="00AE0263"/>
    <w:rsid w:val="00AE039B"/>
    <w:rsid w:val="00AE0CC1"/>
    <w:rsid w:val="00AE0EE2"/>
    <w:rsid w:val="00AE10F8"/>
    <w:rsid w:val="00AE140A"/>
    <w:rsid w:val="00AE1A93"/>
    <w:rsid w:val="00AE1C68"/>
    <w:rsid w:val="00AE1F92"/>
    <w:rsid w:val="00AE22E6"/>
    <w:rsid w:val="00AE23CF"/>
    <w:rsid w:val="00AE2B3F"/>
    <w:rsid w:val="00AE3575"/>
    <w:rsid w:val="00AE62B0"/>
    <w:rsid w:val="00AF0C87"/>
    <w:rsid w:val="00AF1210"/>
    <w:rsid w:val="00AF14F1"/>
    <w:rsid w:val="00AF1738"/>
    <w:rsid w:val="00AF1829"/>
    <w:rsid w:val="00AF1C48"/>
    <w:rsid w:val="00AF297A"/>
    <w:rsid w:val="00AF2C67"/>
    <w:rsid w:val="00AF5AE7"/>
    <w:rsid w:val="00AF62DF"/>
    <w:rsid w:val="00AF6BD2"/>
    <w:rsid w:val="00AF7529"/>
    <w:rsid w:val="00AF75A9"/>
    <w:rsid w:val="00AF761D"/>
    <w:rsid w:val="00AF7B61"/>
    <w:rsid w:val="00AF7B7D"/>
    <w:rsid w:val="00AF7E71"/>
    <w:rsid w:val="00B006C7"/>
    <w:rsid w:val="00B00D51"/>
    <w:rsid w:val="00B01C6D"/>
    <w:rsid w:val="00B0269D"/>
    <w:rsid w:val="00B026AF"/>
    <w:rsid w:val="00B02EB2"/>
    <w:rsid w:val="00B0366C"/>
    <w:rsid w:val="00B03E5D"/>
    <w:rsid w:val="00B0433F"/>
    <w:rsid w:val="00B0537C"/>
    <w:rsid w:val="00B0634F"/>
    <w:rsid w:val="00B06DA7"/>
    <w:rsid w:val="00B06EDD"/>
    <w:rsid w:val="00B07961"/>
    <w:rsid w:val="00B07E32"/>
    <w:rsid w:val="00B10329"/>
    <w:rsid w:val="00B10B07"/>
    <w:rsid w:val="00B11375"/>
    <w:rsid w:val="00B12096"/>
    <w:rsid w:val="00B12A61"/>
    <w:rsid w:val="00B139C1"/>
    <w:rsid w:val="00B13C4B"/>
    <w:rsid w:val="00B14265"/>
    <w:rsid w:val="00B1584D"/>
    <w:rsid w:val="00B160D1"/>
    <w:rsid w:val="00B166B4"/>
    <w:rsid w:val="00B16DED"/>
    <w:rsid w:val="00B173DE"/>
    <w:rsid w:val="00B212B8"/>
    <w:rsid w:val="00B218EE"/>
    <w:rsid w:val="00B21B1F"/>
    <w:rsid w:val="00B22B31"/>
    <w:rsid w:val="00B23AC8"/>
    <w:rsid w:val="00B2445C"/>
    <w:rsid w:val="00B25722"/>
    <w:rsid w:val="00B25E8B"/>
    <w:rsid w:val="00B25F9C"/>
    <w:rsid w:val="00B26591"/>
    <w:rsid w:val="00B26AD3"/>
    <w:rsid w:val="00B26D52"/>
    <w:rsid w:val="00B30443"/>
    <w:rsid w:val="00B30671"/>
    <w:rsid w:val="00B31A71"/>
    <w:rsid w:val="00B329B5"/>
    <w:rsid w:val="00B3316C"/>
    <w:rsid w:val="00B338F6"/>
    <w:rsid w:val="00B33D8B"/>
    <w:rsid w:val="00B34099"/>
    <w:rsid w:val="00B356B8"/>
    <w:rsid w:val="00B408A0"/>
    <w:rsid w:val="00B411E6"/>
    <w:rsid w:val="00B427C4"/>
    <w:rsid w:val="00B4336A"/>
    <w:rsid w:val="00B43948"/>
    <w:rsid w:val="00B44BA6"/>
    <w:rsid w:val="00B45DF9"/>
    <w:rsid w:val="00B479CD"/>
    <w:rsid w:val="00B47BD2"/>
    <w:rsid w:val="00B47F97"/>
    <w:rsid w:val="00B505FD"/>
    <w:rsid w:val="00B52458"/>
    <w:rsid w:val="00B52A12"/>
    <w:rsid w:val="00B531AD"/>
    <w:rsid w:val="00B5336D"/>
    <w:rsid w:val="00B53606"/>
    <w:rsid w:val="00B53AEF"/>
    <w:rsid w:val="00B53F8D"/>
    <w:rsid w:val="00B55170"/>
    <w:rsid w:val="00B558C4"/>
    <w:rsid w:val="00B55B51"/>
    <w:rsid w:val="00B565B7"/>
    <w:rsid w:val="00B56992"/>
    <w:rsid w:val="00B574F7"/>
    <w:rsid w:val="00B57562"/>
    <w:rsid w:val="00B57A03"/>
    <w:rsid w:val="00B57AB8"/>
    <w:rsid w:val="00B57EC7"/>
    <w:rsid w:val="00B609B9"/>
    <w:rsid w:val="00B60DC4"/>
    <w:rsid w:val="00B621D0"/>
    <w:rsid w:val="00B638CC"/>
    <w:rsid w:val="00B6554C"/>
    <w:rsid w:val="00B659E1"/>
    <w:rsid w:val="00B65F4A"/>
    <w:rsid w:val="00B664E5"/>
    <w:rsid w:val="00B66C52"/>
    <w:rsid w:val="00B70C27"/>
    <w:rsid w:val="00B71988"/>
    <w:rsid w:val="00B746B5"/>
    <w:rsid w:val="00B757EA"/>
    <w:rsid w:val="00B75889"/>
    <w:rsid w:val="00B75DD4"/>
    <w:rsid w:val="00B7674A"/>
    <w:rsid w:val="00B77787"/>
    <w:rsid w:val="00B77A99"/>
    <w:rsid w:val="00B80233"/>
    <w:rsid w:val="00B80765"/>
    <w:rsid w:val="00B817C8"/>
    <w:rsid w:val="00B818BF"/>
    <w:rsid w:val="00B818C6"/>
    <w:rsid w:val="00B81F95"/>
    <w:rsid w:val="00B83397"/>
    <w:rsid w:val="00B84713"/>
    <w:rsid w:val="00B855BC"/>
    <w:rsid w:val="00B856E7"/>
    <w:rsid w:val="00B85D15"/>
    <w:rsid w:val="00B86DB7"/>
    <w:rsid w:val="00B87A2A"/>
    <w:rsid w:val="00B90A05"/>
    <w:rsid w:val="00B90B2C"/>
    <w:rsid w:val="00B90E31"/>
    <w:rsid w:val="00B911B1"/>
    <w:rsid w:val="00B92436"/>
    <w:rsid w:val="00B92784"/>
    <w:rsid w:val="00B92862"/>
    <w:rsid w:val="00B92EEE"/>
    <w:rsid w:val="00B93333"/>
    <w:rsid w:val="00B93B07"/>
    <w:rsid w:val="00B94427"/>
    <w:rsid w:val="00B9547D"/>
    <w:rsid w:val="00B9604C"/>
    <w:rsid w:val="00B96EDE"/>
    <w:rsid w:val="00B973EC"/>
    <w:rsid w:val="00BA054A"/>
    <w:rsid w:val="00BA05D6"/>
    <w:rsid w:val="00BA16AF"/>
    <w:rsid w:val="00BA20DE"/>
    <w:rsid w:val="00BA2480"/>
    <w:rsid w:val="00BA266C"/>
    <w:rsid w:val="00BA2AD6"/>
    <w:rsid w:val="00BA5B26"/>
    <w:rsid w:val="00BA5B86"/>
    <w:rsid w:val="00BA5C96"/>
    <w:rsid w:val="00BA5CDD"/>
    <w:rsid w:val="00BA6224"/>
    <w:rsid w:val="00BA6573"/>
    <w:rsid w:val="00BA6AA7"/>
    <w:rsid w:val="00BA7653"/>
    <w:rsid w:val="00BA7A39"/>
    <w:rsid w:val="00BB0032"/>
    <w:rsid w:val="00BB0553"/>
    <w:rsid w:val="00BB10E4"/>
    <w:rsid w:val="00BB1699"/>
    <w:rsid w:val="00BB1866"/>
    <w:rsid w:val="00BB1B73"/>
    <w:rsid w:val="00BB2151"/>
    <w:rsid w:val="00BB3070"/>
    <w:rsid w:val="00BB3A0D"/>
    <w:rsid w:val="00BB3D65"/>
    <w:rsid w:val="00BB4EAF"/>
    <w:rsid w:val="00BB579F"/>
    <w:rsid w:val="00BB5B99"/>
    <w:rsid w:val="00BB5CA5"/>
    <w:rsid w:val="00BB5EEC"/>
    <w:rsid w:val="00BB72E9"/>
    <w:rsid w:val="00BC0246"/>
    <w:rsid w:val="00BC1175"/>
    <w:rsid w:val="00BC11EF"/>
    <w:rsid w:val="00BC1914"/>
    <w:rsid w:val="00BC257A"/>
    <w:rsid w:val="00BC2EBB"/>
    <w:rsid w:val="00BC32CA"/>
    <w:rsid w:val="00BC3E4A"/>
    <w:rsid w:val="00BC3F46"/>
    <w:rsid w:val="00BC4635"/>
    <w:rsid w:val="00BC533F"/>
    <w:rsid w:val="00BC62A5"/>
    <w:rsid w:val="00BD25B9"/>
    <w:rsid w:val="00BD5C59"/>
    <w:rsid w:val="00BD5D10"/>
    <w:rsid w:val="00BD6F6E"/>
    <w:rsid w:val="00BE0AF6"/>
    <w:rsid w:val="00BE189E"/>
    <w:rsid w:val="00BE1FBE"/>
    <w:rsid w:val="00BE2083"/>
    <w:rsid w:val="00BE3396"/>
    <w:rsid w:val="00BE3695"/>
    <w:rsid w:val="00BE3773"/>
    <w:rsid w:val="00BE3941"/>
    <w:rsid w:val="00BE4568"/>
    <w:rsid w:val="00BE47FD"/>
    <w:rsid w:val="00BE5034"/>
    <w:rsid w:val="00BE5E98"/>
    <w:rsid w:val="00BE61AA"/>
    <w:rsid w:val="00BF0FC0"/>
    <w:rsid w:val="00BF0FD6"/>
    <w:rsid w:val="00BF1267"/>
    <w:rsid w:val="00BF16F4"/>
    <w:rsid w:val="00BF20E3"/>
    <w:rsid w:val="00BF2446"/>
    <w:rsid w:val="00BF28B1"/>
    <w:rsid w:val="00BF2D45"/>
    <w:rsid w:val="00BF2F68"/>
    <w:rsid w:val="00BF39AE"/>
    <w:rsid w:val="00BF3A98"/>
    <w:rsid w:val="00BF3E19"/>
    <w:rsid w:val="00BF4223"/>
    <w:rsid w:val="00BF43E8"/>
    <w:rsid w:val="00BF48D7"/>
    <w:rsid w:val="00BF49E4"/>
    <w:rsid w:val="00BF56A1"/>
    <w:rsid w:val="00BF5AF8"/>
    <w:rsid w:val="00C00689"/>
    <w:rsid w:val="00C00BC5"/>
    <w:rsid w:val="00C010DF"/>
    <w:rsid w:val="00C0139C"/>
    <w:rsid w:val="00C021EC"/>
    <w:rsid w:val="00C030CF"/>
    <w:rsid w:val="00C03F80"/>
    <w:rsid w:val="00C0434F"/>
    <w:rsid w:val="00C04530"/>
    <w:rsid w:val="00C05218"/>
    <w:rsid w:val="00C05FC3"/>
    <w:rsid w:val="00C06064"/>
    <w:rsid w:val="00C061D8"/>
    <w:rsid w:val="00C06A3B"/>
    <w:rsid w:val="00C07199"/>
    <w:rsid w:val="00C07355"/>
    <w:rsid w:val="00C075E9"/>
    <w:rsid w:val="00C0798C"/>
    <w:rsid w:val="00C07F8D"/>
    <w:rsid w:val="00C10C24"/>
    <w:rsid w:val="00C11869"/>
    <w:rsid w:val="00C13572"/>
    <w:rsid w:val="00C156CD"/>
    <w:rsid w:val="00C15969"/>
    <w:rsid w:val="00C16B4F"/>
    <w:rsid w:val="00C16F34"/>
    <w:rsid w:val="00C16F61"/>
    <w:rsid w:val="00C1731E"/>
    <w:rsid w:val="00C17510"/>
    <w:rsid w:val="00C175B5"/>
    <w:rsid w:val="00C20387"/>
    <w:rsid w:val="00C21456"/>
    <w:rsid w:val="00C2148B"/>
    <w:rsid w:val="00C22838"/>
    <w:rsid w:val="00C228CB"/>
    <w:rsid w:val="00C22C55"/>
    <w:rsid w:val="00C22D0E"/>
    <w:rsid w:val="00C22E66"/>
    <w:rsid w:val="00C23178"/>
    <w:rsid w:val="00C24A1C"/>
    <w:rsid w:val="00C24F1B"/>
    <w:rsid w:val="00C254BF"/>
    <w:rsid w:val="00C25BC9"/>
    <w:rsid w:val="00C25F13"/>
    <w:rsid w:val="00C2691D"/>
    <w:rsid w:val="00C26EA8"/>
    <w:rsid w:val="00C301AD"/>
    <w:rsid w:val="00C3070D"/>
    <w:rsid w:val="00C30E3A"/>
    <w:rsid w:val="00C3184A"/>
    <w:rsid w:val="00C33A64"/>
    <w:rsid w:val="00C34772"/>
    <w:rsid w:val="00C364E9"/>
    <w:rsid w:val="00C36C81"/>
    <w:rsid w:val="00C36F1E"/>
    <w:rsid w:val="00C375E6"/>
    <w:rsid w:val="00C400F4"/>
    <w:rsid w:val="00C4123D"/>
    <w:rsid w:val="00C4125E"/>
    <w:rsid w:val="00C4132E"/>
    <w:rsid w:val="00C41784"/>
    <w:rsid w:val="00C41CD2"/>
    <w:rsid w:val="00C41F9C"/>
    <w:rsid w:val="00C42523"/>
    <w:rsid w:val="00C43883"/>
    <w:rsid w:val="00C447F4"/>
    <w:rsid w:val="00C45746"/>
    <w:rsid w:val="00C471A1"/>
    <w:rsid w:val="00C50A23"/>
    <w:rsid w:val="00C51FC8"/>
    <w:rsid w:val="00C524C0"/>
    <w:rsid w:val="00C52510"/>
    <w:rsid w:val="00C525F2"/>
    <w:rsid w:val="00C55333"/>
    <w:rsid w:val="00C55753"/>
    <w:rsid w:val="00C55A07"/>
    <w:rsid w:val="00C55EFB"/>
    <w:rsid w:val="00C565D6"/>
    <w:rsid w:val="00C56B1C"/>
    <w:rsid w:val="00C60BE0"/>
    <w:rsid w:val="00C60DAB"/>
    <w:rsid w:val="00C630E4"/>
    <w:rsid w:val="00C6363E"/>
    <w:rsid w:val="00C636F9"/>
    <w:rsid w:val="00C64D84"/>
    <w:rsid w:val="00C66130"/>
    <w:rsid w:val="00C66682"/>
    <w:rsid w:val="00C71871"/>
    <w:rsid w:val="00C71CD0"/>
    <w:rsid w:val="00C7237D"/>
    <w:rsid w:val="00C723CD"/>
    <w:rsid w:val="00C7345C"/>
    <w:rsid w:val="00C74AE0"/>
    <w:rsid w:val="00C74C85"/>
    <w:rsid w:val="00C75C62"/>
    <w:rsid w:val="00C772E8"/>
    <w:rsid w:val="00C7730F"/>
    <w:rsid w:val="00C804B9"/>
    <w:rsid w:val="00C805F1"/>
    <w:rsid w:val="00C80841"/>
    <w:rsid w:val="00C8086B"/>
    <w:rsid w:val="00C817CF"/>
    <w:rsid w:val="00C82085"/>
    <w:rsid w:val="00C82CDF"/>
    <w:rsid w:val="00C830B5"/>
    <w:rsid w:val="00C83B7D"/>
    <w:rsid w:val="00C83BA8"/>
    <w:rsid w:val="00C847EB"/>
    <w:rsid w:val="00C85168"/>
    <w:rsid w:val="00C853BB"/>
    <w:rsid w:val="00C85844"/>
    <w:rsid w:val="00C86121"/>
    <w:rsid w:val="00C8635B"/>
    <w:rsid w:val="00C86E1D"/>
    <w:rsid w:val="00C900C6"/>
    <w:rsid w:val="00C904C8"/>
    <w:rsid w:val="00C90618"/>
    <w:rsid w:val="00C90AEE"/>
    <w:rsid w:val="00C9169E"/>
    <w:rsid w:val="00C91EC4"/>
    <w:rsid w:val="00C922A0"/>
    <w:rsid w:val="00C92AF4"/>
    <w:rsid w:val="00C93676"/>
    <w:rsid w:val="00C9563A"/>
    <w:rsid w:val="00C96C12"/>
    <w:rsid w:val="00C96FFA"/>
    <w:rsid w:val="00C9732D"/>
    <w:rsid w:val="00CA33A4"/>
    <w:rsid w:val="00CA411B"/>
    <w:rsid w:val="00CA43DA"/>
    <w:rsid w:val="00CA5738"/>
    <w:rsid w:val="00CA58DC"/>
    <w:rsid w:val="00CA5DAA"/>
    <w:rsid w:val="00CA607A"/>
    <w:rsid w:val="00CA6FA4"/>
    <w:rsid w:val="00CA709D"/>
    <w:rsid w:val="00CA7224"/>
    <w:rsid w:val="00CA7456"/>
    <w:rsid w:val="00CA7F75"/>
    <w:rsid w:val="00CB0832"/>
    <w:rsid w:val="00CB10DD"/>
    <w:rsid w:val="00CB2654"/>
    <w:rsid w:val="00CB2C3C"/>
    <w:rsid w:val="00CB4B62"/>
    <w:rsid w:val="00CB4F43"/>
    <w:rsid w:val="00CB64D2"/>
    <w:rsid w:val="00CB7237"/>
    <w:rsid w:val="00CC2C6D"/>
    <w:rsid w:val="00CC2CE9"/>
    <w:rsid w:val="00CC3F27"/>
    <w:rsid w:val="00CC4F2F"/>
    <w:rsid w:val="00CC50F6"/>
    <w:rsid w:val="00CC6908"/>
    <w:rsid w:val="00CC69D3"/>
    <w:rsid w:val="00CD2001"/>
    <w:rsid w:val="00CD263A"/>
    <w:rsid w:val="00CD3539"/>
    <w:rsid w:val="00CD3AC0"/>
    <w:rsid w:val="00CD3DAF"/>
    <w:rsid w:val="00CD43D4"/>
    <w:rsid w:val="00CD4876"/>
    <w:rsid w:val="00CD6115"/>
    <w:rsid w:val="00CD7951"/>
    <w:rsid w:val="00CD79F3"/>
    <w:rsid w:val="00CE04AA"/>
    <w:rsid w:val="00CE04DC"/>
    <w:rsid w:val="00CE0820"/>
    <w:rsid w:val="00CE0CC8"/>
    <w:rsid w:val="00CE0E3C"/>
    <w:rsid w:val="00CE221C"/>
    <w:rsid w:val="00CE27D6"/>
    <w:rsid w:val="00CE3849"/>
    <w:rsid w:val="00CE48FF"/>
    <w:rsid w:val="00CE50AC"/>
    <w:rsid w:val="00CE5619"/>
    <w:rsid w:val="00CE68F2"/>
    <w:rsid w:val="00CE73D2"/>
    <w:rsid w:val="00CE7EBC"/>
    <w:rsid w:val="00CF1458"/>
    <w:rsid w:val="00CF1E01"/>
    <w:rsid w:val="00CF38AC"/>
    <w:rsid w:val="00CF4BB6"/>
    <w:rsid w:val="00CF5361"/>
    <w:rsid w:val="00CF60CA"/>
    <w:rsid w:val="00CF6E3A"/>
    <w:rsid w:val="00CF7A2E"/>
    <w:rsid w:val="00CF7E0F"/>
    <w:rsid w:val="00D0059D"/>
    <w:rsid w:val="00D00657"/>
    <w:rsid w:val="00D007B0"/>
    <w:rsid w:val="00D00C11"/>
    <w:rsid w:val="00D00DE2"/>
    <w:rsid w:val="00D016A9"/>
    <w:rsid w:val="00D01FB2"/>
    <w:rsid w:val="00D037D3"/>
    <w:rsid w:val="00D03C94"/>
    <w:rsid w:val="00D0468D"/>
    <w:rsid w:val="00D07942"/>
    <w:rsid w:val="00D07EB6"/>
    <w:rsid w:val="00D10B41"/>
    <w:rsid w:val="00D10EB0"/>
    <w:rsid w:val="00D1111C"/>
    <w:rsid w:val="00D11A9D"/>
    <w:rsid w:val="00D120A5"/>
    <w:rsid w:val="00D128E8"/>
    <w:rsid w:val="00D12F63"/>
    <w:rsid w:val="00D13545"/>
    <w:rsid w:val="00D1357D"/>
    <w:rsid w:val="00D13C15"/>
    <w:rsid w:val="00D15BBC"/>
    <w:rsid w:val="00D2218F"/>
    <w:rsid w:val="00D23A9F"/>
    <w:rsid w:val="00D240F2"/>
    <w:rsid w:val="00D2477C"/>
    <w:rsid w:val="00D25260"/>
    <w:rsid w:val="00D258D0"/>
    <w:rsid w:val="00D26124"/>
    <w:rsid w:val="00D267CD"/>
    <w:rsid w:val="00D27883"/>
    <w:rsid w:val="00D27CD4"/>
    <w:rsid w:val="00D27DC2"/>
    <w:rsid w:val="00D27E6B"/>
    <w:rsid w:val="00D3019F"/>
    <w:rsid w:val="00D30479"/>
    <w:rsid w:val="00D31803"/>
    <w:rsid w:val="00D32507"/>
    <w:rsid w:val="00D3302B"/>
    <w:rsid w:val="00D332E2"/>
    <w:rsid w:val="00D339CA"/>
    <w:rsid w:val="00D3470C"/>
    <w:rsid w:val="00D35312"/>
    <w:rsid w:val="00D36303"/>
    <w:rsid w:val="00D3656E"/>
    <w:rsid w:val="00D36918"/>
    <w:rsid w:val="00D37087"/>
    <w:rsid w:val="00D37CE4"/>
    <w:rsid w:val="00D41069"/>
    <w:rsid w:val="00D4151F"/>
    <w:rsid w:val="00D41760"/>
    <w:rsid w:val="00D41DEB"/>
    <w:rsid w:val="00D428AE"/>
    <w:rsid w:val="00D428DB"/>
    <w:rsid w:val="00D4335B"/>
    <w:rsid w:val="00D43B72"/>
    <w:rsid w:val="00D44EDA"/>
    <w:rsid w:val="00D456D9"/>
    <w:rsid w:val="00D46218"/>
    <w:rsid w:val="00D4652C"/>
    <w:rsid w:val="00D465F4"/>
    <w:rsid w:val="00D470A8"/>
    <w:rsid w:val="00D478DB"/>
    <w:rsid w:val="00D47A93"/>
    <w:rsid w:val="00D47AC5"/>
    <w:rsid w:val="00D51DDD"/>
    <w:rsid w:val="00D52B98"/>
    <w:rsid w:val="00D53320"/>
    <w:rsid w:val="00D5377B"/>
    <w:rsid w:val="00D5425B"/>
    <w:rsid w:val="00D54391"/>
    <w:rsid w:val="00D54509"/>
    <w:rsid w:val="00D54D42"/>
    <w:rsid w:val="00D5529C"/>
    <w:rsid w:val="00D56AD4"/>
    <w:rsid w:val="00D57954"/>
    <w:rsid w:val="00D60E1F"/>
    <w:rsid w:val="00D61286"/>
    <w:rsid w:val="00D61AA3"/>
    <w:rsid w:val="00D624A2"/>
    <w:rsid w:val="00D626D0"/>
    <w:rsid w:val="00D62FDD"/>
    <w:rsid w:val="00D6315A"/>
    <w:rsid w:val="00D63521"/>
    <w:rsid w:val="00D6360B"/>
    <w:rsid w:val="00D63706"/>
    <w:rsid w:val="00D6371A"/>
    <w:rsid w:val="00D644E9"/>
    <w:rsid w:val="00D648E3"/>
    <w:rsid w:val="00D64B35"/>
    <w:rsid w:val="00D64E2C"/>
    <w:rsid w:val="00D64F55"/>
    <w:rsid w:val="00D661E2"/>
    <w:rsid w:val="00D67AC1"/>
    <w:rsid w:val="00D67E89"/>
    <w:rsid w:val="00D708D7"/>
    <w:rsid w:val="00D70955"/>
    <w:rsid w:val="00D724E4"/>
    <w:rsid w:val="00D727E0"/>
    <w:rsid w:val="00D74251"/>
    <w:rsid w:val="00D744F5"/>
    <w:rsid w:val="00D75C30"/>
    <w:rsid w:val="00D807DC"/>
    <w:rsid w:val="00D80CC6"/>
    <w:rsid w:val="00D81B48"/>
    <w:rsid w:val="00D82740"/>
    <w:rsid w:val="00D828F7"/>
    <w:rsid w:val="00D8393D"/>
    <w:rsid w:val="00D84616"/>
    <w:rsid w:val="00D85839"/>
    <w:rsid w:val="00D874A4"/>
    <w:rsid w:val="00D8799F"/>
    <w:rsid w:val="00D906EE"/>
    <w:rsid w:val="00D91207"/>
    <w:rsid w:val="00D91966"/>
    <w:rsid w:val="00D93851"/>
    <w:rsid w:val="00D93CC6"/>
    <w:rsid w:val="00D94023"/>
    <w:rsid w:val="00D94227"/>
    <w:rsid w:val="00D95196"/>
    <w:rsid w:val="00D951DE"/>
    <w:rsid w:val="00D961D7"/>
    <w:rsid w:val="00D96417"/>
    <w:rsid w:val="00D96772"/>
    <w:rsid w:val="00D96D8C"/>
    <w:rsid w:val="00D96DF1"/>
    <w:rsid w:val="00D971EA"/>
    <w:rsid w:val="00DA077E"/>
    <w:rsid w:val="00DA195E"/>
    <w:rsid w:val="00DA2266"/>
    <w:rsid w:val="00DA29AB"/>
    <w:rsid w:val="00DA3426"/>
    <w:rsid w:val="00DA5500"/>
    <w:rsid w:val="00DA5F9D"/>
    <w:rsid w:val="00DA7F9A"/>
    <w:rsid w:val="00DB03E1"/>
    <w:rsid w:val="00DB0875"/>
    <w:rsid w:val="00DB111C"/>
    <w:rsid w:val="00DB12A1"/>
    <w:rsid w:val="00DB14D4"/>
    <w:rsid w:val="00DB153C"/>
    <w:rsid w:val="00DB1DA0"/>
    <w:rsid w:val="00DB34CB"/>
    <w:rsid w:val="00DB3E7D"/>
    <w:rsid w:val="00DB4711"/>
    <w:rsid w:val="00DB473E"/>
    <w:rsid w:val="00DB4F83"/>
    <w:rsid w:val="00DB5D90"/>
    <w:rsid w:val="00DB5E5F"/>
    <w:rsid w:val="00DB6358"/>
    <w:rsid w:val="00DB6361"/>
    <w:rsid w:val="00DB6B4E"/>
    <w:rsid w:val="00DB6E07"/>
    <w:rsid w:val="00DB7104"/>
    <w:rsid w:val="00DB74F8"/>
    <w:rsid w:val="00DB7685"/>
    <w:rsid w:val="00DC10D0"/>
    <w:rsid w:val="00DC290E"/>
    <w:rsid w:val="00DC31D7"/>
    <w:rsid w:val="00DC3D9E"/>
    <w:rsid w:val="00DC4155"/>
    <w:rsid w:val="00DC4B81"/>
    <w:rsid w:val="00DC5DAD"/>
    <w:rsid w:val="00DC6012"/>
    <w:rsid w:val="00DC770C"/>
    <w:rsid w:val="00DD0C92"/>
    <w:rsid w:val="00DD3372"/>
    <w:rsid w:val="00DD437E"/>
    <w:rsid w:val="00DD4F23"/>
    <w:rsid w:val="00DD5845"/>
    <w:rsid w:val="00DD7675"/>
    <w:rsid w:val="00DE02A2"/>
    <w:rsid w:val="00DE0848"/>
    <w:rsid w:val="00DE12B4"/>
    <w:rsid w:val="00DE1A8B"/>
    <w:rsid w:val="00DE2296"/>
    <w:rsid w:val="00DE2B2B"/>
    <w:rsid w:val="00DE5601"/>
    <w:rsid w:val="00DE5C94"/>
    <w:rsid w:val="00DE6B19"/>
    <w:rsid w:val="00DE6B22"/>
    <w:rsid w:val="00DE6B87"/>
    <w:rsid w:val="00DE7A1D"/>
    <w:rsid w:val="00DF0073"/>
    <w:rsid w:val="00DF051E"/>
    <w:rsid w:val="00DF07BB"/>
    <w:rsid w:val="00DF14DC"/>
    <w:rsid w:val="00DF2005"/>
    <w:rsid w:val="00DF20EF"/>
    <w:rsid w:val="00DF3276"/>
    <w:rsid w:val="00DF39AC"/>
    <w:rsid w:val="00DF4ED6"/>
    <w:rsid w:val="00DF56C4"/>
    <w:rsid w:val="00DF5B2D"/>
    <w:rsid w:val="00DF5B7E"/>
    <w:rsid w:val="00DF5D88"/>
    <w:rsid w:val="00DF5FA0"/>
    <w:rsid w:val="00DF634A"/>
    <w:rsid w:val="00DF7776"/>
    <w:rsid w:val="00DF7D67"/>
    <w:rsid w:val="00E00841"/>
    <w:rsid w:val="00E0336D"/>
    <w:rsid w:val="00E04D3F"/>
    <w:rsid w:val="00E058A6"/>
    <w:rsid w:val="00E05ADF"/>
    <w:rsid w:val="00E05B0D"/>
    <w:rsid w:val="00E06103"/>
    <w:rsid w:val="00E06453"/>
    <w:rsid w:val="00E06B42"/>
    <w:rsid w:val="00E077C3"/>
    <w:rsid w:val="00E077E3"/>
    <w:rsid w:val="00E10688"/>
    <w:rsid w:val="00E111EA"/>
    <w:rsid w:val="00E11B23"/>
    <w:rsid w:val="00E11BF8"/>
    <w:rsid w:val="00E138F2"/>
    <w:rsid w:val="00E13F16"/>
    <w:rsid w:val="00E143D0"/>
    <w:rsid w:val="00E14663"/>
    <w:rsid w:val="00E14681"/>
    <w:rsid w:val="00E158A3"/>
    <w:rsid w:val="00E159CE"/>
    <w:rsid w:val="00E15E01"/>
    <w:rsid w:val="00E17A70"/>
    <w:rsid w:val="00E17D79"/>
    <w:rsid w:val="00E2074C"/>
    <w:rsid w:val="00E207FE"/>
    <w:rsid w:val="00E21F5D"/>
    <w:rsid w:val="00E21F8F"/>
    <w:rsid w:val="00E225F8"/>
    <w:rsid w:val="00E236FA"/>
    <w:rsid w:val="00E23AC0"/>
    <w:rsid w:val="00E247F1"/>
    <w:rsid w:val="00E24DC1"/>
    <w:rsid w:val="00E2578B"/>
    <w:rsid w:val="00E2710E"/>
    <w:rsid w:val="00E279A7"/>
    <w:rsid w:val="00E31AEC"/>
    <w:rsid w:val="00E32209"/>
    <w:rsid w:val="00E32C1A"/>
    <w:rsid w:val="00E33230"/>
    <w:rsid w:val="00E334B4"/>
    <w:rsid w:val="00E33A8D"/>
    <w:rsid w:val="00E34313"/>
    <w:rsid w:val="00E3520F"/>
    <w:rsid w:val="00E36D3F"/>
    <w:rsid w:val="00E372C6"/>
    <w:rsid w:val="00E374F9"/>
    <w:rsid w:val="00E40AE4"/>
    <w:rsid w:val="00E4197A"/>
    <w:rsid w:val="00E44011"/>
    <w:rsid w:val="00E44E20"/>
    <w:rsid w:val="00E45055"/>
    <w:rsid w:val="00E46F22"/>
    <w:rsid w:val="00E47AD3"/>
    <w:rsid w:val="00E47E35"/>
    <w:rsid w:val="00E50AC3"/>
    <w:rsid w:val="00E50AC8"/>
    <w:rsid w:val="00E53D85"/>
    <w:rsid w:val="00E55006"/>
    <w:rsid w:val="00E5510D"/>
    <w:rsid w:val="00E5544E"/>
    <w:rsid w:val="00E560B7"/>
    <w:rsid w:val="00E5627F"/>
    <w:rsid w:val="00E56C2F"/>
    <w:rsid w:val="00E56ECD"/>
    <w:rsid w:val="00E577E9"/>
    <w:rsid w:val="00E60ACB"/>
    <w:rsid w:val="00E615B1"/>
    <w:rsid w:val="00E621E7"/>
    <w:rsid w:val="00E6277F"/>
    <w:rsid w:val="00E62F07"/>
    <w:rsid w:val="00E63086"/>
    <w:rsid w:val="00E63405"/>
    <w:rsid w:val="00E63491"/>
    <w:rsid w:val="00E6357E"/>
    <w:rsid w:val="00E64530"/>
    <w:rsid w:val="00E65C37"/>
    <w:rsid w:val="00E663EA"/>
    <w:rsid w:val="00E670BC"/>
    <w:rsid w:val="00E6765F"/>
    <w:rsid w:val="00E67915"/>
    <w:rsid w:val="00E67F2E"/>
    <w:rsid w:val="00E7107B"/>
    <w:rsid w:val="00E71CCF"/>
    <w:rsid w:val="00E71E7D"/>
    <w:rsid w:val="00E72028"/>
    <w:rsid w:val="00E7235B"/>
    <w:rsid w:val="00E7262F"/>
    <w:rsid w:val="00E73AB8"/>
    <w:rsid w:val="00E74496"/>
    <w:rsid w:val="00E74817"/>
    <w:rsid w:val="00E75EA7"/>
    <w:rsid w:val="00E760B3"/>
    <w:rsid w:val="00E77568"/>
    <w:rsid w:val="00E80F9F"/>
    <w:rsid w:val="00E81DC6"/>
    <w:rsid w:val="00E82487"/>
    <w:rsid w:val="00E82BDE"/>
    <w:rsid w:val="00E84CE4"/>
    <w:rsid w:val="00E86C8C"/>
    <w:rsid w:val="00E87B57"/>
    <w:rsid w:val="00E87D64"/>
    <w:rsid w:val="00E909A4"/>
    <w:rsid w:val="00E91CB0"/>
    <w:rsid w:val="00E932A1"/>
    <w:rsid w:val="00E94352"/>
    <w:rsid w:val="00E943D7"/>
    <w:rsid w:val="00E947B9"/>
    <w:rsid w:val="00E94B22"/>
    <w:rsid w:val="00E94F83"/>
    <w:rsid w:val="00E95044"/>
    <w:rsid w:val="00E9527F"/>
    <w:rsid w:val="00E954F0"/>
    <w:rsid w:val="00E95D2A"/>
    <w:rsid w:val="00E95F89"/>
    <w:rsid w:val="00E969B7"/>
    <w:rsid w:val="00E96B6A"/>
    <w:rsid w:val="00E97082"/>
    <w:rsid w:val="00E97A18"/>
    <w:rsid w:val="00EA07FF"/>
    <w:rsid w:val="00EA0C3D"/>
    <w:rsid w:val="00EA0D83"/>
    <w:rsid w:val="00EA13FA"/>
    <w:rsid w:val="00EA1A56"/>
    <w:rsid w:val="00EA1A79"/>
    <w:rsid w:val="00EA22C6"/>
    <w:rsid w:val="00EA485C"/>
    <w:rsid w:val="00EA4ACD"/>
    <w:rsid w:val="00EA4E1D"/>
    <w:rsid w:val="00EA57E2"/>
    <w:rsid w:val="00EA62D6"/>
    <w:rsid w:val="00EA7AA8"/>
    <w:rsid w:val="00EB1B08"/>
    <w:rsid w:val="00EB214D"/>
    <w:rsid w:val="00EB2E3F"/>
    <w:rsid w:val="00EB316B"/>
    <w:rsid w:val="00EB31D2"/>
    <w:rsid w:val="00EB395C"/>
    <w:rsid w:val="00EB5267"/>
    <w:rsid w:val="00EB530A"/>
    <w:rsid w:val="00EB7365"/>
    <w:rsid w:val="00EB7922"/>
    <w:rsid w:val="00EB7DBD"/>
    <w:rsid w:val="00EC043D"/>
    <w:rsid w:val="00EC0E21"/>
    <w:rsid w:val="00EC0ED8"/>
    <w:rsid w:val="00EC16D6"/>
    <w:rsid w:val="00EC177D"/>
    <w:rsid w:val="00EC201C"/>
    <w:rsid w:val="00EC26B8"/>
    <w:rsid w:val="00EC3DE0"/>
    <w:rsid w:val="00EC4DBF"/>
    <w:rsid w:val="00EC5DFB"/>
    <w:rsid w:val="00EC611F"/>
    <w:rsid w:val="00EC6516"/>
    <w:rsid w:val="00EC66CC"/>
    <w:rsid w:val="00EC6760"/>
    <w:rsid w:val="00EC6F74"/>
    <w:rsid w:val="00EC7CAF"/>
    <w:rsid w:val="00EC7D37"/>
    <w:rsid w:val="00ED00B5"/>
    <w:rsid w:val="00ED037D"/>
    <w:rsid w:val="00ED0F75"/>
    <w:rsid w:val="00ED1A2C"/>
    <w:rsid w:val="00ED22A3"/>
    <w:rsid w:val="00ED2836"/>
    <w:rsid w:val="00ED2BB8"/>
    <w:rsid w:val="00ED3D18"/>
    <w:rsid w:val="00ED534B"/>
    <w:rsid w:val="00ED69DB"/>
    <w:rsid w:val="00ED6C22"/>
    <w:rsid w:val="00ED70C2"/>
    <w:rsid w:val="00ED7591"/>
    <w:rsid w:val="00ED78B6"/>
    <w:rsid w:val="00EE0770"/>
    <w:rsid w:val="00EE160D"/>
    <w:rsid w:val="00EE1619"/>
    <w:rsid w:val="00EE32E8"/>
    <w:rsid w:val="00EE3BF9"/>
    <w:rsid w:val="00EE493C"/>
    <w:rsid w:val="00EE4EAE"/>
    <w:rsid w:val="00EE5C00"/>
    <w:rsid w:val="00EE6BAE"/>
    <w:rsid w:val="00EE6F85"/>
    <w:rsid w:val="00EE7B73"/>
    <w:rsid w:val="00EF002A"/>
    <w:rsid w:val="00EF05EA"/>
    <w:rsid w:val="00EF108A"/>
    <w:rsid w:val="00EF177E"/>
    <w:rsid w:val="00EF24AE"/>
    <w:rsid w:val="00EF26E6"/>
    <w:rsid w:val="00EF289D"/>
    <w:rsid w:val="00EF36C2"/>
    <w:rsid w:val="00EF38FE"/>
    <w:rsid w:val="00EF4FD0"/>
    <w:rsid w:val="00EF6193"/>
    <w:rsid w:val="00EF6267"/>
    <w:rsid w:val="00EF6743"/>
    <w:rsid w:val="00EF71EE"/>
    <w:rsid w:val="00F00A4B"/>
    <w:rsid w:val="00F00F7D"/>
    <w:rsid w:val="00F01A00"/>
    <w:rsid w:val="00F021E3"/>
    <w:rsid w:val="00F02501"/>
    <w:rsid w:val="00F03073"/>
    <w:rsid w:val="00F03159"/>
    <w:rsid w:val="00F039E9"/>
    <w:rsid w:val="00F03E1F"/>
    <w:rsid w:val="00F0457F"/>
    <w:rsid w:val="00F04844"/>
    <w:rsid w:val="00F054C4"/>
    <w:rsid w:val="00F06311"/>
    <w:rsid w:val="00F075AE"/>
    <w:rsid w:val="00F10B5F"/>
    <w:rsid w:val="00F11A0B"/>
    <w:rsid w:val="00F12542"/>
    <w:rsid w:val="00F12761"/>
    <w:rsid w:val="00F14887"/>
    <w:rsid w:val="00F14D06"/>
    <w:rsid w:val="00F151FF"/>
    <w:rsid w:val="00F15495"/>
    <w:rsid w:val="00F15B9C"/>
    <w:rsid w:val="00F162A2"/>
    <w:rsid w:val="00F16502"/>
    <w:rsid w:val="00F172BF"/>
    <w:rsid w:val="00F1745F"/>
    <w:rsid w:val="00F17567"/>
    <w:rsid w:val="00F17C74"/>
    <w:rsid w:val="00F210D6"/>
    <w:rsid w:val="00F2209F"/>
    <w:rsid w:val="00F232F1"/>
    <w:rsid w:val="00F2380C"/>
    <w:rsid w:val="00F23BB6"/>
    <w:rsid w:val="00F25229"/>
    <w:rsid w:val="00F255E5"/>
    <w:rsid w:val="00F271B6"/>
    <w:rsid w:val="00F27879"/>
    <w:rsid w:val="00F303F8"/>
    <w:rsid w:val="00F30FB8"/>
    <w:rsid w:val="00F333B0"/>
    <w:rsid w:val="00F34B81"/>
    <w:rsid w:val="00F36A96"/>
    <w:rsid w:val="00F36B00"/>
    <w:rsid w:val="00F37330"/>
    <w:rsid w:val="00F37A11"/>
    <w:rsid w:val="00F37CA1"/>
    <w:rsid w:val="00F40DEE"/>
    <w:rsid w:val="00F41DDF"/>
    <w:rsid w:val="00F42201"/>
    <w:rsid w:val="00F42926"/>
    <w:rsid w:val="00F42ECC"/>
    <w:rsid w:val="00F431BA"/>
    <w:rsid w:val="00F4428E"/>
    <w:rsid w:val="00F44B68"/>
    <w:rsid w:val="00F44E77"/>
    <w:rsid w:val="00F46972"/>
    <w:rsid w:val="00F46D15"/>
    <w:rsid w:val="00F511AD"/>
    <w:rsid w:val="00F51324"/>
    <w:rsid w:val="00F51775"/>
    <w:rsid w:val="00F51A58"/>
    <w:rsid w:val="00F54685"/>
    <w:rsid w:val="00F55722"/>
    <w:rsid w:val="00F55B0C"/>
    <w:rsid w:val="00F56979"/>
    <w:rsid w:val="00F56AB4"/>
    <w:rsid w:val="00F56AB8"/>
    <w:rsid w:val="00F57418"/>
    <w:rsid w:val="00F5744E"/>
    <w:rsid w:val="00F61030"/>
    <w:rsid w:val="00F61402"/>
    <w:rsid w:val="00F63973"/>
    <w:rsid w:val="00F63F58"/>
    <w:rsid w:val="00F66EF3"/>
    <w:rsid w:val="00F67B44"/>
    <w:rsid w:val="00F7002D"/>
    <w:rsid w:val="00F70219"/>
    <w:rsid w:val="00F70D52"/>
    <w:rsid w:val="00F73943"/>
    <w:rsid w:val="00F743CC"/>
    <w:rsid w:val="00F74421"/>
    <w:rsid w:val="00F7741D"/>
    <w:rsid w:val="00F77673"/>
    <w:rsid w:val="00F7767E"/>
    <w:rsid w:val="00F804CD"/>
    <w:rsid w:val="00F81052"/>
    <w:rsid w:val="00F8206E"/>
    <w:rsid w:val="00F825D5"/>
    <w:rsid w:val="00F82735"/>
    <w:rsid w:val="00F8482B"/>
    <w:rsid w:val="00F84B82"/>
    <w:rsid w:val="00F85826"/>
    <w:rsid w:val="00F8596C"/>
    <w:rsid w:val="00F86EEA"/>
    <w:rsid w:val="00F86FF5"/>
    <w:rsid w:val="00F9097B"/>
    <w:rsid w:val="00F90EE6"/>
    <w:rsid w:val="00F91610"/>
    <w:rsid w:val="00F92089"/>
    <w:rsid w:val="00F92539"/>
    <w:rsid w:val="00F93F3C"/>
    <w:rsid w:val="00F94E72"/>
    <w:rsid w:val="00F9637A"/>
    <w:rsid w:val="00F96B57"/>
    <w:rsid w:val="00F96D6C"/>
    <w:rsid w:val="00F96F7B"/>
    <w:rsid w:val="00FA123A"/>
    <w:rsid w:val="00FA29CD"/>
    <w:rsid w:val="00FA348A"/>
    <w:rsid w:val="00FA4500"/>
    <w:rsid w:val="00FA499F"/>
    <w:rsid w:val="00FA49C3"/>
    <w:rsid w:val="00FA5483"/>
    <w:rsid w:val="00FA61A5"/>
    <w:rsid w:val="00FB068E"/>
    <w:rsid w:val="00FB138D"/>
    <w:rsid w:val="00FB14A9"/>
    <w:rsid w:val="00FB2173"/>
    <w:rsid w:val="00FB2E04"/>
    <w:rsid w:val="00FB3224"/>
    <w:rsid w:val="00FB3BBC"/>
    <w:rsid w:val="00FB415D"/>
    <w:rsid w:val="00FB4353"/>
    <w:rsid w:val="00FB4AC1"/>
    <w:rsid w:val="00FB4DF2"/>
    <w:rsid w:val="00FB64A9"/>
    <w:rsid w:val="00FB760D"/>
    <w:rsid w:val="00FC0A58"/>
    <w:rsid w:val="00FC1AE1"/>
    <w:rsid w:val="00FC22FD"/>
    <w:rsid w:val="00FC2608"/>
    <w:rsid w:val="00FC3607"/>
    <w:rsid w:val="00FC3B61"/>
    <w:rsid w:val="00FC57B4"/>
    <w:rsid w:val="00FC7656"/>
    <w:rsid w:val="00FC77D6"/>
    <w:rsid w:val="00FC7B88"/>
    <w:rsid w:val="00FC7F77"/>
    <w:rsid w:val="00FD0353"/>
    <w:rsid w:val="00FD046B"/>
    <w:rsid w:val="00FD0EDB"/>
    <w:rsid w:val="00FD1058"/>
    <w:rsid w:val="00FD1E0A"/>
    <w:rsid w:val="00FD1E7D"/>
    <w:rsid w:val="00FD2051"/>
    <w:rsid w:val="00FD225B"/>
    <w:rsid w:val="00FD25AA"/>
    <w:rsid w:val="00FD2721"/>
    <w:rsid w:val="00FD3889"/>
    <w:rsid w:val="00FD423C"/>
    <w:rsid w:val="00FD510A"/>
    <w:rsid w:val="00FD567C"/>
    <w:rsid w:val="00FD726E"/>
    <w:rsid w:val="00FD74C9"/>
    <w:rsid w:val="00FD7539"/>
    <w:rsid w:val="00FE05C6"/>
    <w:rsid w:val="00FE06ED"/>
    <w:rsid w:val="00FE0F0A"/>
    <w:rsid w:val="00FE11FE"/>
    <w:rsid w:val="00FE1346"/>
    <w:rsid w:val="00FE1A67"/>
    <w:rsid w:val="00FE1B20"/>
    <w:rsid w:val="00FE240E"/>
    <w:rsid w:val="00FE3D45"/>
    <w:rsid w:val="00FE43EB"/>
    <w:rsid w:val="00FE47CB"/>
    <w:rsid w:val="00FE6618"/>
    <w:rsid w:val="00FE696B"/>
    <w:rsid w:val="00FE7013"/>
    <w:rsid w:val="00FE7638"/>
    <w:rsid w:val="00FF04A4"/>
    <w:rsid w:val="00FF06BE"/>
    <w:rsid w:val="00FF08CE"/>
    <w:rsid w:val="00FF0EEB"/>
    <w:rsid w:val="00FF1DE7"/>
    <w:rsid w:val="00FF1F8C"/>
    <w:rsid w:val="00FF36FC"/>
    <w:rsid w:val="00FF4031"/>
    <w:rsid w:val="00FF4046"/>
    <w:rsid w:val="00FF4091"/>
    <w:rsid w:val="00FF5421"/>
    <w:rsid w:val="00FF5780"/>
    <w:rsid w:val="00FF5BA9"/>
    <w:rsid w:val="00FF5EEE"/>
    <w:rsid w:val="00FF794C"/>
    <w:rsid w:val="0121011A"/>
    <w:rsid w:val="02E709DA"/>
    <w:rsid w:val="03BF2743"/>
    <w:rsid w:val="03FC71C6"/>
    <w:rsid w:val="04E43544"/>
    <w:rsid w:val="07AE423A"/>
    <w:rsid w:val="08912114"/>
    <w:rsid w:val="0C2240CB"/>
    <w:rsid w:val="0CAE4F5D"/>
    <w:rsid w:val="0DFB0C1E"/>
    <w:rsid w:val="0F2F07C5"/>
    <w:rsid w:val="0FEE6FAE"/>
    <w:rsid w:val="10D00336"/>
    <w:rsid w:val="11D446EA"/>
    <w:rsid w:val="11FD07D7"/>
    <w:rsid w:val="12B677C2"/>
    <w:rsid w:val="13A02A4C"/>
    <w:rsid w:val="13A116DD"/>
    <w:rsid w:val="13CB3967"/>
    <w:rsid w:val="1693188C"/>
    <w:rsid w:val="171564C4"/>
    <w:rsid w:val="18AB1625"/>
    <w:rsid w:val="195D5CC2"/>
    <w:rsid w:val="1A35251C"/>
    <w:rsid w:val="1D1C075A"/>
    <w:rsid w:val="1E935967"/>
    <w:rsid w:val="1E9D68B7"/>
    <w:rsid w:val="1ED845BE"/>
    <w:rsid w:val="1EE87C98"/>
    <w:rsid w:val="21CA3E00"/>
    <w:rsid w:val="2217065D"/>
    <w:rsid w:val="2220656D"/>
    <w:rsid w:val="23A40222"/>
    <w:rsid w:val="251729AE"/>
    <w:rsid w:val="259B237C"/>
    <w:rsid w:val="265A309C"/>
    <w:rsid w:val="28881B0D"/>
    <w:rsid w:val="28D930BC"/>
    <w:rsid w:val="2AA8279A"/>
    <w:rsid w:val="2AC92426"/>
    <w:rsid w:val="2DD563B2"/>
    <w:rsid w:val="2E2C6E51"/>
    <w:rsid w:val="2F0456EA"/>
    <w:rsid w:val="30BD6F5C"/>
    <w:rsid w:val="30E41AD1"/>
    <w:rsid w:val="30FE4105"/>
    <w:rsid w:val="31695163"/>
    <w:rsid w:val="31696392"/>
    <w:rsid w:val="3263531C"/>
    <w:rsid w:val="326A48C0"/>
    <w:rsid w:val="328A586F"/>
    <w:rsid w:val="339D1A73"/>
    <w:rsid w:val="33D622F0"/>
    <w:rsid w:val="341E4644"/>
    <w:rsid w:val="342A4220"/>
    <w:rsid w:val="34734024"/>
    <w:rsid w:val="36185F09"/>
    <w:rsid w:val="37231D4E"/>
    <w:rsid w:val="39932896"/>
    <w:rsid w:val="3A035717"/>
    <w:rsid w:val="3A207744"/>
    <w:rsid w:val="3C6E5BD4"/>
    <w:rsid w:val="3C7B1C5D"/>
    <w:rsid w:val="3C9E2AEE"/>
    <w:rsid w:val="3CD660E6"/>
    <w:rsid w:val="3D361185"/>
    <w:rsid w:val="3D710CB5"/>
    <w:rsid w:val="3D774100"/>
    <w:rsid w:val="3E16706C"/>
    <w:rsid w:val="3E261A23"/>
    <w:rsid w:val="40C14001"/>
    <w:rsid w:val="427A3FBE"/>
    <w:rsid w:val="42C85E75"/>
    <w:rsid w:val="44A34937"/>
    <w:rsid w:val="44F73EC4"/>
    <w:rsid w:val="46127A21"/>
    <w:rsid w:val="468C765C"/>
    <w:rsid w:val="47A115D2"/>
    <w:rsid w:val="49687D4B"/>
    <w:rsid w:val="499C7202"/>
    <w:rsid w:val="49FF6D40"/>
    <w:rsid w:val="4B206A38"/>
    <w:rsid w:val="4B6B0941"/>
    <w:rsid w:val="4CDA6F67"/>
    <w:rsid w:val="4D125A80"/>
    <w:rsid w:val="4E145254"/>
    <w:rsid w:val="4FA12285"/>
    <w:rsid w:val="4FF63E56"/>
    <w:rsid w:val="509176A9"/>
    <w:rsid w:val="51F2296A"/>
    <w:rsid w:val="523C37D7"/>
    <w:rsid w:val="52A35C66"/>
    <w:rsid w:val="53A07C03"/>
    <w:rsid w:val="5498702F"/>
    <w:rsid w:val="55E84623"/>
    <w:rsid w:val="5A396BC6"/>
    <w:rsid w:val="5AA64C55"/>
    <w:rsid w:val="5AC5776F"/>
    <w:rsid w:val="5DD24831"/>
    <w:rsid w:val="5DEA4164"/>
    <w:rsid w:val="5E873E9A"/>
    <w:rsid w:val="5F2268A9"/>
    <w:rsid w:val="609A3D55"/>
    <w:rsid w:val="61B2269F"/>
    <w:rsid w:val="61FA7C48"/>
    <w:rsid w:val="62642B53"/>
    <w:rsid w:val="63A47750"/>
    <w:rsid w:val="648F1DA0"/>
    <w:rsid w:val="66F70FB4"/>
    <w:rsid w:val="67537773"/>
    <w:rsid w:val="69864C67"/>
    <w:rsid w:val="69C064B2"/>
    <w:rsid w:val="6B182A49"/>
    <w:rsid w:val="6BB02298"/>
    <w:rsid w:val="6CEF3EF6"/>
    <w:rsid w:val="6E572FC9"/>
    <w:rsid w:val="6EAD34A8"/>
    <w:rsid w:val="6F8128B8"/>
    <w:rsid w:val="6F8A2942"/>
    <w:rsid w:val="6F8B325D"/>
    <w:rsid w:val="70B960D4"/>
    <w:rsid w:val="71690F36"/>
    <w:rsid w:val="72395053"/>
    <w:rsid w:val="72BD0102"/>
    <w:rsid w:val="755F47CC"/>
    <w:rsid w:val="760E1A6B"/>
    <w:rsid w:val="77871DDF"/>
    <w:rsid w:val="7AE62F16"/>
    <w:rsid w:val="7B926071"/>
    <w:rsid w:val="7C0D32B7"/>
    <w:rsid w:val="7C860B82"/>
    <w:rsid w:val="7CB64672"/>
    <w:rsid w:val="7D244C99"/>
    <w:rsid w:val="7E706D55"/>
    <w:rsid w:val="7F743B6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3"/>
    <w:autoRedefine/>
    <w:qFormat/>
    <w:uiPriority w:val="0"/>
    <w:pPr>
      <w:keepNext/>
      <w:keepLines/>
      <w:spacing w:before="120" w:beforeLines="0" w:after="120" w:afterLines="0" w:line="360" w:lineRule="auto"/>
      <w:jc w:val="center"/>
      <w:outlineLvl w:val="0"/>
    </w:pPr>
    <w:rPr>
      <w:b/>
      <w:bCs/>
      <w:kern w:val="44"/>
      <w:sz w:val="30"/>
      <w:szCs w:val="44"/>
    </w:rPr>
  </w:style>
  <w:style w:type="paragraph" w:styleId="3">
    <w:name w:val="heading 2"/>
    <w:basedOn w:val="1"/>
    <w:next w:val="4"/>
    <w:link w:val="45"/>
    <w:qFormat/>
    <w:uiPriority w:val="0"/>
    <w:pPr>
      <w:keepNext/>
      <w:keepLines/>
      <w:spacing w:before="120" w:beforeLines="0" w:after="120" w:afterLines="0" w:line="360" w:lineRule="auto"/>
      <w:jc w:val="center"/>
      <w:outlineLvl w:val="1"/>
    </w:pPr>
    <w:rPr>
      <w:rFonts w:ascii="Arial" w:hAnsi="Arial"/>
      <w:b/>
      <w:bCs/>
      <w:sz w:val="28"/>
      <w:szCs w:val="32"/>
    </w:rPr>
  </w:style>
  <w:style w:type="paragraph" w:styleId="5">
    <w:name w:val="heading 3"/>
    <w:basedOn w:val="1"/>
    <w:next w:val="1"/>
    <w:qFormat/>
    <w:uiPriority w:val="0"/>
    <w:pPr>
      <w:keepNext/>
      <w:keepLines/>
      <w:spacing w:before="120" w:beforeLines="0" w:after="120" w:afterLines="0" w:line="360" w:lineRule="auto"/>
      <w:ind w:firstLine="200" w:firstLineChars="200"/>
      <w:outlineLvl w:val="2"/>
    </w:pPr>
    <w:rPr>
      <w:rFonts w:eastAsia="黑体"/>
      <w:b/>
      <w:bCs/>
      <w:szCs w:val="32"/>
    </w:rPr>
  </w:style>
  <w:style w:type="paragraph" w:styleId="6">
    <w:name w:val="heading 4"/>
    <w:basedOn w:val="1"/>
    <w:next w:val="1"/>
    <w:qFormat/>
    <w:uiPriority w:val="0"/>
    <w:pPr>
      <w:keepNext/>
      <w:keepLines/>
      <w:spacing w:before="280" w:beforeLines="0" w:after="290" w:afterLines="0" w:line="376" w:lineRule="auto"/>
      <w:outlineLvl w:val="3"/>
    </w:pPr>
    <w:rPr>
      <w:rFonts w:ascii="Arial" w:hAnsi="Arial" w:eastAsia="黑体"/>
      <w:b/>
      <w:bCs/>
      <w:sz w:val="28"/>
      <w:szCs w:val="28"/>
    </w:rPr>
  </w:style>
  <w:style w:type="paragraph" w:styleId="7">
    <w:name w:val="heading 9"/>
    <w:basedOn w:val="1"/>
    <w:next w:val="1"/>
    <w:qFormat/>
    <w:uiPriority w:val="0"/>
    <w:pPr>
      <w:keepNext/>
      <w:keepLines/>
      <w:spacing w:before="240" w:beforeLines="0" w:after="64" w:afterLines="0" w:line="320" w:lineRule="auto"/>
      <w:outlineLvl w:val="8"/>
    </w:pPr>
    <w:rPr>
      <w:rFonts w:ascii="Arial" w:hAnsi="Arial" w:eastAsia="黑体"/>
      <w:szCs w:val="21"/>
    </w:rPr>
  </w:style>
  <w:style w:type="character" w:default="1" w:styleId="32">
    <w:name w:val="Default Paragraph Font"/>
    <w:qFormat/>
    <w:uiPriority w:val="0"/>
  </w:style>
  <w:style w:type="table" w:default="1" w:styleId="30">
    <w:name w:val="Normal Table"/>
    <w:semiHidden/>
    <w:qFormat/>
    <w:uiPriority w:val="0"/>
    <w:tblPr>
      <w:tblCellMar>
        <w:top w:w="0" w:type="dxa"/>
        <w:left w:w="108" w:type="dxa"/>
        <w:bottom w:w="0" w:type="dxa"/>
        <w:right w:w="108" w:type="dxa"/>
      </w:tblCellMar>
    </w:tblPr>
  </w:style>
  <w:style w:type="paragraph" w:customStyle="1" w:styleId="4">
    <w:name w:val="技术文档正文"/>
    <w:basedOn w:val="1"/>
    <w:qFormat/>
    <w:uiPriority w:val="0"/>
    <w:pPr>
      <w:spacing w:line="360" w:lineRule="auto"/>
      <w:ind w:firstLine="200" w:firstLineChars="200"/>
    </w:pPr>
    <w:rPr>
      <w:sz w:val="24"/>
    </w:rPr>
  </w:style>
  <w:style w:type="paragraph" w:styleId="8">
    <w:name w:val="table of authorities"/>
    <w:basedOn w:val="1"/>
    <w:next w:val="1"/>
    <w:unhideWhenUsed/>
    <w:qFormat/>
    <w:uiPriority w:val="99"/>
    <w:pPr>
      <w:spacing w:line="240" w:lineRule="auto"/>
      <w:ind w:left="420" w:leftChars="200"/>
    </w:pPr>
    <w:rPr>
      <w:rFonts w:ascii="Calibri" w:hAnsi="Calibri"/>
    </w:rPr>
  </w:style>
  <w:style w:type="paragraph" w:styleId="9">
    <w:name w:val="Normal Indent"/>
    <w:basedOn w:val="1"/>
    <w:next w:val="10"/>
    <w:link w:val="41"/>
    <w:autoRedefine/>
    <w:qFormat/>
    <w:uiPriority w:val="99"/>
    <w:pPr>
      <w:autoSpaceDE w:val="0"/>
      <w:autoSpaceDN w:val="0"/>
      <w:adjustRightInd w:val="0"/>
      <w:spacing w:line="640" w:lineRule="exact"/>
      <w:ind w:firstLine="585"/>
    </w:pPr>
    <w:rPr>
      <w:rFonts w:ascii="楷体_GB2312" w:eastAsia="楷体_GB2312"/>
      <w:sz w:val="32"/>
      <w:szCs w:val="32"/>
      <w:lang w:val="en-US" w:eastAsia="zh-CN" w:bidi="ar-SA"/>
    </w:rPr>
  </w:style>
  <w:style w:type="paragraph" w:styleId="10">
    <w:name w:val="toc 4"/>
    <w:basedOn w:val="1"/>
    <w:next w:val="1"/>
    <w:autoRedefine/>
    <w:qFormat/>
    <w:uiPriority w:val="0"/>
    <w:pPr>
      <w:ind w:left="630"/>
      <w:jc w:val="left"/>
    </w:pPr>
    <w:rPr>
      <w:rFonts w:ascii="Calibri" w:hAnsi="Calibri" w:cs="Calibri"/>
      <w:sz w:val="18"/>
      <w:szCs w:val="18"/>
    </w:rPr>
  </w:style>
  <w:style w:type="paragraph" w:styleId="11">
    <w:name w:val="Document Map"/>
    <w:basedOn w:val="1"/>
    <w:autoRedefine/>
    <w:qFormat/>
    <w:uiPriority w:val="0"/>
    <w:pPr>
      <w:shd w:val="clear" w:color="auto" w:fill="000080"/>
    </w:pPr>
  </w:style>
  <w:style w:type="paragraph" w:styleId="12">
    <w:name w:val="annotation text"/>
    <w:basedOn w:val="1"/>
    <w:link w:val="51"/>
    <w:autoRedefine/>
    <w:qFormat/>
    <w:uiPriority w:val="0"/>
    <w:pPr>
      <w:jc w:val="left"/>
    </w:pPr>
  </w:style>
  <w:style w:type="paragraph" w:styleId="13">
    <w:name w:val="Body Text"/>
    <w:basedOn w:val="1"/>
    <w:link w:val="58"/>
    <w:qFormat/>
    <w:uiPriority w:val="0"/>
    <w:rPr>
      <w:color w:val="993300"/>
      <w:sz w:val="24"/>
    </w:rPr>
  </w:style>
  <w:style w:type="paragraph" w:styleId="14">
    <w:name w:val="Body Text Indent"/>
    <w:basedOn w:val="1"/>
    <w:link w:val="47"/>
    <w:qFormat/>
    <w:uiPriority w:val="0"/>
    <w:pPr>
      <w:ind w:firstLine="480"/>
    </w:pPr>
    <w:rPr>
      <w:rFonts w:ascii="宋体" w:hAnsi="宋体"/>
    </w:rPr>
  </w:style>
  <w:style w:type="paragraph" w:styleId="15">
    <w:name w:val="toc 3"/>
    <w:basedOn w:val="1"/>
    <w:next w:val="1"/>
    <w:qFormat/>
    <w:uiPriority w:val="0"/>
    <w:pPr>
      <w:spacing w:line="240" w:lineRule="auto"/>
      <w:ind w:left="840" w:leftChars="400"/>
    </w:pPr>
  </w:style>
  <w:style w:type="paragraph" w:styleId="16">
    <w:name w:val="Plain Text"/>
    <w:basedOn w:val="1"/>
    <w:link w:val="50"/>
    <w:autoRedefine/>
    <w:qFormat/>
    <w:uiPriority w:val="0"/>
    <w:rPr>
      <w:rFonts w:ascii="宋体" w:hAnsi="Courier New" w:cs="Courier New"/>
      <w:szCs w:val="21"/>
    </w:rPr>
  </w:style>
  <w:style w:type="paragraph" w:styleId="17">
    <w:name w:val="Date"/>
    <w:basedOn w:val="1"/>
    <w:next w:val="1"/>
    <w:qFormat/>
    <w:uiPriority w:val="0"/>
    <w:pPr>
      <w:spacing w:line="360" w:lineRule="auto"/>
    </w:pPr>
    <w:rPr>
      <w:rFonts w:ascii="宋体"/>
      <w:sz w:val="24"/>
      <w:szCs w:val="20"/>
    </w:rPr>
  </w:style>
  <w:style w:type="paragraph" w:styleId="18">
    <w:name w:val="Body Text Indent 2"/>
    <w:basedOn w:val="1"/>
    <w:qFormat/>
    <w:uiPriority w:val="0"/>
    <w:pPr>
      <w:spacing w:after="120" w:afterLines="0" w:line="480" w:lineRule="auto"/>
      <w:ind w:left="420" w:leftChars="200"/>
    </w:pPr>
  </w:style>
  <w:style w:type="paragraph" w:styleId="19">
    <w:name w:val="Balloon Text"/>
    <w:basedOn w:val="1"/>
    <w:link w:val="118"/>
    <w:qFormat/>
    <w:uiPriority w:val="0"/>
    <w:rPr>
      <w:sz w:val="18"/>
      <w:szCs w:val="18"/>
    </w:rPr>
  </w:style>
  <w:style w:type="paragraph" w:styleId="20">
    <w:name w:val="footer"/>
    <w:basedOn w:val="1"/>
    <w:next w:val="13"/>
    <w:link w:val="55"/>
    <w:qFormat/>
    <w:uiPriority w:val="99"/>
    <w:pPr>
      <w:tabs>
        <w:tab w:val="center" w:pos="4153"/>
        <w:tab w:val="right" w:pos="8306"/>
      </w:tabs>
      <w:snapToGrid w:val="0"/>
      <w:jc w:val="left"/>
    </w:pPr>
    <w:rPr>
      <w:sz w:val="18"/>
      <w:szCs w:val="18"/>
    </w:rPr>
  </w:style>
  <w:style w:type="paragraph" w:styleId="21">
    <w:name w:val="envelope return"/>
    <w:basedOn w:val="1"/>
    <w:qFormat/>
    <w:uiPriority w:val="0"/>
    <w:pPr>
      <w:snapToGrid w:val="0"/>
    </w:pPr>
    <w:rPr>
      <w:rFonts w:ascii="Arial" w:hAnsi="Arial"/>
    </w:rPr>
  </w:style>
  <w:style w:type="paragraph" w:styleId="22">
    <w:name w:val="header"/>
    <w:basedOn w:val="1"/>
    <w:link w:val="44"/>
    <w:autoRedefine/>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23">
    <w:name w:val="toc 1"/>
    <w:basedOn w:val="1"/>
    <w:next w:val="1"/>
    <w:qFormat/>
    <w:uiPriority w:val="39"/>
    <w:pPr>
      <w:tabs>
        <w:tab w:val="right" w:leader="middleDot" w:pos="8760"/>
      </w:tabs>
      <w:spacing w:line="700" w:lineRule="exact"/>
    </w:pPr>
  </w:style>
  <w:style w:type="paragraph" w:styleId="24">
    <w:name w:val="Body Text Indent 3"/>
    <w:basedOn w:val="1"/>
    <w:qFormat/>
    <w:uiPriority w:val="0"/>
    <w:pPr>
      <w:spacing w:after="120" w:afterLines="0"/>
      <w:ind w:left="420" w:leftChars="200"/>
    </w:pPr>
    <w:rPr>
      <w:sz w:val="16"/>
      <w:szCs w:val="16"/>
    </w:rPr>
  </w:style>
  <w:style w:type="paragraph" w:styleId="25">
    <w:name w:val="toc 2"/>
    <w:basedOn w:val="1"/>
    <w:next w:val="1"/>
    <w:autoRedefine/>
    <w:qFormat/>
    <w:uiPriority w:val="39"/>
    <w:pPr>
      <w:spacing w:line="240" w:lineRule="auto"/>
      <w:ind w:left="420" w:leftChars="200"/>
    </w:pPr>
  </w:style>
  <w:style w:type="paragraph" w:styleId="26">
    <w:name w:val="Message Header"/>
    <w:basedOn w:val="1"/>
    <w:next w:val="1"/>
    <w:qFormat/>
    <w:uiPriority w:val="0"/>
  </w:style>
  <w:style w:type="paragraph" w:styleId="27">
    <w:name w:val="Normal (Web)"/>
    <w:basedOn w:val="1"/>
    <w:next w:val="21"/>
    <w:link w:val="40"/>
    <w:autoRedefine/>
    <w:qFormat/>
    <w:uiPriority w:val="0"/>
    <w:pPr>
      <w:widowControl/>
      <w:spacing w:before="100" w:beforeLines="0" w:beforeAutospacing="1" w:after="100" w:afterLines="0" w:afterAutospacing="1" w:line="240" w:lineRule="auto"/>
      <w:jc w:val="left"/>
    </w:pPr>
    <w:rPr>
      <w:rFonts w:ascii="宋体" w:hAnsi="宋体" w:cs="宋体"/>
      <w:kern w:val="0"/>
      <w:sz w:val="24"/>
    </w:rPr>
  </w:style>
  <w:style w:type="paragraph" w:styleId="28">
    <w:name w:val="Body Text First Indent"/>
    <w:basedOn w:val="13"/>
    <w:next w:val="1"/>
    <w:qFormat/>
    <w:uiPriority w:val="99"/>
    <w:pPr>
      <w:ind w:firstLine="420" w:firstLineChars="100"/>
    </w:pPr>
  </w:style>
  <w:style w:type="paragraph" w:styleId="29">
    <w:name w:val="Body Text First Indent 2"/>
    <w:basedOn w:val="14"/>
    <w:link w:val="46"/>
    <w:qFormat/>
    <w:uiPriority w:val="0"/>
    <w:pPr>
      <w:spacing w:after="120"/>
      <w:ind w:left="420" w:leftChars="200" w:firstLine="420" w:firstLineChars="200"/>
    </w:pPr>
    <w:rPr>
      <w:rFonts w:ascii="Times New Roman" w:hAnsi="Times New Roman"/>
    </w:rPr>
  </w:style>
  <w:style w:type="table" w:styleId="31">
    <w:name w:val="Table Grid"/>
    <w:basedOn w:val="30"/>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autoRedefine/>
    <w:qFormat/>
    <w:uiPriority w:val="22"/>
    <w:rPr>
      <w:b/>
      <w:bCs/>
    </w:rPr>
  </w:style>
  <w:style w:type="character" w:styleId="34">
    <w:name w:val="page number"/>
    <w:qFormat/>
    <w:uiPriority w:val="0"/>
  </w:style>
  <w:style w:type="character" w:styleId="35">
    <w:name w:val="FollowedHyperlink"/>
    <w:autoRedefine/>
    <w:qFormat/>
    <w:uiPriority w:val="0"/>
    <w:rPr>
      <w:color w:val="800080"/>
      <w:u w:val="single"/>
    </w:rPr>
  </w:style>
  <w:style w:type="character" w:styleId="36">
    <w:name w:val="Emphasis"/>
    <w:basedOn w:val="32"/>
    <w:autoRedefine/>
    <w:qFormat/>
    <w:uiPriority w:val="0"/>
    <w:rPr>
      <w:i/>
      <w:iCs/>
    </w:rPr>
  </w:style>
  <w:style w:type="character" w:styleId="37">
    <w:name w:val="Hyperlink"/>
    <w:autoRedefine/>
    <w:qFormat/>
    <w:uiPriority w:val="99"/>
    <w:rPr>
      <w:color w:val="0000FF"/>
      <w:u w:val="single"/>
    </w:rPr>
  </w:style>
  <w:style w:type="character" w:styleId="38">
    <w:name w:val="HTML Code"/>
    <w:basedOn w:val="32"/>
    <w:autoRedefine/>
    <w:qFormat/>
    <w:uiPriority w:val="0"/>
    <w:rPr>
      <w:rFonts w:ascii="Consolas" w:hAnsi="Consolas" w:eastAsia="Consolas" w:cs="Consolas"/>
      <w:color w:val="DD1144"/>
      <w:sz w:val="18"/>
      <w:szCs w:val="18"/>
      <w:bdr w:val="single" w:color="E1E1E8" w:sz="6" w:space="0"/>
      <w:shd w:val="clear" w:fill="F7F7F9"/>
    </w:rPr>
  </w:style>
  <w:style w:type="character" w:styleId="39">
    <w:name w:val="HTML Cite"/>
    <w:basedOn w:val="32"/>
    <w:autoRedefine/>
    <w:qFormat/>
    <w:uiPriority w:val="0"/>
  </w:style>
  <w:style w:type="character" w:customStyle="1" w:styleId="40">
    <w:name w:val="普通(网站) Char"/>
    <w:link w:val="27"/>
    <w:autoRedefine/>
    <w:qFormat/>
    <w:uiPriority w:val="99"/>
    <w:rPr>
      <w:rFonts w:ascii="宋体" w:hAnsi="宋体" w:cs="宋体"/>
      <w:sz w:val="24"/>
      <w:szCs w:val="24"/>
    </w:rPr>
  </w:style>
  <w:style w:type="character" w:customStyle="1" w:styleId="41">
    <w:name w:val="正文缩进 Char"/>
    <w:link w:val="9"/>
    <w:autoRedefine/>
    <w:qFormat/>
    <w:uiPriority w:val="0"/>
    <w:rPr>
      <w:rFonts w:ascii="楷体_GB2312" w:eastAsia="楷体_GB2312"/>
      <w:sz w:val="32"/>
      <w:szCs w:val="32"/>
      <w:lang w:val="en-US" w:eastAsia="zh-CN" w:bidi="ar-SA"/>
    </w:rPr>
  </w:style>
  <w:style w:type="character" w:customStyle="1" w:styleId="42">
    <w:name w:val="纯文本 Char1"/>
    <w:autoRedefine/>
    <w:qFormat/>
    <w:locked/>
    <w:uiPriority w:val="0"/>
    <w:rPr>
      <w:rFonts w:ascii="宋体" w:hAnsi="Courier New" w:eastAsia="宋体" w:cs="Courier New"/>
      <w:kern w:val="2"/>
      <w:sz w:val="21"/>
      <w:szCs w:val="21"/>
      <w:lang w:val="en-US" w:eastAsia="zh-CN" w:bidi="ar-SA"/>
    </w:rPr>
  </w:style>
  <w:style w:type="character" w:customStyle="1" w:styleId="43">
    <w:name w:val="标题 1 Char"/>
    <w:link w:val="2"/>
    <w:autoRedefine/>
    <w:qFormat/>
    <w:uiPriority w:val="0"/>
    <w:rPr>
      <w:b/>
      <w:bCs/>
      <w:kern w:val="44"/>
      <w:sz w:val="30"/>
      <w:szCs w:val="44"/>
    </w:rPr>
  </w:style>
  <w:style w:type="character" w:customStyle="1" w:styleId="44">
    <w:name w:val="页眉 Char"/>
    <w:link w:val="22"/>
    <w:autoRedefine/>
    <w:qFormat/>
    <w:uiPriority w:val="99"/>
    <w:rPr>
      <w:kern w:val="2"/>
      <w:sz w:val="18"/>
      <w:szCs w:val="18"/>
    </w:rPr>
  </w:style>
  <w:style w:type="character" w:customStyle="1" w:styleId="45">
    <w:name w:val="标题 2 Char"/>
    <w:link w:val="3"/>
    <w:autoRedefine/>
    <w:qFormat/>
    <w:uiPriority w:val="0"/>
    <w:rPr>
      <w:rFonts w:ascii="Arial" w:hAnsi="Arial"/>
      <w:b/>
      <w:bCs/>
      <w:sz w:val="28"/>
      <w:szCs w:val="32"/>
    </w:rPr>
  </w:style>
  <w:style w:type="character" w:customStyle="1" w:styleId="46">
    <w:name w:val="正文首行缩进 2 Char"/>
    <w:basedOn w:val="47"/>
    <w:link w:val="29"/>
    <w:autoRedefine/>
    <w:qFormat/>
    <w:uiPriority w:val="0"/>
  </w:style>
  <w:style w:type="character" w:customStyle="1" w:styleId="47">
    <w:name w:val="正文文本缩进 Char"/>
    <w:link w:val="14"/>
    <w:autoRedefine/>
    <w:qFormat/>
    <w:uiPriority w:val="0"/>
    <w:rPr>
      <w:rFonts w:ascii="宋体" w:hAnsi="宋体"/>
      <w:kern w:val="2"/>
      <w:sz w:val="21"/>
      <w:szCs w:val="24"/>
    </w:rPr>
  </w:style>
  <w:style w:type="character" w:customStyle="1" w:styleId="48">
    <w:name w:val="09正文_wh Char Char"/>
    <w:link w:val="49"/>
    <w:autoRedefine/>
    <w:qFormat/>
    <w:uiPriority w:val="0"/>
    <w:rPr>
      <w:sz w:val="28"/>
      <w:lang w:val="en-US" w:eastAsia="zh-CN" w:bidi="ar-SA"/>
    </w:rPr>
  </w:style>
  <w:style w:type="paragraph" w:customStyle="1" w:styleId="49">
    <w:name w:val="09正文_wh"/>
    <w:link w:val="48"/>
    <w:autoRedefine/>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character" w:customStyle="1" w:styleId="50">
    <w:name w:val="纯文本 Char"/>
    <w:link w:val="16"/>
    <w:autoRedefine/>
    <w:qFormat/>
    <w:locked/>
    <w:uiPriority w:val="0"/>
    <w:rPr>
      <w:rFonts w:ascii="宋体" w:hAnsi="Courier New" w:eastAsia="宋体" w:cs="Courier New"/>
      <w:kern w:val="2"/>
      <w:sz w:val="21"/>
      <w:szCs w:val="21"/>
      <w:lang w:val="en-US" w:eastAsia="zh-CN" w:bidi="ar-SA"/>
    </w:rPr>
  </w:style>
  <w:style w:type="character" w:customStyle="1" w:styleId="51">
    <w:name w:val="批注文字 Char"/>
    <w:link w:val="12"/>
    <w:autoRedefine/>
    <w:qFormat/>
    <w:uiPriority w:val="0"/>
    <w:rPr>
      <w:kern w:val="2"/>
      <w:sz w:val="21"/>
      <w:szCs w:val="24"/>
    </w:rPr>
  </w:style>
  <w:style w:type="character" w:customStyle="1" w:styleId="52">
    <w:name w:val=" Char Char Char Char"/>
    <w:link w:val="53"/>
    <w:autoRedefine/>
    <w:qFormat/>
    <w:uiPriority w:val="0"/>
    <w:rPr>
      <w:rFonts w:eastAsia="宋体"/>
      <w:kern w:val="2"/>
      <w:sz w:val="21"/>
      <w:szCs w:val="24"/>
      <w:lang w:val="en-US" w:eastAsia="zh-CN" w:bidi="ar-SA"/>
    </w:rPr>
  </w:style>
  <w:style w:type="paragraph" w:customStyle="1" w:styleId="53">
    <w:name w:val=" Char"/>
    <w:basedOn w:val="1"/>
    <w:link w:val="52"/>
    <w:autoRedefine/>
    <w:qFormat/>
    <w:uiPriority w:val="0"/>
    <w:pPr>
      <w:spacing w:line="240" w:lineRule="auto"/>
    </w:pPr>
    <w:rPr>
      <w:rFonts w:eastAsia="宋体"/>
      <w:kern w:val="2"/>
      <w:sz w:val="21"/>
      <w:szCs w:val="24"/>
      <w:lang w:val="en-US" w:eastAsia="zh-CN" w:bidi="ar-SA"/>
    </w:rPr>
  </w:style>
  <w:style w:type="character" w:customStyle="1" w:styleId="54">
    <w:name w:val="tmpztreemove_arrow"/>
    <w:autoRedefine/>
    <w:qFormat/>
    <w:uiPriority w:val="0"/>
    <w:rPr>
      <w:shd w:val="clear" w:color="auto" w:fill="FFFFFF"/>
    </w:rPr>
  </w:style>
  <w:style w:type="character" w:customStyle="1" w:styleId="55">
    <w:name w:val="页脚 Char"/>
    <w:link w:val="20"/>
    <w:autoRedefine/>
    <w:qFormat/>
    <w:uiPriority w:val="99"/>
    <w:rPr>
      <w:kern w:val="2"/>
      <w:sz w:val="18"/>
      <w:szCs w:val="18"/>
    </w:rPr>
  </w:style>
  <w:style w:type="character" w:customStyle="1" w:styleId="56">
    <w:name w:val="List Paragraph Char1"/>
    <w:link w:val="57"/>
    <w:autoRedefine/>
    <w:qFormat/>
    <w:locked/>
    <w:uiPriority w:val="0"/>
    <w:rPr>
      <w:rFonts w:eastAsia="宋体"/>
      <w:sz w:val="24"/>
      <w:lang w:val="en-US" w:eastAsia="zh-CN" w:bidi="ar-SA"/>
    </w:rPr>
  </w:style>
  <w:style w:type="paragraph" w:customStyle="1" w:styleId="57">
    <w:name w:val="List Paragraph1"/>
    <w:basedOn w:val="1"/>
    <w:link w:val="56"/>
    <w:autoRedefine/>
    <w:qFormat/>
    <w:uiPriority w:val="0"/>
    <w:pPr>
      <w:spacing w:line="240" w:lineRule="auto"/>
      <w:ind w:firstLine="420" w:firstLineChars="200"/>
    </w:pPr>
    <w:rPr>
      <w:kern w:val="0"/>
      <w:sz w:val="24"/>
      <w:szCs w:val="20"/>
    </w:rPr>
  </w:style>
  <w:style w:type="character" w:customStyle="1" w:styleId="58">
    <w:name w:val="正文文本 Char"/>
    <w:link w:val="13"/>
    <w:autoRedefine/>
    <w:qFormat/>
    <w:uiPriority w:val="0"/>
    <w:rPr>
      <w:color w:val="993300"/>
      <w:kern w:val="2"/>
      <w:sz w:val="24"/>
      <w:szCs w:val="24"/>
    </w:rPr>
  </w:style>
  <w:style w:type="paragraph" w:customStyle="1" w:styleId="59">
    <w:name w:val="font5"/>
    <w:basedOn w:val="1"/>
    <w:autoRedefine/>
    <w:qFormat/>
    <w:uiPriority w:val="0"/>
    <w:pPr>
      <w:widowControl/>
      <w:spacing w:before="100" w:beforeLines="0" w:beforeAutospacing="1" w:after="100" w:afterLines="0" w:afterAutospacing="1" w:line="240" w:lineRule="auto"/>
      <w:jc w:val="left"/>
    </w:pPr>
    <w:rPr>
      <w:rFonts w:ascii="宋体" w:hAnsi="宋体" w:cs="宋体"/>
      <w:kern w:val="0"/>
      <w:sz w:val="18"/>
      <w:szCs w:val="18"/>
    </w:rPr>
  </w:style>
  <w:style w:type="paragraph" w:customStyle="1" w:styleId="60">
    <w:name w:val="xl4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center"/>
      <w:textAlignment w:val="center"/>
    </w:pPr>
    <w:rPr>
      <w:rFonts w:ascii="宋体" w:hAnsi="宋体" w:cs="宋体"/>
      <w:b/>
      <w:bCs/>
      <w:kern w:val="0"/>
      <w:sz w:val="24"/>
    </w:rPr>
  </w:style>
  <w:style w:type="paragraph" w:customStyle="1" w:styleId="61">
    <w:name w:val=" Char Char2 Char Char Char Char Char Char Char Char"/>
    <w:basedOn w:val="1"/>
    <w:autoRedefine/>
    <w:qFormat/>
    <w:uiPriority w:val="0"/>
    <w:pPr>
      <w:spacing w:line="240" w:lineRule="auto"/>
    </w:pPr>
    <w:rPr>
      <w:rFonts w:ascii="Tahoma" w:hAnsi="Tahoma"/>
      <w:sz w:val="24"/>
      <w:szCs w:val="20"/>
    </w:rPr>
  </w:style>
  <w:style w:type="paragraph" w:customStyle="1" w:styleId="62">
    <w:name w:val="xl4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center"/>
      <w:textAlignment w:val="center"/>
    </w:pPr>
    <w:rPr>
      <w:rFonts w:ascii="宋体" w:hAnsi="宋体" w:cs="宋体"/>
      <w:kern w:val="0"/>
      <w:sz w:val="24"/>
    </w:rPr>
  </w:style>
  <w:style w:type="paragraph" w:customStyle="1" w:styleId="63">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center"/>
    </w:pPr>
    <w:rPr>
      <w:rFonts w:ascii="宋体" w:hAnsi="宋体" w:cs="宋体"/>
      <w:kern w:val="0"/>
      <w:sz w:val="24"/>
    </w:rPr>
  </w:style>
  <w:style w:type="paragraph" w:customStyle="1" w:styleId="64">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left"/>
    </w:pPr>
    <w:rPr>
      <w:rFonts w:ascii="宋体" w:hAnsi="宋体" w:cs="宋体"/>
      <w:b/>
      <w:bCs/>
      <w:kern w:val="0"/>
      <w:sz w:val="28"/>
      <w:szCs w:val="28"/>
    </w:rPr>
  </w:style>
  <w:style w:type="paragraph" w:customStyle="1" w:styleId="65">
    <w:name w:val="xl58"/>
    <w:basedOn w:val="1"/>
    <w:autoRedefine/>
    <w:qFormat/>
    <w:uiPriority w:val="0"/>
    <w:pPr>
      <w:widowControl/>
      <w:pBdr>
        <w:top w:val="single" w:color="auto" w:sz="4" w:space="0"/>
        <w:bottom w:val="single" w:color="auto" w:sz="4" w:space="0"/>
        <w:right w:val="single" w:color="auto" w:sz="4" w:space="0"/>
      </w:pBdr>
      <w:spacing w:before="100" w:beforeLines="0" w:beforeAutospacing="1" w:after="100" w:afterLines="0" w:afterAutospacing="1" w:line="240" w:lineRule="auto"/>
      <w:jc w:val="left"/>
    </w:pPr>
    <w:rPr>
      <w:rFonts w:ascii="宋体" w:hAnsi="宋体" w:cs="宋体"/>
      <w:b/>
      <w:bCs/>
      <w:kern w:val="0"/>
      <w:sz w:val="24"/>
    </w:rPr>
  </w:style>
  <w:style w:type="paragraph" w:customStyle="1" w:styleId="66">
    <w:name w:val=" Char Char Char Char Char Char Char Char Char Char"/>
    <w:basedOn w:val="1"/>
    <w:autoRedefine/>
    <w:qFormat/>
    <w:uiPriority w:val="0"/>
    <w:pPr>
      <w:spacing w:line="240" w:lineRule="auto"/>
    </w:pPr>
    <w:rPr>
      <w:rFonts w:ascii="Tahoma" w:hAnsi="Tahoma"/>
      <w:sz w:val="24"/>
      <w:szCs w:val="20"/>
    </w:rPr>
  </w:style>
  <w:style w:type="paragraph" w:customStyle="1" w:styleId="67">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left"/>
      <w:textAlignment w:val="center"/>
    </w:pPr>
    <w:rPr>
      <w:rFonts w:ascii="宋体" w:hAnsi="宋体" w:cs="宋体"/>
      <w:kern w:val="0"/>
      <w:sz w:val="24"/>
    </w:rPr>
  </w:style>
  <w:style w:type="paragraph" w:customStyle="1" w:styleId="68">
    <w:name w:val="_Style 61"/>
    <w:autoRedefine/>
    <w:unhideWhenUsed/>
    <w:qFormat/>
    <w:uiPriority w:val="99"/>
    <w:rPr>
      <w:rFonts w:ascii="Times New Roman" w:hAnsi="Times New Roman" w:eastAsia="宋体" w:cs="Times New Roman"/>
      <w:kern w:val="2"/>
      <w:sz w:val="21"/>
      <w:szCs w:val="24"/>
      <w:lang w:val="en-US" w:eastAsia="zh-CN" w:bidi="ar-SA"/>
    </w:rPr>
  </w:style>
  <w:style w:type="paragraph" w:customStyle="1" w:styleId="69">
    <w:name w:val="xl39"/>
    <w:basedOn w:val="1"/>
    <w:autoRedefine/>
    <w:qFormat/>
    <w:uiPriority w:val="0"/>
    <w:pPr>
      <w:widowControl/>
      <w:spacing w:before="100" w:beforeLines="0" w:beforeAutospacing="1" w:after="100" w:afterLines="0" w:afterAutospacing="1" w:line="240" w:lineRule="auto"/>
      <w:jc w:val="left"/>
    </w:pPr>
    <w:rPr>
      <w:rFonts w:ascii="宋体" w:hAnsi="宋体" w:cs="宋体"/>
      <w:kern w:val="0"/>
      <w:sz w:val="24"/>
    </w:rPr>
  </w:style>
  <w:style w:type="paragraph" w:customStyle="1" w:styleId="70">
    <w:name w:val="xl57"/>
    <w:basedOn w:val="1"/>
    <w:autoRedefine/>
    <w:qFormat/>
    <w:uiPriority w:val="0"/>
    <w:pPr>
      <w:widowControl/>
      <w:pBdr>
        <w:top w:val="single" w:color="auto" w:sz="4" w:space="0"/>
        <w:bottom w:val="single" w:color="auto" w:sz="4" w:space="0"/>
      </w:pBdr>
      <w:spacing w:before="100" w:beforeLines="0" w:beforeAutospacing="1" w:after="100" w:afterLines="0" w:afterAutospacing="1" w:line="240" w:lineRule="auto"/>
      <w:jc w:val="left"/>
    </w:pPr>
    <w:rPr>
      <w:rFonts w:ascii="宋体" w:hAnsi="宋体" w:cs="宋体"/>
      <w:b/>
      <w:bCs/>
      <w:kern w:val="0"/>
      <w:sz w:val="24"/>
    </w:rPr>
  </w:style>
  <w:style w:type="paragraph" w:customStyle="1" w:styleId="71">
    <w:name w:val=" Char Char2 Char Char Char Char"/>
    <w:basedOn w:val="1"/>
    <w:autoRedefine/>
    <w:qFormat/>
    <w:uiPriority w:val="0"/>
    <w:pPr>
      <w:spacing w:line="240" w:lineRule="auto"/>
    </w:pPr>
    <w:rPr>
      <w:rFonts w:ascii="Tahoma" w:hAnsi="Tahoma"/>
      <w:sz w:val="24"/>
      <w:szCs w:val="20"/>
    </w:rPr>
  </w:style>
  <w:style w:type="paragraph" w:customStyle="1" w:styleId="72">
    <w:name w:val=" Char Char2 Char Char"/>
    <w:basedOn w:val="1"/>
    <w:autoRedefine/>
    <w:qFormat/>
    <w:uiPriority w:val="0"/>
    <w:pPr>
      <w:spacing w:line="240" w:lineRule="auto"/>
    </w:pPr>
    <w:rPr>
      <w:rFonts w:ascii="Tahoma" w:hAnsi="Tahoma"/>
      <w:sz w:val="24"/>
      <w:szCs w:val="20"/>
    </w:rPr>
  </w:style>
  <w:style w:type="paragraph" w:customStyle="1" w:styleId="73">
    <w:name w:val="正文文本 31"/>
    <w:basedOn w:val="1"/>
    <w:autoRedefine/>
    <w:qFormat/>
    <w:uiPriority w:val="0"/>
    <w:pPr>
      <w:spacing w:line="240" w:lineRule="auto"/>
    </w:pPr>
    <w:rPr>
      <w:sz w:val="16"/>
      <w:szCs w:val="16"/>
    </w:rPr>
  </w:style>
  <w:style w:type="paragraph" w:customStyle="1" w:styleId="74">
    <w:name w:val=" Char Char1"/>
    <w:basedOn w:val="1"/>
    <w:autoRedefine/>
    <w:qFormat/>
    <w:uiPriority w:val="0"/>
    <w:pPr>
      <w:spacing w:line="240" w:lineRule="auto"/>
    </w:pPr>
    <w:rPr>
      <w:rFonts w:ascii="Tahoma" w:hAnsi="Tahoma"/>
      <w:sz w:val="24"/>
      <w:szCs w:val="20"/>
    </w:rPr>
  </w:style>
  <w:style w:type="paragraph" w:customStyle="1" w:styleId="75">
    <w:name w:val=" Char Char1 Char Char"/>
    <w:basedOn w:val="1"/>
    <w:autoRedefine/>
    <w:qFormat/>
    <w:uiPriority w:val="0"/>
    <w:pPr>
      <w:spacing w:line="240" w:lineRule="auto"/>
    </w:pPr>
    <w:rPr>
      <w:rFonts w:ascii="Tahoma" w:hAnsi="Tahoma"/>
      <w:sz w:val="24"/>
      <w:szCs w:val="20"/>
    </w:rPr>
  </w:style>
  <w:style w:type="paragraph" w:customStyle="1" w:styleId="76">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center"/>
    </w:pPr>
    <w:rPr>
      <w:rFonts w:ascii="宋体" w:hAnsi="宋体" w:cs="宋体"/>
      <w:color w:val="000000"/>
      <w:kern w:val="0"/>
      <w:sz w:val="24"/>
    </w:rPr>
  </w:style>
  <w:style w:type="paragraph" w:customStyle="1" w:styleId="77">
    <w:name w:val=" Char2 Char Char Char"/>
    <w:basedOn w:val="1"/>
    <w:autoRedefine/>
    <w:qFormat/>
    <w:uiPriority w:val="0"/>
    <w:pPr>
      <w:spacing w:line="240" w:lineRule="auto"/>
    </w:pPr>
    <w:rPr>
      <w:rFonts w:ascii="Tahoma" w:hAnsi="Tahoma"/>
      <w:sz w:val="24"/>
      <w:szCs w:val="20"/>
    </w:rPr>
  </w:style>
  <w:style w:type="paragraph" w:customStyle="1" w:styleId="78">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left"/>
    </w:pPr>
    <w:rPr>
      <w:rFonts w:ascii="宋体" w:hAnsi="宋体" w:cs="宋体"/>
      <w:kern w:val="0"/>
      <w:sz w:val="24"/>
    </w:rPr>
  </w:style>
  <w:style w:type="paragraph" w:customStyle="1" w:styleId="79">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center"/>
    </w:pPr>
    <w:rPr>
      <w:rFonts w:ascii="宋体" w:hAnsi="宋体" w:cs="宋体"/>
      <w:b/>
      <w:bCs/>
      <w:kern w:val="0"/>
      <w:sz w:val="24"/>
    </w:rPr>
  </w:style>
  <w:style w:type="paragraph" w:customStyle="1" w:styleId="80">
    <w:name w:val="样式3"/>
    <w:basedOn w:val="16"/>
    <w:autoRedefine/>
    <w:qFormat/>
    <w:uiPriority w:val="0"/>
    <w:pPr>
      <w:spacing w:line="0" w:lineRule="atLeast"/>
      <w:outlineLvl w:val="0"/>
    </w:pPr>
    <w:rPr>
      <w:rFonts w:cs="Times New Roman"/>
      <w:sz w:val="28"/>
      <w:szCs w:val="24"/>
    </w:rPr>
  </w:style>
  <w:style w:type="paragraph" w:customStyle="1" w:styleId="81">
    <w:name w:val=" Char Char12 Char Char"/>
    <w:basedOn w:val="1"/>
    <w:autoRedefine/>
    <w:qFormat/>
    <w:uiPriority w:val="0"/>
    <w:pPr>
      <w:spacing w:line="240" w:lineRule="auto"/>
    </w:pPr>
    <w:rPr>
      <w:rFonts w:ascii="Tahoma" w:hAnsi="Tahoma"/>
      <w:sz w:val="24"/>
      <w:szCs w:val="20"/>
    </w:rPr>
  </w:style>
  <w:style w:type="paragraph" w:customStyle="1" w:styleId="82">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left"/>
      <w:textAlignment w:val="center"/>
    </w:pPr>
    <w:rPr>
      <w:rFonts w:ascii="宋体" w:hAnsi="宋体" w:cs="宋体"/>
      <w:kern w:val="0"/>
      <w:sz w:val="24"/>
    </w:rPr>
  </w:style>
  <w:style w:type="paragraph" w:styleId="83">
    <w:name w:val="List Paragraph"/>
    <w:basedOn w:val="1"/>
    <w:autoRedefine/>
    <w:qFormat/>
    <w:uiPriority w:val="34"/>
    <w:pPr>
      <w:widowControl/>
      <w:spacing w:line="240" w:lineRule="auto"/>
      <w:ind w:left="720"/>
      <w:contextualSpacing/>
      <w:jc w:val="left"/>
    </w:pPr>
    <w:rPr>
      <w:rFonts w:ascii="Calibri" w:hAnsi="Calibri"/>
      <w:kern w:val="0"/>
      <w:sz w:val="24"/>
      <w:lang w:eastAsia="en-US" w:bidi="en-US"/>
    </w:rPr>
  </w:style>
  <w:style w:type="paragraph" w:customStyle="1" w:styleId="84">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center"/>
    </w:pPr>
    <w:rPr>
      <w:rFonts w:ascii="宋体" w:hAnsi="宋体" w:cs="宋体"/>
      <w:kern w:val="0"/>
      <w:sz w:val="24"/>
    </w:rPr>
  </w:style>
  <w:style w:type="paragraph" w:customStyle="1" w:styleId="85">
    <w:name w:val="xl61"/>
    <w:basedOn w:val="1"/>
    <w:autoRedefine/>
    <w:qFormat/>
    <w:uiPriority w:val="0"/>
    <w:pPr>
      <w:widowControl/>
      <w:pBdr>
        <w:top w:val="single" w:color="auto" w:sz="4" w:space="0"/>
      </w:pBdr>
      <w:spacing w:before="100" w:beforeLines="0" w:beforeAutospacing="1" w:after="100" w:afterLines="0" w:afterAutospacing="1" w:line="240" w:lineRule="auto"/>
      <w:jc w:val="left"/>
    </w:pPr>
    <w:rPr>
      <w:rFonts w:ascii="宋体" w:hAnsi="宋体" w:cs="宋体"/>
      <w:b/>
      <w:bCs/>
      <w:kern w:val="0"/>
      <w:sz w:val="24"/>
    </w:rPr>
  </w:style>
  <w:style w:type="paragraph" w:customStyle="1" w:styleId="86">
    <w:name w:val=" Char Char3"/>
    <w:basedOn w:val="1"/>
    <w:autoRedefine/>
    <w:qFormat/>
    <w:uiPriority w:val="0"/>
    <w:pPr>
      <w:spacing w:line="240" w:lineRule="auto"/>
    </w:pPr>
  </w:style>
  <w:style w:type="paragraph" w:customStyle="1" w:styleId="87">
    <w:name w:val="xl62"/>
    <w:basedOn w:val="1"/>
    <w:autoRedefine/>
    <w:qFormat/>
    <w:uiPriority w:val="0"/>
    <w:pPr>
      <w:widowControl/>
      <w:pBdr>
        <w:top w:val="single" w:color="auto" w:sz="4" w:space="0"/>
        <w:right w:val="single" w:color="auto" w:sz="4" w:space="0"/>
      </w:pBdr>
      <w:spacing w:before="100" w:beforeLines="0" w:beforeAutospacing="1" w:after="100" w:afterLines="0" w:afterAutospacing="1" w:line="240" w:lineRule="auto"/>
      <w:jc w:val="left"/>
    </w:pPr>
    <w:rPr>
      <w:rFonts w:ascii="宋体" w:hAnsi="宋体" w:cs="宋体"/>
      <w:b/>
      <w:bCs/>
      <w:kern w:val="0"/>
      <w:sz w:val="24"/>
    </w:rPr>
  </w:style>
  <w:style w:type="paragraph" w:customStyle="1" w:styleId="88">
    <w:name w:val="Char2 Char Char Char"/>
    <w:basedOn w:val="1"/>
    <w:autoRedefine/>
    <w:qFormat/>
    <w:uiPriority w:val="0"/>
    <w:pPr>
      <w:spacing w:line="240" w:lineRule="auto"/>
    </w:pPr>
    <w:rPr>
      <w:rFonts w:ascii="Tahoma" w:hAnsi="Tahoma"/>
      <w:sz w:val="24"/>
      <w:szCs w:val="20"/>
    </w:rPr>
  </w:style>
  <w:style w:type="paragraph" w:customStyle="1" w:styleId="89">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center"/>
    </w:pPr>
    <w:rPr>
      <w:rFonts w:ascii="宋体" w:hAnsi="宋体" w:cs="宋体"/>
      <w:kern w:val="0"/>
      <w:sz w:val="24"/>
    </w:rPr>
  </w:style>
  <w:style w:type="paragraph" w:customStyle="1" w:styleId="90">
    <w:name w:val="04正文二级标题"/>
    <w:autoRedefine/>
    <w:qFormat/>
    <w:uiPriority w:val="0"/>
    <w:pPr>
      <w:spacing w:line="300" w:lineRule="auto"/>
      <w:ind w:firstLine="200" w:firstLineChars="200"/>
      <w:jc w:val="both"/>
    </w:pPr>
    <w:rPr>
      <w:rFonts w:ascii="Times New Roman" w:hAnsi="Times New Roman" w:eastAsia="黑体" w:cs="Times New Roman"/>
      <w:sz w:val="28"/>
      <w:lang w:val="en-US" w:eastAsia="zh-CN" w:bidi="ar-SA"/>
    </w:rPr>
  </w:style>
  <w:style w:type="paragraph" w:customStyle="1" w:styleId="91">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center"/>
      <w:textAlignment w:val="center"/>
    </w:pPr>
    <w:rPr>
      <w:rFonts w:ascii="宋体" w:hAnsi="宋体" w:cs="宋体"/>
      <w:kern w:val="0"/>
      <w:sz w:val="24"/>
    </w:rPr>
  </w:style>
  <w:style w:type="paragraph" w:customStyle="1" w:styleId="92">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center"/>
    </w:pPr>
    <w:rPr>
      <w:rFonts w:ascii="宋体" w:hAnsi="宋体" w:cs="宋体"/>
      <w:kern w:val="0"/>
      <w:sz w:val="24"/>
    </w:rPr>
  </w:style>
  <w:style w:type="paragraph" w:customStyle="1" w:styleId="93">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center"/>
      <w:textAlignment w:val="center"/>
    </w:pPr>
    <w:rPr>
      <w:rFonts w:ascii="宋体" w:hAnsi="宋体" w:cs="宋体"/>
      <w:kern w:val="0"/>
      <w:sz w:val="24"/>
    </w:rPr>
  </w:style>
  <w:style w:type="paragraph" w:customStyle="1" w:styleId="94">
    <w:name w:val="xl51"/>
    <w:basedOn w:val="1"/>
    <w:autoRedefine/>
    <w:qFormat/>
    <w:uiPriority w:val="0"/>
    <w:pPr>
      <w:widowControl/>
      <w:pBdr>
        <w:top w:val="single" w:color="auto" w:sz="4" w:space="0"/>
        <w:left w:val="single" w:color="auto" w:sz="4" w:space="0"/>
        <w:right w:val="single" w:color="auto" w:sz="4" w:space="0"/>
      </w:pBdr>
      <w:spacing w:before="100" w:beforeLines="0" w:beforeAutospacing="1" w:after="100" w:afterLines="0" w:afterAutospacing="1" w:line="240" w:lineRule="auto"/>
      <w:jc w:val="left"/>
    </w:pPr>
    <w:rPr>
      <w:rFonts w:ascii="宋体" w:hAnsi="宋体" w:cs="宋体"/>
      <w:b/>
      <w:bCs/>
      <w:kern w:val="0"/>
      <w:sz w:val="24"/>
    </w:rPr>
  </w:style>
  <w:style w:type="paragraph" w:customStyle="1" w:styleId="95">
    <w:name w:val="Default"/>
    <w:autoRedefine/>
    <w:qFormat/>
    <w:uiPriority w:val="0"/>
    <w:pPr>
      <w:autoSpaceDE w:val="0"/>
      <w:autoSpaceDN w:val="0"/>
      <w:adjustRightInd w:val="0"/>
    </w:pPr>
    <w:rPr>
      <w:rFonts w:ascii="...." w:hAnsi="CG Times (W1)" w:eastAsia="...." w:cs="...."/>
      <w:color w:val="000000"/>
      <w:sz w:val="24"/>
      <w:szCs w:val="24"/>
      <w:lang w:val="en-GB" w:eastAsia="zh-CN" w:bidi="ar-SA"/>
    </w:rPr>
  </w:style>
  <w:style w:type="paragraph" w:customStyle="1" w:styleId="96">
    <w:name w:val="xl5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center"/>
      <w:textAlignment w:val="center"/>
    </w:pPr>
    <w:rPr>
      <w:rFonts w:ascii="宋体" w:hAnsi="宋体" w:cs="宋体"/>
      <w:kern w:val="0"/>
      <w:sz w:val="24"/>
    </w:rPr>
  </w:style>
  <w:style w:type="paragraph" w:customStyle="1" w:styleId="97">
    <w:name w:val="xl4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center"/>
      <w:textAlignment w:val="center"/>
    </w:pPr>
    <w:rPr>
      <w:rFonts w:ascii="宋体" w:hAnsi="宋体" w:cs="宋体"/>
      <w:b/>
      <w:bCs/>
      <w:kern w:val="0"/>
      <w:sz w:val="24"/>
    </w:rPr>
  </w:style>
  <w:style w:type="paragraph" w:customStyle="1" w:styleId="98">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left"/>
    </w:pPr>
    <w:rPr>
      <w:rFonts w:ascii="宋体" w:hAnsi="宋体" w:cs="宋体"/>
      <w:color w:val="000000"/>
      <w:kern w:val="0"/>
      <w:sz w:val="24"/>
    </w:rPr>
  </w:style>
  <w:style w:type="paragraph" w:customStyle="1" w:styleId="99">
    <w:name w:val="xl50"/>
    <w:basedOn w:val="1"/>
    <w:autoRedefine/>
    <w:qFormat/>
    <w:uiPriority w:val="0"/>
    <w:pPr>
      <w:widowControl/>
      <w:pBdr>
        <w:top w:val="single" w:color="auto" w:sz="4" w:space="0"/>
        <w:left w:val="single" w:color="auto" w:sz="4" w:space="0"/>
        <w:right w:val="single" w:color="auto" w:sz="4" w:space="0"/>
      </w:pBdr>
      <w:spacing w:before="100" w:beforeLines="0" w:beforeAutospacing="1" w:after="100" w:afterLines="0" w:afterAutospacing="1" w:line="240" w:lineRule="auto"/>
      <w:jc w:val="center"/>
    </w:pPr>
    <w:rPr>
      <w:rFonts w:ascii="宋体" w:hAnsi="宋体" w:cs="宋体"/>
      <w:b/>
      <w:bCs/>
      <w:kern w:val="0"/>
      <w:sz w:val="24"/>
    </w:rPr>
  </w:style>
  <w:style w:type="paragraph" w:customStyle="1" w:styleId="100">
    <w:name w:val="xl56"/>
    <w:basedOn w:val="1"/>
    <w:autoRedefine/>
    <w:qFormat/>
    <w:uiPriority w:val="0"/>
    <w:pPr>
      <w:widowControl/>
      <w:pBdr>
        <w:top w:val="single" w:color="auto" w:sz="4" w:space="0"/>
        <w:left w:val="single" w:color="auto" w:sz="4" w:space="0"/>
        <w:bottom w:val="single" w:color="auto" w:sz="4" w:space="0"/>
      </w:pBdr>
      <w:spacing w:before="100" w:beforeLines="0" w:beforeAutospacing="1" w:after="100" w:afterLines="0" w:afterAutospacing="1" w:line="240" w:lineRule="auto"/>
      <w:jc w:val="left"/>
    </w:pPr>
    <w:rPr>
      <w:rFonts w:ascii="宋体" w:hAnsi="宋体" w:cs="宋体"/>
      <w:b/>
      <w:bCs/>
      <w:kern w:val="0"/>
      <w:sz w:val="24"/>
    </w:rPr>
  </w:style>
  <w:style w:type="paragraph" w:customStyle="1" w:styleId="101">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left"/>
    </w:pPr>
    <w:rPr>
      <w:rFonts w:ascii="宋体" w:hAnsi="宋体" w:cs="宋体"/>
      <w:kern w:val="0"/>
      <w:sz w:val="24"/>
    </w:rPr>
  </w:style>
  <w:style w:type="paragraph" w:customStyle="1" w:styleId="102">
    <w:name w:val="xl55"/>
    <w:basedOn w:val="1"/>
    <w:autoRedefine/>
    <w:qFormat/>
    <w:uiPriority w:val="0"/>
    <w:pPr>
      <w:widowControl/>
      <w:pBdr>
        <w:top w:val="single" w:color="auto" w:sz="4" w:space="0"/>
        <w:left w:val="single" w:color="auto" w:sz="4" w:space="0"/>
        <w:right w:val="single" w:color="auto" w:sz="4" w:space="0"/>
      </w:pBdr>
      <w:spacing w:before="100" w:beforeLines="0" w:beforeAutospacing="1" w:after="100" w:afterLines="0" w:afterAutospacing="1" w:line="240" w:lineRule="auto"/>
      <w:jc w:val="center"/>
      <w:textAlignment w:val="center"/>
    </w:pPr>
    <w:rPr>
      <w:rFonts w:ascii="宋体" w:hAnsi="宋体" w:cs="宋体"/>
      <w:b/>
      <w:bCs/>
      <w:kern w:val="0"/>
      <w:sz w:val="24"/>
    </w:rPr>
  </w:style>
  <w:style w:type="paragraph" w:customStyle="1" w:styleId="103">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center"/>
    </w:pPr>
    <w:rPr>
      <w:rFonts w:ascii="宋体" w:hAnsi="宋体" w:cs="宋体"/>
      <w:color w:val="000000"/>
      <w:kern w:val="0"/>
      <w:sz w:val="24"/>
    </w:rPr>
  </w:style>
  <w:style w:type="paragraph" w:customStyle="1" w:styleId="104">
    <w:name w:val="xl60"/>
    <w:basedOn w:val="1"/>
    <w:autoRedefine/>
    <w:qFormat/>
    <w:uiPriority w:val="0"/>
    <w:pPr>
      <w:widowControl/>
      <w:pBdr>
        <w:top w:val="single" w:color="auto" w:sz="4" w:space="0"/>
        <w:left w:val="single" w:color="auto" w:sz="4" w:space="0"/>
      </w:pBdr>
      <w:spacing w:before="100" w:beforeLines="0" w:beforeAutospacing="1" w:after="100" w:afterLines="0" w:afterAutospacing="1" w:line="240" w:lineRule="auto"/>
      <w:jc w:val="left"/>
    </w:pPr>
    <w:rPr>
      <w:rFonts w:ascii="宋体" w:hAnsi="宋体" w:cs="宋体"/>
      <w:b/>
      <w:bCs/>
      <w:kern w:val="0"/>
      <w:sz w:val="24"/>
    </w:rPr>
  </w:style>
  <w:style w:type="paragraph" w:customStyle="1" w:styleId="105">
    <w:name w:val="xl4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left"/>
      <w:textAlignment w:val="center"/>
    </w:pPr>
    <w:rPr>
      <w:rFonts w:ascii="宋体" w:hAnsi="宋体" w:cs="宋体"/>
      <w:kern w:val="0"/>
      <w:sz w:val="24"/>
    </w:rPr>
  </w:style>
  <w:style w:type="paragraph" w:customStyle="1" w:styleId="106">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center"/>
      <w:textAlignment w:val="center"/>
    </w:pPr>
    <w:rPr>
      <w:rFonts w:ascii="宋体" w:hAnsi="宋体" w:cs="宋体"/>
      <w:kern w:val="0"/>
      <w:sz w:val="24"/>
    </w:rPr>
  </w:style>
  <w:style w:type="paragraph" w:customStyle="1" w:styleId="107">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left"/>
    </w:pPr>
    <w:rPr>
      <w:rFonts w:ascii="宋体" w:hAnsi="宋体" w:cs="宋体"/>
      <w:color w:val="000000"/>
      <w:kern w:val="0"/>
      <w:sz w:val="24"/>
    </w:rPr>
  </w:style>
  <w:style w:type="paragraph" w:customStyle="1" w:styleId="108">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center"/>
    </w:pPr>
    <w:rPr>
      <w:rFonts w:ascii="宋体" w:hAnsi="宋体" w:cs="宋体"/>
      <w:color w:val="000000"/>
      <w:kern w:val="0"/>
      <w:sz w:val="24"/>
    </w:rPr>
  </w:style>
  <w:style w:type="paragraph" w:customStyle="1" w:styleId="109">
    <w:name w:val="xl5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center"/>
    </w:pPr>
    <w:rPr>
      <w:rFonts w:ascii="宋体" w:hAnsi="宋体" w:cs="宋体"/>
      <w:b/>
      <w:bCs/>
      <w:kern w:val="0"/>
      <w:sz w:val="28"/>
      <w:szCs w:val="28"/>
    </w:rPr>
  </w:style>
  <w:style w:type="paragraph" w:customStyle="1" w:styleId="110">
    <w:name w:val="目录"/>
    <w:basedOn w:val="1"/>
    <w:autoRedefine/>
    <w:qFormat/>
    <w:uiPriority w:val="0"/>
    <w:pPr>
      <w:widowControl/>
      <w:spacing w:line="240" w:lineRule="auto"/>
      <w:jc w:val="center"/>
    </w:pPr>
    <w:rPr>
      <w:rFonts w:ascii="宋体"/>
      <w:b/>
      <w:kern w:val="0"/>
      <w:sz w:val="36"/>
      <w:szCs w:val="20"/>
    </w:rPr>
  </w:style>
  <w:style w:type="paragraph" w:customStyle="1" w:styleId="111">
    <w:name w:val="title1"/>
    <w:basedOn w:val="1"/>
    <w:autoRedefine/>
    <w:qFormat/>
    <w:uiPriority w:val="0"/>
    <w:pPr>
      <w:widowControl/>
      <w:spacing w:line="240" w:lineRule="auto"/>
      <w:jc w:val="left"/>
    </w:pPr>
    <w:rPr>
      <w:rFonts w:ascii="宋体" w:hAnsi="宋体" w:cs="宋体"/>
      <w:kern w:val="0"/>
      <w:sz w:val="24"/>
    </w:rPr>
  </w:style>
  <w:style w:type="paragraph" w:customStyle="1" w:styleId="112">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center"/>
    </w:pPr>
    <w:rPr>
      <w:rFonts w:ascii="宋体" w:hAnsi="宋体" w:cs="宋体"/>
      <w:kern w:val="0"/>
      <w:sz w:val="24"/>
    </w:rPr>
  </w:style>
  <w:style w:type="paragraph" w:customStyle="1" w:styleId="113">
    <w:name w:val="xl4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center"/>
      <w:textAlignment w:val="center"/>
    </w:pPr>
    <w:rPr>
      <w:rFonts w:ascii="宋体" w:hAnsi="宋体" w:cs="宋体"/>
      <w:b/>
      <w:bCs/>
      <w:kern w:val="0"/>
      <w:sz w:val="24"/>
    </w:rPr>
  </w:style>
  <w:style w:type="paragraph" w:customStyle="1" w:styleId="114">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left"/>
    </w:pPr>
    <w:rPr>
      <w:rFonts w:ascii="宋体" w:hAnsi="宋体" w:cs="宋体"/>
      <w:b/>
      <w:bCs/>
      <w:kern w:val="0"/>
      <w:sz w:val="24"/>
    </w:rPr>
  </w:style>
  <w:style w:type="paragraph" w:customStyle="1" w:styleId="115">
    <w:name w:val="_Style 108"/>
    <w:basedOn w:val="2"/>
    <w:next w:val="1"/>
    <w:autoRedefine/>
    <w:qFormat/>
    <w:uiPriority w:val="39"/>
    <w:pPr>
      <w:widowControl/>
      <w:spacing w:before="240" w:after="0" w:line="259" w:lineRule="auto"/>
      <w:jc w:val="left"/>
      <w:outlineLvl w:val="9"/>
    </w:pPr>
    <w:rPr>
      <w:rFonts w:ascii="Calibri Light" w:hAnsi="Calibri Light" w:eastAsia="宋体" w:cs="Times New Roman"/>
      <w:b w:val="0"/>
      <w:bCs w:val="0"/>
      <w:color w:val="2E74B5"/>
      <w:kern w:val="0"/>
      <w:sz w:val="32"/>
      <w:szCs w:val="32"/>
    </w:rPr>
  </w:style>
  <w:style w:type="paragraph" w:customStyle="1" w:styleId="116">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center"/>
      <w:textAlignment w:val="center"/>
    </w:pPr>
    <w:rPr>
      <w:rFonts w:ascii="宋体" w:hAnsi="宋体" w:cs="宋体"/>
      <w:kern w:val="0"/>
      <w:sz w:val="24"/>
    </w:rPr>
  </w:style>
  <w:style w:type="paragraph" w:customStyle="1" w:styleId="117">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left"/>
    </w:pPr>
    <w:rPr>
      <w:rFonts w:ascii="宋体" w:hAnsi="宋体" w:cs="宋体"/>
      <w:kern w:val="0"/>
      <w:sz w:val="24"/>
    </w:rPr>
  </w:style>
  <w:style w:type="character" w:customStyle="1" w:styleId="118">
    <w:name w:val="批注框文本 Char"/>
    <w:link w:val="19"/>
    <w:autoRedefine/>
    <w:qFormat/>
    <w:uiPriority w:val="0"/>
    <w:rPr>
      <w:kern w:val="2"/>
      <w:sz w:val="18"/>
      <w:szCs w:val="18"/>
    </w:rPr>
  </w:style>
  <w:style w:type="paragraph" w:customStyle="1" w:styleId="119">
    <w:name w:val="null3"/>
    <w:autoRedefine/>
    <w:hidden/>
    <w:qFormat/>
    <w:uiPriority w:val="0"/>
    <w:rPr>
      <w:rFonts w:hint="eastAsia" w:asciiTheme="minorHAnsi" w:hAnsiTheme="minorHAnsi" w:eastAsiaTheme="minorEastAsia" w:cstheme="minorBidi"/>
      <w:lang w:val="en-US" w:eastAsia="zh-Hans"/>
    </w:rPr>
  </w:style>
  <w:style w:type="character" w:customStyle="1" w:styleId="120">
    <w:name w:val="required"/>
    <w:basedOn w:val="32"/>
    <w:autoRedefine/>
    <w:qFormat/>
    <w:uiPriority w:val="0"/>
    <w:rPr>
      <w:color w:val="FF0000"/>
    </w:rPr>
  </w:style>
  <w:style w:type="character" w:customStyle="1" w:styleId="121">
    <w:name w:val="me_close"/>
    <w:basedOn w:val="32"/>
    <w:autoRedefine/>
    <w:qFormat/>
    <w:uiPriority w:val="0"/>
    <w:rPr>
      <w:b/>
      <w:bCs/>
      <w:color w:val="FFFFFF"/>
      <w:sz w:val="18"/>
      <w:szCs w:val="18"/>
      <w:shd w:val="clear" w:fill="6843FF"/>
    </w:rPr>
  </w:style>
  <w:style w:type="character" w:customStyle="1" w:styleId="122">
    <w:name w:val="size"/>
    <w:basedOn w:val="32"/>
    <w:autoRedefine/>
    <w:qFormat/>
    <w:uiPriority w:val="0"/>
    <w:rPr>
      <w:i/>
      <w:iCs/>
      <w:sz w:val="15"/>
      <w:szCs w:val="15"/>
    </w:rPr>
  </w:style>
  <w:style w:type="paragraph" w:customStyle="1" w:styleId="123">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footer" Target="footer3.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yngp</Company>
  <Pages>57</Pages>
  <Words>15877</Words>
  <Characters>16576</Characters>
  <Lines>153</Lines>
  <Paragraphs>43</Paragraphs>
  <TotalTime>26</TotalTime>
  <ScaleCrop>false</ScaleCrop>
  <LinksUpToDate>false</LinksUpToDate>
  <CharactersWithSpaces>16736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2023-05-03T23:08:00Z</dcterms:created>
  <dc:creator>wh</dc:creator>
  <cp:lastModifiedBy>KUKI</cp:lastModifiedBy>
  <cp:lastPrinted>2023-09-25T01:19:00Z</cp:lastPrinted>
  <dcterms:modified xsi:type="dcterms:W3CDTF">2026-06-08T03:59:20Z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BD603F0F46B8421FA96CF4B64156F60A_13</vt:lpwstr>
  </property>
  <property fmtid="{D5CDD505-2E9C-101B-9397-08002B2CF9AE}" pid="4" name="KSOTemplateDocerSaveRecord">
    <vt:lpwstr>eyJoZGlkIjoiZDUwODUwMmNlZmJlZTJiNzEyZDkyM2E3Yjk2MWZkMWQiLCJ1c2VySWQiOiI5MzkzMzU2MzMifQ==</vt:lpwstr>
  </property>
</Properties>
</file>