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版本号：SXMF-2026-07120260820001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西安监狱2026年监管安全机器人特警项目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SXMF-2026-071</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西安监狱2026年监管安全机器人特警项目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西安监狱2026年监管安全机器人特警项目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我单位采购数智机器人升级改造所需软硬件一批，用于在现有巡逻机器人基础上，进行研发测试和实战化部署。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法人证书/专业服务机构执业许可证/民办非企业单位登记证书，自然人提供身份证）；自然人应提供身份证。</w:t>
      </w:r>
    </w:p>
    <w:p>
      <w:pPr>
        <w:pStyle w:val="null3"/>
      </w:pPr>
      <w:r>
        <w:rPr>
          <w:rFonts w:ascii="仿宋_GB2312" w:hAnsi="仿宋_GB2312" w:cs="仿宋_GB2312" w:eastAsia="仿宋_GB2312"/>
        </w:rPr>
        <w:t>2、财务状况：提供经审计的2025年度完整的财务报告，应满⾜以下要求：须提供会计师事务所出具的审计报告复印件,复印件⾄少须包括报告正⽂、资产负债表、现⾦流量表、利润表、附注和会计师事务所营业执照，报告正⽂应当有会计师事务所公章和2名注册会计师的签字及盖章。（成⽴时间⾄响应⽂件递交截⽌时间不⾜⼀年的可提供成⽴后任意时段的资产负债表）或响应⽂件递交截⽌时间前六个⽉内基本账⼾银⾏出具的资信证明或财政部⻔认可的政府采购专业担保机构出具的磋商担保函。注：提供资信证明的，必须提供资信证明全部⻚以及基本⼾信息（提供开⼾许可证或提供基本银⾏账⼾信息），银⾏出具的存款证明不能代替资信证明，存款证明⽆效；</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定代表人（主要负责人）身份证明/授权委托书：法定代表人（主要负责人）参加磋商的，须提供法定代表人（主要负责人）身份证明；法定代表人（主要负责人）授权他人参加磋商的，须提供法定代表人（主要负责人）授权委托书。响应文件中凡是需要法定代表人盖章之处，非法人单位的负责人均参照执行。法人的分支机构参与磋商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陕西省西安市⻓安区引镇街道西安监狱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029-85880221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029-88010883、15191876391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采购包1：496,001.00元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 代理 服务费收费标准：本项⽬收取代理服务费 代理服务费收费标准： 招标代理服务费的收取以成交 价为基数，参⻅国家计委颁布的《招标代理服务收费管理暂⾏办法》（计价格[2002]1980号） 和（发改办价格[2003]857号）中服务类收费标准收取，不⾜6000元按6000元收取。在领取 成交通知书时由成交单位向招标代理机构⼀次性交纳。 账⼾信息如下： ⼾ 名 ：陕西铭帆项⽬ 管理有限公司 账 号：72260078801100000110 开⼾⾏：上海浦东发展银⾏西安开元路⽀⾏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采购人在中华人民共和国境内使用供应商提供的服务时免受第三方提出的侵犯其专利权或其他知识产权的起诉。如果第三方提出侵权指控，成交人应承担由此而引起的一切法律责任和费用。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w:t>
      </w:r>
    </w:p>
    <w:p>
      <w:pPr>
        <w:pStyle w:val="null3"/>
      </w:pPr>
      <w:r>
        <w:rPr>
          <w:rFonts w:ascii="仿宋_GB2312" w:hAnsi="仿宋_GB2312" w:cs="仿宋_GB2312" w:eastAsia="仿宋_GB2312"/>
        </w:rPr>
        <w:t>联系电话：15191876391</w:t>
      </w:r>
    </w:p>
    <w:p>
      <w:pPr>
        <w:pStyle w:val="null3"/>
      </w:pPr>
      <w:r>
        <w:rPr>
          <w:rFonts w:ascii="仿宋_GB2312" w:hAnsi="仿宋_GB2312" w:cs="仿宋_GB2312" w:eastAsia="仿宋_GB2312"/>
        </w:rPr>
        <w:t>地址：陕西省西安市未央区明光路⻰腾半导体产业园B座307室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我单位采购数智机器人升级改造所需软硬件一批，用于在现有巡逻机器人基础上，进行研发测试和实战化部署。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496,001.00</w:t>
      </w:r>
    </w:p>
    <w:p>
      <w:pPr>
        <w:pStyle w:val="null3"/>
      </w:pPr>
      <w:r>
        <w:rPr>
          <w:rFonts w:ascii="仿宋_GB2312" w:hAnsi="仿宋_GB2312" w:cs="仿宋_GB2312" w:eastAsia="仿宋_GB2312"/>
        </w:rPr>
        <w:t>采购包最高限价（元）: 496,001.00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实物交付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496,001.00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6"/>
              <w:gridCol w:w="395"/>
              <w:gridCol w:w="1681"/>
              <w:gridCol w:w="265"/>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功能要求及技术参数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5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软件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身份识别</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核心要求</w:t>
                  </w:r>
                </w:p>
                <w:p>
                  <w:pPr>
                    <w:pStyle w:val="null3"/>
                    <w:jc w:val="both"/>
                  </w:pPr>
                  <w:r>
                    <w:rPr>
                      <w:rFonts w:ascii="仿宋_GB2312" w:hAnsi="仿宋_GB2312" w:cs="仿宋_GB2312" w:eastAsia="仿宋_GB2312"/>
                      <w:sz w:val="21"/>
                      <w:b/>
                    </w:rPr>
                    <w:t>★软件知识产权归业主，免费提供模型及源代码；</w:t>
                  </w:r>
                </w:p>
                <w:p>
                  <w:pPr>
                    <w:pStyle w:val="null3"/>
                    <w:jc w:val="both"/>
                  </w:pPr>
                  <w:r>
                    <w:rPr>
                      <w:rFonts w:ascii="仿宋_GB2312" w:hAnsi="仿宋_GB2312" w:cs="仿宋_GB2312" w:eastAsia="仿宋_GB2312"/>
                      <w:sz w:val="21"/>
                      <w:b/>
                    </w:rPr>
                    <w:t>★软件可在边缘计算设备上进行非嵌入式部署；</w:t>
                  </w:r>
                </w:p>
                <w:p>
                  <w:pPr>
                    <w:pStyle w:val="null3"/>
                    <w:jc w:val="both"/>
                  </w:pPr>
                  <w:r>
                    <w:rPr>
                      <w:rFonts w:ascii="仿宋_GB2312" w:hAnsi="仿宋_GB2312" w:cs="仿宋_GB2312" w:eastAsia="仿宋_GB2312"/>
                      <w:sz w:val="21"/>
                      <w:b/>
                    </w:rPr>
                    <w:t>2、基本要求</w:t>
                  </w:r>
                </w:p>
                <w:p>
                  <w:pPr>
                    <w:pStyle w:val="null3"/>
                    <w:jc w:val="both"/>
                  </w:pPr>
                  <w:r>
                    <w:rPr>
                      <w:rFonts w:ascii="仿宋_GB2312" w:hAnsi="仿宋_GB2312" w:cs="仿宋_GB2312" w:eastAsia="仿宋_GB2312"/>
                      <w:sz w:val="21"/>
                    </w:rPr>
                    <w:t>在原设备基础上，通过新增</w:t>
                  </w:r>
                  <w:r>
                    <w:rPr>
                      <w:rFonts w:ascii="仿宋_GB2312" w:hAnsi="仿宋_GB2312" w:cs="仿宋_GB2312" w:eastAsia="仿宋_GB2312"/>
                      <w:sz w:val="21"/>
                    </w:rPr>
                    <w:t>2套摄像机、1 套满足本地AI推理要求的边缘计算设备及相关辅助设备和材料，形成独立于原有设备的体系，应用大模型将AI识别、边缘计算、机电控制进行融合，实现全天候、低延迟、高可靠的智能监管与预警</w:t>
                  </w:r>
                  <w:r>
                    <w:rPr>
                      <w:rFonts w:ascii="仿宋_GB2312" w:hAnsi="仿宋_GB2312" w:cs="仿宋_GB2312" w:eastAsia="仿宋_GB2312"/>
                      <w:sz w:val="21"/>
                    </w:rPr>
                    <w:t>；轻量化部署，自动挖掘低置信度难例，支持后期增量训练及热更新；需完全离线依托边缘计算设备进行推理，可实时进行检测与分类，具备多目标跟踪判断身份、运动状态与轨迹的能力，检测模式可自动随机切换。输出管理者、被管理者、第三方的判定结果并依据需求触发报警等联动机制。</w:t>
                  </w:r>
                </w:p>
                <w:p>
                  <w:pPr>
                    <w:pStyle w:val="null3"/>
                    <w:jc w:val="both"/>
                  </w:pPr>
                  <w:r>
                    <w:rPr>
                      <w:rFonts w:ascii="仿宋_GB2312" w:hAnsi="仿宋_GB2312" w:cs="仿宋_GB2312" w:eastAsia="仿宋_GB2312"/>
                      <w:sz w:val="21"/>
                      <w:b/>
                    </w:rPr>
                    <w:t>3、功能要求</w:t>
                  </w:r>
                </w:p>
                <w:p>
                  <w:pPr>
                    <w:pStyle w:val="null3"/>
                    <w:jc w:val="both"/>
                  </w:pPr>
                  <w:r>
                    <w:rPr>
                      <w:rFonts w:ascii="仿宋_GB2312" w:hAnsi="仿宋_GB2312" w:cs="仿宋_GB2312" w:eastAsia="仿宋_GB2312"/>
                      <w:sz w:val="21"/>
                    </w:rPr>
                    <w:t>满足在室内、室外、白天、夜间等多场景、多气象条件下，</w:t>
                  </w:r>
                  <w:r>
                    <w:rPr>
                      <w:rFonts w:ascii="仿宋_GB2312" w:hAnsi="仿宋_GB2312" w:cs="仿宋_GB2312" w:eastAsia="仿宋_GB2312"/>
                      <w:sz w:val="21"/>
                    </w:rPr>
                    <w:t>实现在运动状态条件下图像采集、识别及处置的全部需求。</w:t>
                  </w:r>
                </w:p>
                <w:p>
                  <w:pPr>
                    <w:pStyle w:val="null3"/>
                    <w:jc w:val="both"/>
                  </w:pPr>
                  <w:r>
                    <w:rPr>
                      <w:rFonts w:ascii="仿宋_GB2312" w:hAnsi="仿宋_GB2312" w:cs="仿宋_GB2312" w:eastAsia="仿宋_GB2312"/>
                      <w:sz w:val="21"/>
                      <w:b/>
                    </w:rPr>
                    <w:t>4、识别要求</w:t>
                  </w:r>
                </w:p>
                <w:p>
                  <w:pPr>
                    <w:pStyle w:val="null3"/>
                    <w:jc w:val="both"/>
                  </w:pPr>
                  <w:r>
                    <w:rPr>
                      <w:rFonts w:ascii="仿宋_GB2312" w:hAnsi="仿宋_GB2312" w:cs="仿宋_GB2312" w:eastAsia="仿宋_GB2312"/>
                      <w:sz w:val="21"/>
                    </w:rPr>
                    <w:t>实现运动状态、完全离线</w:t>
                  </w:r>
                  <w:r>
                    <w:rPr>
                      <w:rFonts w:ascii="仿宋_GB2312" w:hAnsi="仿宋_GB2312" w:cs="仿宋_GB2312" w:eastAsia="仿宋_GB2312"/>
                      <w:sz w:val="21"/>
                    </w:rPr>
                    <w:t>条件下，对管理者、被管理者、第三方人员的区分与识别，并做出相应的响应；</w:t>
                  </w:r>
                  <w:r>
                    <w:rPr>
                      <w:rFonts w:ascii="仿宋_GB2312" w:hAnsi="仿宋_GB2312" w:cs="仿宋_GB2312" w:eastAsia="仿宋_GB2312"/>
                      <w:sz w:val="21"/>
                    </w:rPr>
                    <w:t>可实现对指定区域人员的识别与区分，并做出响应；可实现对指定区域人员人脸的比对识别，并做出相应的响应；可实现对吸烟行为及火源进行区分识别与响应。</w:t>
                  </w:r>
                </w:p>
                <w:p>
                  <w:pPr>
                    <w:pStyle w:val="null3"/>
                    <w:jc w:val="both"/>
                  </w:pPr>
                  <w:r>
                    <w:rPr>
                      <w:rFonts w:ascii="仿宋_GB2312" w:hAnsi="仿宋_GB2312" w:cs="仿宋_GB2312" w:eastAsia="仿宋_GB2312"/>
                      <w:sz w:val="21"/>
                    </w:rPr>
                    <w:t>可对图像输出的人员边界框、业务类别、服装分类阈值、人形检测阈值及当前光照级别等参数进行设置与调整。</w:t>
                  </w:r>
                </w:p>
                <w:p>
                  <w:pPr>
                    <w:pStyle w:val="null3"/>
                    <w:jc w:val="both"/>
                  </w:pPr>
                  <w:r>
                    <w:rPr>
                      <w:rFonts w:ascii="仿宋_GB2312" w:hAnsi="仿宋_GB2312" w:cs="仿宋_GB2312" w:eastAsia="仿宋_GB2312"/>
                      <w:sz w:val="21"/>
                    </w:rPr>
                    <w:t>在人员主体高度不低于画面高度</w:t>
                  </w:r>
                  <w:r>
                    <w:rPr>
                      <w:rFonts w:ascii="仿宋_GB2312" w:hAnsi="仿宋_GB2312" w:cs="仿宋_GB2312" w:eastAsia="仿宋_GB2312"/>
                      <w:sz w:val="21"/>
                    </w:rPr>
                    <w:t>20%、身体可见面积不低于70%、单人遮挡比例不高于30%的条件下，白天人形检出率不低于80%，夜间/低照度（画面平均亮度不低于15）人形检出率不低于65%。在上述成像条件下，管理者、被管理者、第三方/未知三类业务结果的宏平均准确率白天不低于60%，夜间/低照度不低于50%；其中管理者召回率白天不低于60%，夜间/低照度不低于50%；相同人员在同一连续视频中的重复帧只按1个事件统计，同一画面中的人员检测结果不设置固定数量上限；不同摄像机分别维护帧计数、上一帧分类结果、报警防抖状态和重复报警抑制状态，并使用统一报警规则。</w:t>
                  </w:r>
                </w:p>
                <w:p>
                  <w:pPr>
                    <w:pStyle w:val="null3"/>
                    <w:jc w:val="both"/>
                  </w:pPr>
                  <w:r>
                    <w:rPr>
                      <w:rFonts w:ascii="仿宋_GB2312" w:hAnsi="仿宋_GB2312" w:cs="仿宋_GB2312" w:eastAsia="仿宋_GB2312"/>
                      <w:sz w:val="21"/>
                    </w:rPr>
                    <w:t>基于指定的相关室内外区域，可以选择并设置相应的识别规则与报警处置联动机制；相同摄像机、相同报警类型默认启动重复抑制机制，重复抑制机制的抑制时间可调。</w:t>
                  </w:r>
                </w:p>
                <w:p>
                  <w:pPr>
                    <w:pStyle w:val="null3"/>
                    <w:jc w:val="both"/>
                  </w:pPr>
                  <w:r>
                    <w:rPr>
                      <w:rFonts w:ascii="仿宋_GB2312" w:hAnsi="仿宋_GB2312" w:cs="仿宋_GB2312" w:eastAsia="仿宋_GB2312"/>
                      <w:sz w:val="21"/>
                      <w:b/>
                    </w:rPr>
                    <w:t>5、报警触发要求</w:t>
                  </w:r>
                </w:p>
                <w:p>
                  <w:pPr>
                    <w:pStyle w:val="null3"/>
                    <w:jc w:val="both"/>
                  </w:pPr>
                  <w:r>
                    <w:rPr>
                      <w:rFonts w:ascii="仿宋_GB2312" w:hAnsi="仿宋_GB2312" w:cs="仿宋_GB2312" w:eastAsia="仿宋_GB2312"/>
                      <w:sz w:val="21"/>
                    </w:rPr>
                    <w:t>可基于管理者、被管理者身份及相应的的场景，依据管理的要求触发报警；可基于白天及夜间等不同时间段及相应的管理要求触发报警；可对吸烟行为进行警告，可对火源进行识别并报警。</w:t>
                  </w:r>
                </w:p>
                <w:p>
                  <w:pPr>
                    <w:pStyle w:val="null3"/>
                    <w:jc w:val="both"/>
                  </w:pPr>
                  <w:r>
                    <w:rPr>
                      <w:rFonts w:ascii="仿宋_GB2312" w:hAnsi="仿宋_GB2312" w:cs="仿宋_GB2312" w:eastAsia="仿宋_GB2312"/>
                      <w:sz w:val="21"/>
                      <w:b/>
                    </w:rPr>
                    <w:t>6、报警推送与消警</w:t>
                  </w:r>
                </w:p>
                <w:p>
                  <w:pPr>
                    <w:pStyle w:val="null3"/>
                    <w:jc w:val="both"/>
                  </w:pPr>
                  <w:r>
                    <w:rPr>
                      <w:rFonts w:ascii="仿宋_GB2312" w:hAnsi="仿宋_GB2312" w:cs="仿宋_GB2312" w:eastAsia="仿宋_GB2312"/>
                      <w:sz w:val="21"/>
                    </w:rPr>
                    <w:t>报警信息推送需辅以报警触发现场图片</w:t>
                  </w:r>
                  <w:r>
                    <w:rPr>
                      <w:rFonts w:ascii="仿宋_GB2312" w:hAnsi="仿宋_GB2312" w:cs="仿宋_GB2312" w:eastAsia="仿宋_GB2312"/>
                      <w:sz w:val="21"/>
                    </w:rPr>
                    <w:t>≥3帧，需对接甲方现有平台，实现报警信息、消警信息的推送与接收；信息需包含报警标识、类型、级别、时间及摄像机名称、摄像机编号、位置等信息</w:t>
                  </w:r>
                  <w:r>
                    <w:rPr>
                      <w:rFonts w:ascii="仿宋_GB2312" w:hAnsi="仿宋_GB2312" w:cs="仿宋_GB2312" w:eastAsia="仿宋_GB2312"/>
                      <w:sz w:val="21"/>
                    </w:rPr>
                    <w:t>并可进行本地报警历史查询。</w:t>
                  </w:r>
                </w:p>
                <w:p>
                  <w:pPr>
                    <w:pStyle w:val="null3"/>
                    <w:jc w:val="both"/>
                  </w:pPr>
                  <w:r>
                    <w:rPr>
                      <w:rFonts w:ascii="仿宋_GB2312" w:hAnsi="仿宋_GB2312" w:cs="仿宋_GB2312" w:eastAsia="仿宋_GB2312"/>
                      <w:sz w:val="21"/>
                      <w:b/>
                    </w:rPr>
                    <w:t>7、报警与控制系统要求</w:t>
                  </w:r>
                </w:p>
                <w:p>
                  <w:pPr>
                    <w:pStyle w:val="null3"/>
                    <w:jc w:val="both"/>
                  </w:pPr>
                  <w:r>
                    <w:rPr>
                      <w:rFonts w:ascii="仿宋_GB2312" w:hAnsi="仿宋_GB2312" w:cs="仿宋_GB2312" w:eastAsia="仿宋_GB2312"/>
                      <w:sz w:val="21"/>
                    </w:rPr>
                    <w:t>检测到高风险隐患，依据预设规则触发联动，可实现现场与指挥中心的全双工通话（喊话）、启动软件调控的强光爆闪装置、启动软件调控的警笛（含语音警告），并随消警指令关闭，消警后处置结果写入运行日志。</w:t>
                  </w:r>
                </w:p>
                <w:p>
                  <w:pPr>
                    <w:pStyle w:val="null3"/>
                    <w:jc w:val="both"/>
                  </w:pPr>
                  <w:r>
                    <w:rPr>
                      <w:rFonts w:ascii="仿宋_GB2312" w:hAnsi="仿宋_GB2312" w:cs="仿宋_GB2312" w:eastAsia="仿宋_GB2312"/>
                      <w:sz w:val="21"/>
                      <w:b/>
                    </w:rPr>
                    <w:t>8、运行维护与安全</w:t>
                  </w:r>
                </w:p>
                <w:p>
                  <w:pPr>
                    <w:pStyle w:val="null3"/>
                    <w:jc w:val="both"/>
                  </w:pPr>
                  <w:r>
                    <w:rPr>
                      <w:rFonts w:ascii="仿宋_GB2312" w:hAnsi="仿宋_GB2312" w:cs="仿宋_GB2312" w:eastAsia="仿宋_GB2312"/>
                      <w:sz w:val="21"/>
                    </w:rPr>
                    <w:t>报警记录使用本地数据库，支持按时间、摄像机和报警级别查询，服务重启后记录应保留；系统管理接口支持多方式访问鉴权、请求完整性校验和请求有效期校验，无权限、校验失败或超出有效期的请求应被拒绝，未配置安全认证信息时应给出安全告警；提供摄像机连接状态、实际采样帧率、丢帧数、推理平均时延和报警统计查询功能；主服务界面可以显示运行状态、启动时间、摄像机模块状态、推理统计、报警统计、联动状态和待消警数量</w:t>
                  </w:r>
                  <w:r>
                    <w:rPr>
                      <w:rFonts w:ascii="仿宋_GB2312" w:hAnsi="仿宋_GB2312" w:cs="仿宋_GB2312" w:eastAsia="仿宋_GB2312"/>
                      <w:sz w:val="21"/>
                    </w:rPr>
                    <w:t>。</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语音唤醒</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1、智能识别检测</w:t>
                  </w:r>
                </w:p>
                <w:p>
                  <w:pPr>
                    <w:pStyle w:val="null3"/>
                    <w:jc w:val="both"/>
                  </w:pPr>
                  <w:r>
                    <w:rPr>
                      <w:rFonts w:ascii="仿宋_GB2312" w:hAnsi="仿宋_GB2312" w:cs="仿宋_GB2312" w:eastAsia="仿宋_GB2312"/>
                      <w:sz w:val="21"/>
                    </w:rPr>
                    <w:t>应用多模态感知技术，可准确识别周边</w:t>
                  </w:r>
                  <w:r>
                    <w:rPr>
                      <w:rFonts w:ascii="仿宋_GB2312" w:hAnsi="仿宋_GB2312" w:cs="仿宋_GB2312" w:eastAsia="仿宋_GB2312"/>
                      <w:sz w:val="21"/>
                      <w:color w:val="FF0000"/>
                    </w:rPr>
                    <w:t>≥</w:t>
                  </w:r>
                  <w:r>
                    <w:rPr>
                      <w:rFonts w:ascii="仿宋_GB2312" w:hAnsi="仿宋_GB2312" w:cs="仿宋_GB2312" w:eastAsia="仿宋_GB2312"/>
                      <w:sz w:val="21"/>
                    </w:rPr>
                    <w:t>5米以上范围内的授权操控人员，确认是授权操控人员时，语音唤醒功能开启。</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语音感知</w:t>
                  </w:r>
                </w:p>
                <w:p>
                  <w:pPr>
                    <w:pStyle w:val="null3"/>
                    <w:jc w:val="both"/>
                  </w:pPr>
                  <w:r>
                    <w:rPr>
                      <w:rFonts w:ascii="仿宋_GB2312" w:hAnsi="仿宋_GB2312" w:cs="仿宋_GB2312" w:eastAsia="仿宋_GB2312"/>
                      <w:sz w:val="21"/>
                      <w:color w:val="000000"/>
                    </w:rPr>
                    <w:t>语音识别距离</w:t>
                  </w:r>
                  <w:r>
                    <w:rPr>
                      <w:rFonts w:ascii="仿宋_GB2312" w:hAnsi="仿宋_GB2312" w:cs="仿宋_GB2312" w:eastAsia="仿宋_GB2312"/>
                      <w:sz w:val="21"/>
                      <w:color w:val="FF0000"/>
                    </w:rPr>
                    <w:t>≥</w:t>
                  </w:r>
                  <w:r>
                    <w:rPr>
                      <w:rFonts w:ascii="仿宋_GB2312" w:hAnsi="仿宋_GB2312" w:cs="仿宋_GB2312" w:eastAsia="仿宋_GB2312"/>
                      <w:sz w:val="21"/>
                      <w:color w:val="000000"/>
                    </w:rPr>
                    <w:t>5米以上，水平360°全向拾音。</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语音唤醒功能</w:t>
                  </w:r>
                </w:p>
                <w:p>
                  <w:pPr>
                    <w:pStyle w:val="null3"/>
                    <w:jc w:val="both"/>
                  </w:pPr>
                  <w:r>
                    <w:rPr>
                      <w:rFonts w:ascii="仿宋_GB2312" w:hAnsi="仿宋_GB2312" w:cs="仿宋_GB2312" w:eastAsia="仿宋_GB2312"/>
                      <w:sz w:val="21"/>
                    </w:rPr>
                    <w:t>响应时间：</w:t>
                  </w:r>
                  <w:r>
                    <w:rPr>
                      <w:rFonts w:ascii="仿宋_GB2312" w:hAnsi="仿宋_GB2312" w:cs="仿宋_GB2312" w:eastAsia="仿宋_GB2312"/>
                      <w:sz w:val="21"/>
                    </w:rPr>
                    <w:t>≤1秒，误唤醒率：&lt;1次/24小时，唤醒词条</w:t>
                  </w:r>
                  <w:r>
                    <w:rPr>
                      <w:rFonts w:ascii="仿宋_GB2312" w:hAnsi="仿宋_GB2312" w:cs="仿宋_GB2312" w:eastAsia="仿宋_GB2312"/>
                      <w:sz w:val="21"/>
                      <w:color w:val="FF0000"/>
                    </w:rPr>
                    <w:t>≥</w:t>
                  </w:r>
                  <w:r>
                    <w:rPr>
                      <w:rFonts w:ascii="仿宋_GB2312" w:hAnsi="仿宋_GB2312" w:cs="仿宋_GB2312" w:eastAsia="仿宋_GB2312"/>
                      <w:sz w:val="21"/>
                    </w:rPr>
                    <w:t>10组，词条内容可依据需求更改，支持后期唤醒词条数量可扩容至100组；需满足唤醒后的语音应答功能及相关状态的控制能力。</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语音播报</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定点讲解功能</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支持自定义设置多于</w:t>
                  </w:r>
                  <w:r>
                    <w:rPr>
                      <w:rFonts w:ascii="仿宋_GB2312" w:hAnsi="仿宋_GB2312" w:cs="仿宋_GB2312" w:eastAsia="仿宋_GB2312"/>
                      <w:sz w:val="21"/>
                    </w:rPr>
                    <w:t>3条不同参观讲解路线，多于15个以上的讲解点位识别能力，定位精度</w:t>
                  </w:r>
                  <w:r>
                    <w:rPr>
                      <w:rFonts w:ascii="仿宋_GB2312" w:hAnsi="仿宋_GB2312" w:cs="仿宋_GB2312" w:eastAsia="仿宋_GB2312"/>
                      <w:sz w:val="21"/>
                      <w:color w:val="FF0000"/>
                    </w:rPr>
                    <w:t>≤</w:t>
                  </w:r>
                  <w:r>
                    <w:rPr>
                      <w:rFonts w:ascii="仿宋_GB2312" w:hAnsi="仿宋_GB2312" w:cs="仿宋_GB2312" w:eastAsia="仿宋_GB2312"/>
                      <w:sz w:val="21"/>
                    </w:rPr>
                    <w:t>1米；在规划的讲解路线中，可依据场景位置自动触发语音讲解并播放相应的讲解内容，讲解内容20组。</w:t>
                  </w:r>
                </w:p>
                <w:p>
                  <w:pPr>
                    <w:pStyle w:val="null3"/>
                    <w:jc w:val="both"/>
                  </w:pPr>
                  <w:r>
                    <w:rPr>
                      <w:rFonts w:ascii="仿宋_GB2312" w:hAnsi="仿宋_GB2312" w:cs="仿宋_GB2312" w:eastAsia="仿宋_GB2312"/>
                      <w:sz w:val="21"/>
                      <w:b/>
                    </w:rPr>
                    <w:t>2、语音视频播放功能</w:t>
                  </w:r>
                </w:p>
                <w:p>
                  <w:pPr>
                    <w:pStyle w:val="null3"/>
                    <w:jc w:val="both"/>
                  </w:pPr>
                  <w:r>
                    <w:rPr>
                      <w:rFonts w:ascii="仿宋_GB2312" w:hAnsi="仿宋_GB2312" w:cs="仿宋_GB2312" w:eastAsia="仿宋_GB2312"/>
                      <w:sz w:val="21"/>
                    </w:rPr>
                    <w:t>满足对</w:t>
                  </w:r>
                  <w:r>
                    <w:rPr>
                      <w:rFonts w:ascii="仿宋_GB2312" w:hAnsi="仿宋_GB2312" w:cs="仿宋_GB2312" w:eastAsia="仿宋_GB2312"/>
                      <w:sz w:val="21"/>
                    </w:rPr>
                    <w:t>MP3、WAV、WMA、FLAC、APE 、MP4、AVI、WMV等格式音视频文件的播放，具备TTS功能，同时需满足语音唤醒词条的应答及报警信息的播报，有源扬声器≥60W。</w:t>
                  </w:r>
                </w:p>
                <w:p>
                  <w:pPr>
                    <w:pStyle w:val="null3"/>
                    <w:jc w:val="both"/>
                  </w:pPr>
                  <w:r>
                    <w:rPr>
                      <w:rFonts w:ascii="仿宋_GB2312" w:hAnsi="仿宋_GB2312" w:cs="仿宋_GB2312" w:eastAsia="仿宋_GB2312"/>
                      <w:sz w:val="21"/>
                      <w:b/>
                    </w:rPr>
                    <w:t>3、管理功能</w:t>
                  </w:r>
                </w:p>
                <w:p>
                  <w:pPr>
                    <w:pStyle w:val="null3"/>
                    <w:jc w:val="both"/>
                  </w:pPr>
                  <w:r>
                    <w:rPr>
                      <w:rFonts w:ascii="仿宋_GB2312" w:hAnsi="仿宋_GB2312" w:cs="仿宋_GB2312" w:eastAsia="仿宋_GB2312"/>
                      <w:sz w:val="21"/>
                    </w:rPr>
                    <w:t>支持自动识别本地及</w:t>
                  </w:r>
                  <w:r>
                    <w:rPr>
                      <w:rFonts w:ascii="仿宋_GB2312" w:hAnsi="仿宋_GB2312" w:cs="仿宋_GB2312" w:eastAsia="仿宋_GB2312"/>
                      <w:sz w:val="21"/>
                    </w:rPr>
                    <w:t>U盘播放文件，支持通过配套的键鼠一体外接设备，对讲解词、参观路线、问答知识库、音视频资料的便捷编辑，支持自定义讲解内容，支持音频和文本文件与对应播放地点、应答内容的管理功能，自动识别本地及U盘播放文件，语速调节：0.5倍-2.0倍，音调调节：±20%。</w:t>
                  </w:r>
                  <w:r>
                    <w:rPr>
                      <w:rFonts w:ascii="仿宋_GB2312" w:hAnsi="仿宋_GB2312" w:cs="仿宋_GB2312" w:eastAsia="仿宋_GB2312"/>
                      <w:sz w:val="21"/>
                    </w:rPr>
                    <w:t>，支持顺序播放、循环播放、暂停、重复、跳点讲解等操作</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人员伴随</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1、智能识别功能</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应用多模态感知技术，可准确识别周边</w:t>
                  </w:r>
                  <w:r>
                    <w:rPr>
                      <w:rFonts w:ascii="仿宋_GB2312" w:hAnsi="仿宋_GB2312" w:cs="仿宋_GB2312" w:eastAsia="仿宋_GB2312"/>
                      <w:sz w:val="21"/>
                      <w:color w:val="FF0000"/>
                    </w:rPr>
                    <w:t>≥</w:t>
                  </w:r>
                  <w:r>
                    <w:rPr>
                      <w:rFonts w:ascii="仿宋_GB2312" w:hAnsi="仿宋_GB2312" w:cs="仿宋_GB2312" w:eastAsia="仿宋_GB2312"/>
                      <w:sz w:val="21"/>
                    </w:rPr>
                    <w:t>5米以上范围内需要伴随的人员，确认是授权需伴随人员后，伴随功能开启。在光线不佳、有遮挡、地形复杂等环境下，</w:t>
                  </w:r>
                  <w:r>
                    <w:rPr>
                      <w:rFonts w:ascii="仿宋_GB2312" w:hAnsi="仿宋_GB2312" w:cs="仿宋_GB2312" w:eastAsia="仿宋_GB2312"/>
                      <w:sz w:val="21"/>
                    </w:rPr>
                    <w:t>须</w:t>
                  </w:r>
                  <w:r>
                    <w:rPr>
                      <w:rFonts w:ascii="仿宋_GB2312" w:hAnsi="仿宋_GB2312" w:cs="仿宋_GB2312" w:eastAsia="仿宋_GB2312"/>
                      <w:sz w:val="21"/>
                    </w:rPr>
                    <w:t>具备在短暂丢失目标后迅速重新锁定目标的能力。</w:t>
                  </w:r>
                </w:p>
                <w:p>
                  <w:pPr>
                    <w:pStyle w:val="null3"/>
                    <w:jc w:val="both"/>
                  </w:pPr>
                  <w:r>
                    <w:rPr>
                      <w:rFonts w:ascii="仿宋_GB2312" w:hAnsi="仿宋_GB2312" w:cs="仿宋_GB2312" w:eastAsia="仿宋_GB2312"/>
                      <w:sz w:val="21"/>
                      <w:b/>
                    </w:rPr>
                    <w:t>2、人员伴随</w:t>
                  </w:r>
                </w:p>
                <w:p>
                  <w:pPr>
                    <w:pStyle w:val="null3"/>
                    <w:jc w:val="both"/>
                  </w:pPr>
                  <w:r>
                    <w:rPr>
                      <w:rFonts w:ascii="仿宋_GB2312" w:hAnsi="仿宋_GB2312" w:cs="仿宋_GB2312" w:eastAsia="仿宋_GB2312"/>
                      <w:sz w:val="21"/>
                    </w:rPr>
                    <w:t>伴随距离：</w:t>
                  </w:r>
                  <w:r>
                    <w:rPr>
                      <w:rFonts w:ascii="仿宋_GB2312" w:hAnsi="仿宋_GB2312" w:cs="仿宋_GB2312" w:eastAsia="仿宋_GB2312"/>
                      <w:sz w:val="21"/>
                      <w:color w:val="0000FF"/>
                    </w:rPr>
                    <w:t>≥</w:t>
                  </w:r>
                  <w:r>
                    <w:rPr>
                      <w:rFonts w:ascii="仿宋_GB2312" w:hAnsi="仿宋_GB2312" w:cs="仿宋_GB2312" w:eastAsia="仿宋_GB2312"/>
                      <w:sz w:val="21"/>
                    </w:rPr>
                    <w:t>2米，在执行规划路线的伴随过程中，可以进行定点讲解，需要临时变更讲解路线，可通过语音指令，自动切换为随机伴随模式。</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伴随及执行</w:t>
                  </w:r>
                </w:p>
                <w:p>
                  <w:pPr>
                    <w:pStyle w:val="null3"/>
                    <w:jc w:val="both"/>
                  </w:pPr>
                  <w:r>
                    <w:rPr>
                      <w:rFonts w:ascii="仿宋_GB2312" w:hAnsi="仿宋_GB2312" w:cs="仿宋_GB2312" w:eastAsia="仿宋_GB2312"/>
                      <w:sz w:val="21"/>
                    </w:rPr>
                    <w:t>可</w:t>
                  </w:r>
                  <w:r>
                    <w:rPr>
                      <w:rFonts w:ascii="仿宋_GB2312" w:hAnsi="仿宋_GB2312" w:cs="仿宋_GB2312" w:eastAsia="仿宋_GB2312"/>
                      <w:sz w:val="21"/>
                    </w:rPr>
                    <w:t>接收</w:t>
                  </w:r>
                  <w:r>
                    <w:rPr>
                      <w:rFonts w:ascii="仿宋_GB2312" w:hAnsi="仿宋_GB2312" w:cs="仿宋_GB2312" w:eastAsia="仿宋_GB2312"/>
                      <w:sz w:val="21"/>
                    </w:rPr>
                    <w:t>并执行语音指令</w:t>
                  </w:r>
                  <w:r>
                    <w:rPr>
                      <w:rFonts w:ascii="仿宋_GB2312" w:hAnsi="仿宋_GB2312" w:cs="仿宋_GB2312" w:eastAsia="仿宋_GB2312"/>
                      <w:sz w:val="21"/>
                      <w:color w:val="FF0000"/>
                    </w:rPr>
                    <w:t>≥</w:t>
                  </w:r>
                  <w:r>
                    <w:rPr>
                      <w:rFonts w:ascii="仿宋_GB2312" w:hAnsi="仿宋_GB2312" w:cs="仿宋_GB2312" w:eastAsia="仿宋_GB2312"/>
                      <w:sz w:val="21"/>
                    </w:rPr>
                    <w:t>10条，可依据本地知识库回答简单提问，响应时间：≤150ms</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送餐引导</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1、跟随功能</w:t>
                  </w:r>
                </w:p>
                <w:p>
                  <w:pPr>
                    <w:pStyle w:val="null3"/>
                    <w:jc w:val="both"/>
                  </w:pPr>
                  <w:r>
                    <w:rPr>
                      <w:rFonts w:ascii="仿宋_GB2312" w:hAnsi="仿宋_GB2312" w:cs="仿宋_GB2312" w:eastAsia="仿宋_GB2312"/>
                      <w:sz w:val="21"/>
                    </w:rPr>
                    <w:t>实现在巡逻机器人的引领下，完成相关区域的送餐与餐具回收的无人化转运。</w:t>
                  </w:r>
                </w:p>
                <w:p>
                  <w:pPr>
                    <w:pStyle w:val="null3"/>
                    <w:jc w:val="both"/>
                  </w:pPr>
                  <w:r>
                    <w:rPr>
                      <w:rFonts w:ascii="仿宋_GB2312" w:hAnsi="仿宋_GB2312" w:cs="仿宋_GB2312" w:eastAsia="仿宋_GB2312"/>
                      <w:sz w:val="21"/>
                      <w:b/>
                    </w:rPr>
                    <w:t>2、转运功能</w:t>
                  </w:r>
                </w:p>
                <w:p>
                  <w:pPr>
                    <w:pStyle w:val="null3"/>
                    <w:jc w:val="both"/>
                  </w:pPr>
                  <w:r>
                    <w:rPr>
                      <w:rFonts w:ascii="仿宋_GB2312" w:hAnsi="仿宋_GB2312" w:cs="仿宋_GB2312" w:eastAsia="仿宋_GB2312"/>
                      <w:sz w:val="21"/>
                    </w:rPr>
                    <w:t>可实现对多台套设备的跟随引导及组队跟随引导</w:t>
                  </w:r>
                  <w:r>
                    <w:rPr>
                      <w:rFonts w:ascii="仿宋_GB2312" w:hAnsi="仿宋_GB2312" w:cs="仿宋_GB2312" w:eastAsia="仿宋_GB2312"/>
                      <w:sz w:val="21"/>
                    </w:rPr>
                    <w:t>，具备语音、物理按键共存的使用功能；每次引导任务，可同时完成</w:t>
                  </w:r>
                  <w:r>
                    <w:rPr>
                      <w:rFonts w:ascii="仿宋_GB2312" w:hAnsi="仿宋_GB2312" w:cs="仿宋_GB2312" w:eastAsia="仿宋_GB2312"/>
                      <w:sz w:val="21"/>
                    </w:rPr>
                    <w:t>≥800人份的餐食与餐具的转运需求，具备除下雪、路面结冰、大雨等极端天气外，完成送餐与餐具回收转运工作的能力。</w:t>
                  </w:r>
                </w:p>
                <w:p>
                  <w:pPr>
                    <w:pStyle w:val="null3"/>
                    <w:jc w:val="both"/>
                  </w:pPr>
                  <w:r>
                    <w:rPr>
                      <w:rFonts w:ascii="仿宋_GB2312" w:hAnsi="仿宋_GB2312" w:cs="仿宋_GB2312" w:eastAsia="仿宋_GB2312"/>
                      <w:sz w:val="21"/>
                      <w:b/>
                    </w:rPr>
                    <w:t>3、系统与安全</w:t>
                  </w:r>
                </w:p>
                <w:p>
                  <w:pPr>
                    <w:pStyle w:val="null3"/>
                    <w:jc w:val="both"/>
                  </w:pPr>
                  <w:r>
                    <w:rPr>
                      <w:rFonts w:ascii="仿宋_GB2312" w:hAnsi="仿宋_GB2312" w:cs="仿宋_GB2312" w:eastAsia="仿宋_GB2312"/>
                      <w:sz w:val="21"/>
                    </w:rPr>
                    <w:t>具备智能引导、故障诊断功能，具备遮阳、遮雨及夜间照明设施。防护等级：</w:t>
                  </w:r>
                  <w:r>
                    <w:rPr>
                      <w:rFonts w:ascii="仿宋_GB2312" w:hAnsi="仿宋_GB2312" w:cs="仿宋_GB2312" w:eastAsia="仿宋_GB2312"/>
                      <w:sz w:val="21"/>
                    </w:rPr>
                    <w:t>≥IP65，工作环境温度-20℃-60℃。</w:t>
                  </w:r>
                </w:p>
                <w:p>
                  <w:pPr>
                    <w:pStyle w:val="null3"/>
                    <w:jc w:val="both"/>
                  </w:pPr>
                  <w:r>
                    <w:rPr>
                      <w:rFonts w:ascii="仿宋_GB2312" w:hAnsi="仿宋_GB2312" w:cs="仿宋_GB2312" w:eastAsia="仿宋_GB2312"/>
                      <w:sz w:val="21"/>
                      <w:b/>
                    </w:rPr>
                    <w:t>4、拓展功能</w:t>
                  </w:r>
                </w:p>
                <w:p>
                  <w:pPr>
                    <w:pStyle w:val="null3"/>
                    <w:jc w:val="both"/>
                  </w:pPr>
                  <w:r>
                    <w:rPr>
                      <w:rFonts w:ascii="仿宋_GB2312" w:hAnsi="仿宋_GB2312" w:cs="仿宋_GB2312" w:eastAsia="仿宋_GB2312"/>
                      <w:sz w:val="21"/>
                    </w:rPr>
                    <w:t>通过模块化结构设计，可以跟随巡逻机器人，进行必要的其它物料运输。</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5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硬件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边缘计算或其它设备</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▲AI算力：≥100 TOPS INT8（或提供同等算力方案，允许通过多卡/多模组集群方式实现）；</w:t>
                  </w:r>
                </w:p>
                <w:p>
                  <w:pPr>
                    <w:pStyle w:val="null3"/>
                    <w:jc w:val="both"/>
                  </w:pPr>
                  <w:r>
                    <w:rPr>
                      <w:rFonts w:ascii="仿宋_GB2312" w:hAnsi="仿宋_GB2312" w:cs="仿宋_GB2312" w:eastAsia="仿宋_GB2312"/>
                      <w:sz w:val="21"/>
                    </w:rPr>
                    <w:t>▲内存配置：标配≥</w:t>
                  </w:r>
                  <w:r>
                    <w:rPr>
                      <w:rFonts w:ascii="仿宋_GB2312" w:hAnsi="仿宋_GB2312" w:cs="仿宋_GB2312" w:eastAsia="仿宋_GB2312"/>
                      <w:sz w:val="21"/>
                    </w:rPr>
                    <w:t>32</w:t>
                  </w:r>
                  <w:r>
                    <w:rPr>
                      <w:rFonts w:ascii="仿宋_GB2312" w:hAnsi="仿宋_GB2312" w:cs="仿宋_GB2312" w:eastAsia="仿宋_GB2312"/>
                      <w:sz w:val="21"/>
                    </w:rPr>
                    <w:t>GB，支持扩展至</w:t>
                  </w:r>
                  <w:r>
                    <w:rPr>
                      <w:rFonts w:ascii="仿宋_GB2312" w:hAnsi="仿宋_GB2312" w:cs="仿宋_GB2312" w:eastAsia="仿宋_GB2312"/>
                      <w:sz w:val="21"/>
                    </w:rPr>
                    <w:t>64</w:t>
                  </w:r>
                  <w:r>
                    <w:rPr>
                      <w:rFonts w:ascii="仿宋_GB2312" w:hAnsi="仿宋_GB2312" w:cs="仿宋_GB2312" w:eastAsia="仿宋_GB2312"/>
                      <w:sz w:val="21"/>
                    </w:rPr>
                    <w:t>GB及以上（或预留内存升级空间）；</w:t>
                  </w:r>
                </w:p>
                <w:p>
                  <w:pPr>
                    <w:pStyle w:val="null3"/>
                    <w:jc w:val="both"/>
                  </w:pPr>
                  <w:r>
                    <w:rPr>
                      <w:rFonts w:ascii="仿宋_GB2312" w:hAnsi="仿宋_GB2312" w:cs="仿宋_GB2312" w:eastAsia="仿宋_GB2312"/>
                      <w:sz w:val="21"/>
                    </w:rPr>
                    <w:t>扩展能力：支持</w:t>
                  </w:r>
                  <w:r>
                    <w:rPr>
                      <w:rFonts w:ascii="仿宋_GB2312" w:hAnsi="仿宋_GB2312" w:cs="仿宋_GB2312" w:eastAsia="仿宋_GB2312"/>
                      <w:sz w:val="21"/>
                    </w:rPr>
                    <w:t>PCIe扩展（兼容x4/x8通道）或具备M.2/USB 3.0等高速扩展接口，用于接入附加算力卡。</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摄像机</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主要参数：</w:t>
                  </w:r>
                </w:p>
                <w:p>
                  <w:pPr>
                    <w:pStyle w:val="null3"/>
                    <w:jc w:val="both"/>
                  </w:pPr>
                  <w:r>
                    <w:rPr>
                      <w:rFonts w:ascii="仿宋_GB2312" w:hAnsi="仿宋_GB2312" w:cs="仿宋_GB2312" w:eastAsia="仿宋_GB2312"/>
                      <w:sz w:val="21"/>
                    </w:rPr>
                    <w:t>▲像素≥</w:t>
                  </w:r>
                  <w:r>
                    <w:rPr>
                      <w:rFonts w:ascii="仿宋_GB2312" w:hAnsi="仿宋_GB2312" w:cs="仿宋_GB2312" w:eastAsia="仿宋_GB2312"/>
                      <w:sz w:val="21"/>
                    </w:rPr>
                    <w:t>4</w:t>
                  </w:r>
                  <w:r>
                    <w:rPr>
                      <w:rFonts w:ascii="仿宋_GB2312" w:hAnsi="仿宋_GB2312" w:cs="仿宋_GB2312" w:eastAsia="仿宋_GB2312"/>
                      <w:sz w:val="21"/>
                    </w:rPr>
                    <w:t>00万；</w:t>
                  </w:r>
                </w:p>
                <w:p>
                  <w:pPr>
                    <w:pStyle w:val="null3"/>
                    <w:jc w:val="both"/>
                  </w:pPr>
                  <w:r>
                    <w:rPr>
                      <w:rFonts w:ascii="仿宋_GB2312" w:hAnsi="仿宋_GB2312" w:cs="仿宋_GB2312" w:eastAsia="仿宋_GB2312"/>
                      <w:sz w:val="21"/>
                    </w:rPr>
                    <w:t>支持电动变焦</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▲动态</w:t>
                  </w:r>
                  <w:r>
                    <w:rPr>
                      <w:rFonts w:ascii="仿宋_GB2312" w:hAnsi="仿宋_GB2312" w:cs="仿宋_GB2312" w:eastAsia="仿宋_GB2312"/>
                      <w:sz w:val="21"/>
                    </w:rPr>
                    <w:t>范围</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0dB。</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硬盘</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▲硬盘容量：≥2000GB</w:t>
                  </w:r>
                </w:p>
                <w:p>
                  <w:pPr>
                    <w:pStyle w:val="null3"/>
                    <w:jc w:val="both"/>
                  </w:pPr>
                  <w:r>
                    <w:rPr>
                      <w:rFonts w:ascii="仿宋_GB2312" w:hAnsi="仿宋_GB2312" w:cs="仿宋_GB2312" w:eastAsia="仿宋_GB2312"/>
                      <w:sz w:val="21"/>
                    </w:rPr>
                    <w:t>硬盘尺寸：</w:t>
                  </w:r>
                  <w:r>
                    <w:rPr>
                      <w:rFonts w:ascii="仿宋_GB2312" w:hAnsi="仿宋_GB2312" w:cs="仿宋_GB2312" w:eastAsia="仿宋_GB2312"/>
                      <w:sz w:val="21"/>
                    </w:rPr>
                    <w:t>3.5英寸</w:t>
                  </w:r>
                </w:p>
                <w:p>
                  <w:pPr>
                    <w:pStyle w:val="null3"/>
                    <w:jc w:val="both"/>
                  </w:pPr>
                  <w:r>
                    <w:rPr>
                      <w:rFonts w:ascii="仿宋_GB2312" w:hAnsi="仿宋_GB2312" w:cs="仿宋_GB2312" w:eastAsia="仿宋_GB2312"/>
                      <w:sz w:val="21"/>
                    </w:rPr>
                    <w:t>▲缓存：≥32MB</w:t>
                  </w:r>
                </w:p>
                <w:p>
                  <w:pPr>
                    <w:pStyle w:val="null3"/>
                    <w:jc w:val="both"/>
                  </w:pPr>
                  <w:r>
                    <w:rPr>
                      <w:rFonts w:ascii="仿宋_GB2312" w:hAnsi="仿宋_GB2312" w:cs="仿宋_GB2312" w:eastAsia="仿宋_GB2312"/>
                      <w:sz w:val="21"/>
                    </w:rPr>
                    <w:t>▲转速：≥7200rpm</w:t>
                  </w:r>
                </w:p>
                <w:p>
                  <w:pPr>
                    <w:pStyle w:val="null3"/>
                    <w:jc w:val="both"/>
                  </w:pPr>
                  <w:r>
                    <w:rPr>
                      <w:rFonts w:ascii="仿宋_GB2312" w:hAnsi="仿宋_GB2312" w:cs="仿宋_GB2312" w:eastAsia="仿宋_GB2312"/>
                      <w:sz w:val="21"/>
                    </w:rPr>
                    <w:t>接口类型：</w:t>
                  </w:r>
                  <w:r>
                    <w:rPr>
                      <w:rFonts w:ascii="仿宋_GB2312" w:hAnsi="仿宋_GB2312" w:cs="仿宋_GB2312" w:eastAsia="仿宋_GB2312"/>
                      <w:sz w:val="21"/>
                    </w:rPr>
                    <w:t>SATA3.0以上</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满足采购人需求，能够按要求完成项目服务内容。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满足本项目的服务需求。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陕西省西安监狱</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按国家及地方现行项目实施规范和合同规定的验收评定标准等要求进行验收。验收依据包括但不限于本项目采购文件、响应文件；技术合同文本及附件；合同签订时国家及行业现行的标准和技术规范。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进度款，履约结束且验收合格，达到付款条件起10个工作日内，支付合同总金额的50.0%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自然人应提供身份证。</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2025年度完整的财务报告，应满⾜以下要求：须提供会计师事务所出具的审计报告复印件,复印件⾄少须包括报告正⽂、资产负债表、现⾦流量表、利润表、附注和会计师事务所营业执照，报告正⽂应当有会计师事务所公章和2名注册会计师的签字及盖章。（成⽴时间⾄响应⽂件递交截⽌时间不⾜⼀年的可提供成⽴后任意时段的资产负债表）或响应⽂件递交截⽌时间前六个⽉内基本账⼾银⾏出具的资信证明或财政部⻔认可的政府采购专业担保机构出具的磋商担保函。注：提供资信证明的，必须提供资信证明全部⻚以及基本⼾信息（提供开⼾许可证或提供基本银⾏账⼾信息），银⾏出具的存款证明不能代替资信证明，存款证明⽆效；</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磋商的，须提供法定代表人（主要负责人）身份证明；法定代表人（主要负责人）授权他人参加磋商的，须提供法定代表人（主要负责人）授权委托书。响应文件中凡是需要法定代表人盖章之处，非法人单位的负责人均参照执行。法人的分支机构参与磋商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供应商应提供的相关资格证明材料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有下列情形之⼀的，应在符合性审查时按照⽆ 效响应处理：（1）响应⽂件未按照磋商⽂件规 定要求签署、盖章的；（2）不满⾜本磋商⽂件 中“服务期限、服务地点、采购资⾦的⽀付⽅式 及约定”的实质性条款要求的； （3）报价未超 过磋商⽂件中规定的对应的采购预算或最⾼限 价的； （4）响应⽂件有效期不⾜的或⽆有效期 的； （5）法律、法规和磋商⽂件规定的其他⽆ 效情形。</w:t>
            </w:r>
          </w:p>
        </w:tc>
        <w:tc>
          <w:tcPr>
            <w:tcW w:type="dxa" w:w="1661"/>
          </w:tcPr>
          <w:p>
            <w:pPr>
              <w:pStyle w:val="null3"/>
            </w:pPr>
            <w:r>
              <w:rPr>
                <w:rFonts w:ascii="仿宋_GB2312" w:hAnsi="仿宋_GB2312" w:cs="仿宋_GB2312" w:eastAsia="仿宋_GB2312"/>
              </w:rPr>
              <w:t>服务响应偏离表 商务部分偏离表 响应文件封面 中小企业声明函 残疾人福利性单位声明函 服务方案 标的清单 报价表 响应函 供应商应提供的相关资格证明材料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技术参数及功能要求</w:t>
            </w:r>
          </w:p>
        </w:tc>
        <w:tc>
          <w:tcPr>
            <w:tcW w:type="dxa" w:w="2492"/>
          </w:tcPr>
          <w:p>
            <w:pPr>
              <w:pStyle w:val="null3"/>
            </w:pPr>
            <w:r>
              <w:rPr>
                <w:rFonts w:ascii="仿宋_GB2312" w:hAnsi="仿宋_GB2312" w:cs="仿宋_GB2312" w:eastAsia="仿宋_GB2312"/>
              </w:rPr>
              <w:t>根据供应商对3.2.2服务要求“功能要求及技术参数”中对带“▲”的各项响应情况进行评审：每负偏离一项扣1分，其他一般参数每有1项负偏离扣0.5分满分16分，扣完为止。 备注：1.提供的有效佐证材料不限于产品彩页或第三方检测机构出具的检测报告或官网功能截图等。2.若佐证材料与技术响应偏离表响应内容不一致的，以佐证材料为准。同一指标提供佐证材料内容不一致的，以最不利于磋商人的情形进行评审。</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其中包括；（1）软件部署方案（边缘计算设备非嵌入式部署、离线推理环境搭建）方案内容，（2）系统集成与联调方案（身份识别、语音唤醒、伴随、送餐引导各模块协同）方案内容，（3）模型训练与更新方案（低置信度难例挖掘、增量训练及热更新）方案内容，（4）实施进度计划与节点控制方案内容，（5）质量管理与风险控制措施方案内容。上述5项内容，每提供1项内容计3分，每项内容存在1处瑕疵扣0.3分，本评分点满分15分。本评分办法中所称"内容瑕疵"，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其中包括；（1）专职培训讲师安排内容完整，（2）培训时间与培训内容规划（涵盖系统操作、运维管理、难例标注与模型更新等）安排内容。上述2项内容，每提供1项内容计5分，每项内容存在1处瑕疵扣0.3分，本评分点满分10分。本评分办法中所称"内容瑕疵"，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的售后服务方案其中包括；（1）售后服务管理体系与时效响应（含7×24小时技术支持、故障响应时限）方案内容，（2）人员培训计划（含培训内容、课时安排、培训讲师安排）方案内容，（3）质量保证期限及质保期内服务内容，（4）设备运维保障措施（含边缘计算设备、摄像机、硬盘等硬件的维保计划）方案内容，（5）应急处理方案（含系统故障恢复、数据备份与恢复）方案内容，上述5项内容，每提供1项内容计3分，每项内容存在1处瑕疵扣0.3分，本评分点满分15分。本评分办法中所称"内容瑕疵"，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（1）供应商承诺为本项目采购人提供人员培训，得1分。 （2）合同履行完成，供应商须承诺无偿并完整的向采购人转让本次采购项目技术成果的知识产权，以用于后期系统的进一步完善及改进，如后期需要与第三方实现对接或数据交互时，供应商应提供相应的技术支持和数据接口，并配合第三方做好技术衔接工作，供应商不得以任何借口推诿并收取费用，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供应商具有①国家鼓励的重点软件企业②国家技术创新示范企业②高新企业认证、③国家新一代人工智能开放创新平台企业④软件和信息技术服务竞争力百强企业⑤CMMI五级及以上⑥CSMM五级及以上⑦ITSS一级及以上等认证及荣誉，每项得0.5分，最高得3.5分； （2）供应商具有信息技术服务运行维护符合性证书的得1.5分。 注：须提供有效证书扫描件并加盖供应商公章，不提供不得分。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供应商具有AI识别、边缘计算、语音识别等相关领域的软件著作权登记证书，每提供1份得1分，最高得3分。 注：须提供有效证书复印件，著作权人须为供应商自身，不提供不得分。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 配置</w:t>
            </w:r>
          </w:p>
        </w:tc>
        <w:tc>
          <w:tcPr>
            <w:tcW w:type="dxa" w:w="2492"/>
          </w:tcPr>
          <w:p>
            <w:pPr>
              <w:pStyle w:val="null3"/>
            </w:pPr>
            <w:r>
              <w:rPr>
                <w:rFonts w:ascii="仿宋_GB2312" w:hAnsi="仿宋_GB2312" w:cs="仿宋_GB2312" w:eastAsia="仿宋_GB2312"/>
              </w:rPr>
              <w:t>（1）项目负责人具有中级及以上软考证书（系统集成项目管理工程师、信息系统项目管理师、系统架构设计师），或持有有效 PMP 项目管理专业人士证书的得3分（须提供加盖供应商公章的资格证书扫描件及磋商截止时间前3个月的任意一月的养老保险凭证）； （2）项目团队成员（项目负责人除外）中具有人工智能、计算机、软件工程等相关专业中级及以上职称或或取得计算机技术与软件专业技术资格（水平）中级及以上证书（软考）的，每有1人得2分，最高得8分（须提供加盖供应商公章的资格证书扫描件及磋商截止时间前3个月的任意一月的养老保险凭证）。</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今（以合同签订时间为准），具有类似项目业绩（AI视觉识别、边缘计算、智能巡检机器人、人工智能应用、AI模型应用或机器人应用等相关领域）业绩合同内容包含上述任一技术建设内容均可计分，每提供1个有效业绩得2分，最高得12分。 注：须提供合同关键页复印件（含合同名称、签订双方名称、签订时间、主要服务内容、双方盖章页），不提供不得分。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有效供应商的最终报价的最低值为基准价得满分，其他各供应商的最终报价得分按下列公式计算：（基准价/最终报价）×10。 注：符合要求的小微企业参与磋商的，给予10%的价格优惠，按照优惠后的价格参与评审。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详见附件：供应商应提供的相关资格证明材料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详见附件：商务部分偏离表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