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版本号：ZMZB2026STY-24020260723002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2026年度职工补充医疗保险及意外伤害保险服务项目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ZMZB2026STY-240</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2026年度职工补充医疗保险及意外伤害保险服务项目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ZMZB2026STY-240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2026年度职工补充医疗保险及意外伤害保险服务项目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2026年度职工补充医疗保险及意外伤害保险服务项目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投标人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2026年1月（含1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6、投标人应出具参加采购活动前3年内在经营活动中没有重大违法记录的书面声明：投标人应出具参加采购活动前3年内在经营活动中没有重大违法记录的书面声明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7、法定代表人授权书：非法定代表人参加投标的，须提供法定代表人委托授权书及被授权人身份证，法定代表人参加投标时,只须提供法定代表人身份证</w:t>
      </w:r>
    </w:p>
    <w:p>
      <w:pPr>
        <w:pStyle w:val="null3"/>
      </w:pPr>
      <w:r>
        <w:rPr>
          <w:rFonts w:ascii="仿宋_GB2312" w:hAnsi="仿宋_GB2312" w:cs="仿宋_GB2312" w:eastAsia="仿宋_GB2312"/>
        </w:rPr>
        <w:t>8、资质要求：供应商具备国家金融监督管理总局（原中国银行保险监督管理委员会）颁发的经营保险业务许可证</w:t>
      </w:r>
    </w:p>
    <w:p>
      <w:pPr>
        <w:pStyle w:val="null3"/>
      </w:pPr>
      <w:r>
        <w:rPr>
          <w:rFonts w:ascii="仿宋_GB2312" w:hAnsi="仿宋_GB2312" w:cs="仿宋_GB2312" w:eastAsia="仿宋_GB2312"/>
        </w:rPr>
        <w:t>9、本项目不接受联合体投标：本项目不接受联合体投标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采购包1保证金金额：19,600.00元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代理服务费收费标准：按国家计委关于印发《采购代理服务收费管理暂行办法的通知》（计价格[2002]1980号）规定的标准下浮20%收取代理服务费。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根据招标文件、投标文件以及合同条款执行。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根据招标文件、投标文件以及合同条款执行。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2026年度职工补充医疗保险及意外伤害保险服务项目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2026年度职工补充医疗保险及意外伤害保险服务项目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标的名称：2026年度职工补充医疗保险及意外伤害保险服务项目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一、保费</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4"/>
              </w:rPr>
              <w:t>人均保费：不高于</w:t>
            </w:r>
            <w:r>
              <w:rPr>
                <w:rFonts w:ascii="仿宋_GB2312" w:hAnsi="仿宋_GB2312" w:cs="仿宋_GB2312" w:eastAsia="仿宋_GB2312"/>
                <w:sz w:val="24"/>
              </w:rPr>
              <w:t>1080元/年/人。招标确定“年/人”单价。</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1"/>
              </w:rPr>
              <w:t>★</w:t>
            </w:r>
            <w:r>
              <w:rPr>
                <w:rFonts w:ascii="仿宋_GB2312" w:hAnsi="仿宋_GB2312" w:cs="仿宋_GB2312" w:eastAsia="仿宋_GB2312"/>
                <w:sz w:val="24"/>
              </w:rPr>
              <w:t>单价大于</w:t>
            </w:r>
            <w:r>
              <w:rPr>
                <w:rFonts w:ascii="仿宋_GB2312" w:hAnsi="仿宋_GB2312" w:cs="仿宋_GB2312" w:eastAsia="仿宋_GB2312"/>
                <w:sz w:val="24"/>
              </w:rPr>
              <w:t>1080元/年/人视为无效响应】，人数约为900人，具体名单（含正式在岗、正式离退休人员）以人事部门核定的花名册为准。</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4"/>
              </w:rPr>
              <w:t>二、保险保障内容</w:t>
            </w:r>
          </w:p>
          <w:p>
            <w:pPr>
              <w:pStyle w:val="null3"/>
              <w:ind w:firstLine="480"/>
              <w:jc w:val="left"/>
            </w:pPr>
            <w:r>
              <w:rPr>
                <w:rFonts w:ascii="仿宋_GB2312" w:hAnsi="仿宋_GB2312" w:cs="仿宋_GB2312" w:eastAsia="仿宋_GB2312"/>
                <w:sz w:val="24"/>
              </w:rPr>
              <w:t>1.门诊医疗（包含且不限于普通门诊、急诊、院前、住院期间转外等情形的检查诊断与治疗，无免赔额）保险；</w:t>
            </w:r>
          </w:p>
          <w:p>
            <w:pPr>
              <w:pStyle w:val="null3"/>
              <w:ind w:firstLine="480"/>
              <w:jc w:val="left"/>
            </w:pPr>
            <w:r>
              <w:rPr>
                <w:rFonts w:ascii="仿宋_GB2312" w:hAnsi="仿宋_GB2312" w:cs="仿宋_GB2312" w:eastAsia="仿宋_GB2312"/>
                <w:sz w:val="24"/>
              </w:rPr>
              <w:t>2.住院补充医疗保险（包含且不限于既往病，无免赔额）；</w:t>
            </w:r>
          </w:p>
          <w:p>
            <w:pPr>
              <w:pStyle w:val="null3"/>
              <w:ind w:firstLine="480"/>
              <w:jc w:val="left"/>
            </w:pPr>
            <w:r>
              <w:rPr>
                <w:rFonts w:ascii="仿宋_GB2312" w:hAnsi="仿宋_GB2312" w:cs="仿宋_GB2312" w:eastAsia="仿宋_GB2312"/>
                <w:sz w:val="24"/>
              </w:rPr>
              <w:t>3.住院津贴保险（无免赔天数，住院即赔）；</w:t>
            </w:r>
          </w:p>
          <w:p>
            <w:pPr>
              <w:pStyle w:val="null3"/>
              <w:ind w:firstLine="480"/>
              <w:jc w:val="left"/>
            </w:pPr>
            <w:r>
              <w:rPr>
                <w:rFonts w:ascii="仿宋_GB2312" w:hAnsi="仿宋_GB2312" w:cs="仿宋_GB2312" w:eastAsia="仿宋_GB2312"/>
                <w:sz w:val="24"/>
              </w:rPr>
              <w:t>4.意外伤害保险（包括且不限于因意外伤害导致伤残/身故、交通意外导致的伤残/身故，无免赔额）。</w:t>
            </w:r>
          </w:p>
          <w:p>
            <w:pPr>
              <w:pStyle w:val="null3"/>
              <w:ind w:firstLine="480"/>
              <w:jc w:val="left"/>
            </w:pPr>
            <w:r>
              <w:rPr>
                <w:rFonts w:ascii="仿宋_GB2312" w:hAnsi="仿宋_GB2312" w:cs="仿宋_GB2312" w:eastAsia="仿宋_GB2312"/>
                <w:sz w:val="24"/>
              </w:rPr>
              <w:t>具体保险内容和赔付标准如下：</w:t>
            </w:r>
          </w:p>
          <w:tbl>
            <w:tblPr>
              <w:tblInd w:type="dxa" w:w="240"/>
              <w:tblBorders>
                <w:top w:val="none" w:color="000000" w:sz="4"/>
                <w:left w:val="none" w:color="000000" w:sz="4"/>
                <w:bottom w:val="none" w:color="000000" w:sz="4"/>
                <w:right w:val="none" w:color="000000" w:sz="4"/>
                <w:insideH w:val="none"/>
                <w:insideV w:val="none"/>
              </w:tblBorders>
            </w:tblPr>
            <w:tblGrid>
              <w:gridCol w:w="291"/>
              <w:gridCol w:w="487"/>
              <w:gridCol w:w="636"/>
              <w:gridCol w:w="827"/>
              <w:gridCol w:w="291"/>
            </w:tblGrid>
            <w:tr>
              <w:tc>
                <w:tcPr>
                  <w:tcW w:type="dxa" w:w="29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序号</w:t>
                  </w:r>
                </w:p>
              </w:tc>
              <w:tc>
                <w:tcPr>
                  <w:tcW w:type="dxa" w:w="487"/>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保险项目</w:t>
                  </w:r>
                </w:p>
              </w:tc>
              <w:tc>
                <w:tcPr>
                  <w:tcW w:type="dxa" w:w="63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保障内容</w:t>
                  </w:r>
                </w:p>
              </w:tc>
              <w:tc>
                <w:tcPr>
                  <w:tcW w:type="dxa" w:w="827"/>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赔付标准</w:t>
                  </w:r>
                </w:p>
              </w:tc>
              <w:tc>
                <w:tcPr>
                  <w:tcW w:type="dxa" w:w="29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备注</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p>
              </w:tc>
              <w:tc>
                <w:tcPr>
                  <w:tcW w:type="dxa" w:w="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门</w:t>
                  </w:r>
                  <w:r>
                    <w:rPr>
                      <w:rFonts w:ascii="仿宋_GB2312" w:hAnsi="仿宋_GB2312" w:cs="仿宋_GB2312" w:eastAsia="仿宋_GB2312"/>
                      <w:sz w:val="24"/>
                    </w:rPr>
                    <w:t>/急诊医疗保险（含既往病）</w:t>
                  </w:r>
                </w:p>
              </w:tc>
              <w:tc>
                <w:tcPr>
                  <w:tcW w:type="dxa" w:w="6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包含且不限于：</w:t>
                  </w:r>
                </w:p>
                <w:p>
                  <w:pPr>
                    <w:pStyle w:val="null3"/>
                    <w:jc w:val="left"/>
                  </w:pPr>
                  <w:r>
                    <w:rPr>
                      <w:rFonts w:ascii="仿宋_GB2312" w:hAnsi="仿宋_GB2312" w:cs="仿宋_GB2312" w:eastAsia="仿宋_GB2312"/>
                      <w:sz w:val="24"/>
                    </w:rPr>
                    <w:t>普通门诊检查诊断与治疗；</w:t>
                  </w:r>
                </w:p>
                <w:p>
                  <w:pPr>
                    <w:pStyle w:val="null3"/>
                    <w:jc w:val="left"/>
                  </w:pPr>
                  <w:r>
                    <w:rPr>
                      <w:rFonts w:ascii="仿宋_GB2312" w:hAnsi="仿宋_GB2312" w:cs="仿宋_GB2312" w:eastAsia="仿宋_GB2312"/>
                      <w:sz w:val="24"/>
                    </w:rPr>
                    <w:t>急诊门诊检查诊断与治疗；</w:t>
                  </w:r>
                </w:p>
                <w:p>
                  <w:pPr>
                    <w:pStyle w:val="null3"/>
                    <w:jc w:val="left"/>
                  </w:pPr>
                  <w:r>
                    <w:rPr>
                      <w:rFonts w:ascii="仿宋_GB2312" w:hAnsi="仿宋_GB2312" w:cs="仿宋_GB2312" w:eastAsia="仿宋_GB2312"/>
                      <w:sz w:val="24"/>
                    </w:rPr>
                    <w:t>院前门诊检查诊断与治疗；</w:t>
                  </w:r>
                </w:p>
                <w:p>
                  <w:pPr>
                    <w:pStyle w:val="null3"/>
                    <w:jc w:val="left"/>
                  </w:pPr>
                  <w:r>
                    <w:rPr>
                      <w:rFonts w:ascii="仿宋_GB2312" w:hAnsi="仿宋_GB2312" w:cs="仿宋_GB2312" w:eastAsia="仿宋_GB2312"/>
                      <w:sz w:val="24"/>
                    </w:rPr>
                    <w:t>住院期间转外门诊检查诊断与治疗；</w:t>
                  </w:r>
                </w:p>
                <w:p>
                  <w:pPr>
                    <w:pStyle w:val="null3"/>
                    <w:jc w:val="left"/>
                  </w:pPr>
                  <w:r>
                    <w:rPr>
                      <w:rFonts w:ascii="仿宋_GB2312" w:hAnsi="仿宋_GB2312" w:cs="仿宋_GB2312" w:eastAsia="仿宋_GB2312"/>
                      <w:sz w:val="24"/>
                    </w:rPr>
                    <w:t>慢病门诊检查诊断与治疗；</w:t>
                  </w:r>
                </w:p>
                <w:p>
                  <w:pPr>
                    <w:pStyle w:val="null3"/>
                    <w:jc w:val="left"/>
                  </w:pPr>
                  <w:r>
                    <w:rPr>
                      <w:rFonts w:ascii="仿宋_GB2312" w:hAnsi="仿宋_GB2312" w:cs="仿宋_GB2312" w:eastAsia="仿宋_GB2312"/>
                      <w:sz w:val="24"/>
                    </w:rPr>
                    <w:t>特病门诊检查诊断与治疗。</w:t>
                  </w:r>
                </w:p>
              </w:tc>
              <w:tc>
                <w:tcPr>
                  <w:tcW w:type="dxa" w:w="82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1.无免赔额（不设起付线）。</w:t>
                  </w:r>
                </w:p>
                <w:p>
                  <w:pPr>
                    <w:pStyle w:val="null3"/>
                    <w:jc w:val="left"/>
                  </w:pPr>
                  <w:r>
                    <w:rPr>
                      <w:rFonts w:ascii="仿宋_GB2312" w:hAnsi="仿宋_GB2312" w:cs="仿宋_GB2312" w:eastAsia="仿宋_GB2312"/>
                      <w:sz w:val="24"/>
                    </w:rPr>
                    <w:t>2.经过医保赔付的，赔付比例不低于95%；</w:t>
                  </w:r>
                </w:p>
                <w:p>
                  <w:pPr>
                    <w:pStyle w:val="null3"/>
                    <w:jc w:val="left"/>
                  </w:pPr>
                  <w:r>
                    <w:rPr>
                      <w:rFonts w:ascii="仿宋_GB2312" w:hAnsi="仿宋_GB2312" w:cs="仿宋_GB2312" w:eastAsia="仿宋_GB2312"/>
                      <w:sz w:val="24"/>
                    </w:rPr>
                    <w:t>3.未经过医保赔付的，赔付比例不低于90%。</w:t>
                  </w:r>
                </w:p>
                <w:p>
                  <w:pPr>
                    <w:pStyle w:val="null3"/>
                    <w:jc w:val="left"/>
                  </w:pPr>
                  <w:r>
                    <w:rPr>
                      <w:rFonts w:ascii="仿宋_GB2312" w:hAnsi="仿宋_GB2312" w:cs="仿宋_GB2312" w:eastAsia="仿宋_GB2312"/>
                      <w:sz w:val="24"/>
                    </w:rPr>
                    <w:t>4.个人年保额不低于8000元。</w:t>
                  </w:r>
                </w:p>
              </w:tc>
              <w:tc>
                <w:tcPr>
                  <w:tcW w:type="dxa" w:w="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291"/>
                  <w:vMerge w:val="restart"/>
                  <w:tcBorders>
                    <w:top w:val="none" w:color="000000" w:sz="4"/>
                    <w:left w:val="single" w:color="000000" w:sz="4"/>
                    <w:bottom w:val="non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2</w:t>
                  </w:r>
                </w:p>
              </w:tc>
              <w:tc>
                <w:tcPr>
                  <w:tcW w:type="dxa" w:w="487"/>
                  <w:vMerge w:val="restart"/>
                  <w:tcBorders>
                    <w:top w:val="none" w:color="000000" w:sz="4"/>
                    <w:left w:val="none" w:color="000000" w:sz="4"/>
                    <w:bottom w:val="non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住院补充医疗保险（含既往病）</w:t>
                  </w:r>
                </w:p>
              </w:tc>
              <w:tc>
                <w:tcPr>
                  <w:tcW w:type="dxa" w:w="6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4"/>
                    </w:rPr>
                    <w:t>包含且不限于</w:t>
                  </w:r>
                  <w:r>
                    <w:rPr>
                      <w:rFonts w:ascii="仿宋_GB2312" w:hAnsi="仿宋_GB2312" w:cs="仿宋_GB2312" w:eastAsia="仿宋_GB2312"/>
                      <w:sz w:val="24"/>
                    </w:rPr>
                    <w:t>:</w:t>
                  </w:r>
                </w:p>
                <w:p>
                  <w:pPr>
                    <w:pStyle w:val="null3"/>
                  </w:pPr>
                  <w:r>
                    <w:rPr>
                      <w:rFonts w:ascii="仿宋_GB2312" w:hAnsi="仿宋_GB2312" w:cs="仿宋_GB2312" w:eastAsia="仿宋_GB2312"/>
                      <w:sz w:val="24"/>
                    </w:rPr>
                    <w:t>住院产生的诊断、护</w:t>
                  </w:r>
                </w:p>
                <w:p>
                  <w:pPr>
                    <w:pStyle w:val="null3"/>
                  </w:pPr>
                  <w:r>
                    <w:rPr>
                      <w:rFonts w:ascii="仿宋_GB2312" w:hAnsi="仿宋_GB2312" w:cs="仿宋_GB2312" w:eastAsia="仿宋_GB2312"/>
                      <w:sz w:val="24"/>
                    </w:rPr>
                    <w:t>理、床位、检查、治疗、医药等诊疗</w:t>
                  </w:r>
                </w:p>
                <w:p>
                  <w:pPr>
                    <w:pStyle w:val="null3"/>
                  </w:pPr>
                  <w:r>
                    <w:rPr>
                      <w:rFonts w:ascii="仿宋_GB2312" w:hAnsi="仿宋_GB2312" w:cs="仿宋_GB2312" w:eastAsia="仿宋_GB2312"/>
                      <w:sz w:val="24"/>
                    </w:rPr>
                    <w:t>费用，无免赔额。</w:t>
                  </w:r>
                </w:p>
              </w:tc>
              <w:tc>
                <w:tcPr>
                  <w:tcW w:type="dxa" w:w="82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4"/>
                    </w:rPr>
                    <w:t>1.无免赔额（不设起付线）。</w:t>
                  </w:r>
                </w:p>
                <w:p>
                  <w:pPr>
                    <w:pStyle w:val="null3"/>
                  </w:pPr>
                  <w:r>
                    <w:rPr>
                      <w:rFonts w:ascii="仿宋_GB2312" w:hAnsi="仿宋_GB2312" w:cs="仿宋_GB2312" w:eastAsia="仿宋_GB2312"/>
                      <w:sz w:val="24"/>
                    </w:rPr>
                    <w:t>2.经过医保赔付的，赔付比例不低于95%；</w:t>
                  </w:r>
                </w:p>
                <w:p>
                  <w:pPr>
                    <w:pStyle w:val="null3"/>
                  </w:pPr>
                  <w:r>
                    <w:rPr>
                      <w:rFonts w:ascii="仿宋_GB2312" w:hAnsi="仿宋_GB2312" w:cs="仿宋_GB2312" w:eastAsia="仿宋_GB2312"/>
                      <w:sz w:val="24"/>
                    </w:rPr>
                    <w:t>3.未经过医保赔付的，赔付比例不低于90%。</w:t>
                  </w:r>
                </w:p>
                <w:p>
                  <w:pPr>
                    <w:pStyle w:val="null3"/>
                  </w:pPr>
                  <w:r>
                    <w:rPr>
                      <w:rFonts w:ascii="仿宋_GB2312" w:hAnsi="仿宋_GB2312" w:cs="仿宋_GB2312" w:eastAsia="仿宋_GB2312"/>
                      <w:sz w:val="24"/>
                    </w:rPr>
                    <w:t>4.个人年保险金额不低于60000.00元。</w:t>
                  </w:r>
                </w:p>
              </w:tc>
              <w:tc>
                <w:tcPr>
                  <w:tcW w:type="dxa" w:w="291"/>
                  <w:vMerge w:val="restart"/>
                  <w:tcBorders>
                    <w:top w:val="none" w:color="000000" w:sz="4"/>
                    <w:left w:val="none" w:color="000000" w:sz="4"/>
                    <w:bottom w:val="none" w:color="000000" w:sz="4"/>
                    <w:right w:val="single" w:color="000000" w:sz="4"/>
                  </w:tcBorders>
                  <w:tcMar>
                    <w:top w:type="dxa" w:w="0"/>
                    <w:left w:type="dxa" w:w="60"/>
                    <w:bottom w:type="dxa" w:w="0"/>
                    <w:right w:type="dxa" w:w="60"/>
                  </w:tcMar>
                  <w:vAlign w:val="top"/>
                </w:tcPr>
                <w:p>
                  <w:pPr>
                    <w:pStyle w:val="null3"/>
                    <w:jc w:val="center"/>
                  </w:pPr>
                </w:p>
              </w:tc>
            </w:tr>
            <w:tr>
              <w:tc>
                <w:tcPr>
                  <w:tcW w:type="dxa" w:w="291"/>
                  <w:vMerge/>
                  <w:tcBorders>
                    <w:top w:val="none" w:color="000000" w:sz="4"/>
                    <w:left w:val="single" w:color="000000" w:sz="4"/>
                    <w:bottom w:val="none" w:color="000000" w:sz="4"/>
                    <w:right w:val="single" w:color="000000" w:sz="4"/>
                  </w:tcBorders>
                </w:tcPr>
                <w:p/>
              </w:tc>
              <w:tc>
                <w:tcPr>
                  <w:tcW w:type="dxa" w:w="487"/>
                  <w:vMerge/>
                  <w:tcBorders>
                    <w:top w:val="none" w:color="000000" w:sz="4"/>
                    <w:left w:val="none" w:color="000000" w:sz="4"/>
                    <w:bottom w:val="none" w:color="000000" w:sz="4"/>
                    <w:right w:val="single" w:color="000000" w:sz="4"/>
                  </w:tcBorders>
                </w:tcPr>
                <w:p/>
              </w:tc>
              <w:tc>
                <w:tcPr>
                  <w:tcW w:type="dxa" w:w="6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4"/>
                    </w:rPr>
                    <w:t>高额住院医疗保险责任</w:t>
                  </w:r>
                </w:p>
                <w:p>
                  <w:pPr>
                    <w:pStyle w:val="null3"/>
                  </w:pPr>
                </w:p>
              </w:tc>
              <w:tc>
                <w:tcPr>
                  <w:tcW w:type="dxa" w:w="82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rFonts w:ascii="仿宋_GB2312" w:hAnsi="仿宋_GB2312" w:cs="仿宋_GB2312" w:eastAsia="仿宋_GB2312"/>
                      <w:sz w:val="24"/>
                    </w:rPr>
                    <w:t>1.</w:t>
                  </w:r>
                  <w:r>
                    <w:rPr>
                      <w:rFonts w:ascii="仿宋_GB2312" w:hAnsi="仿宋_GB2312" w:cs="仿宋_GB2312" w:eastAsia="仿宋_GB2312"/>
                      <w:sz w:val="24"/>
                    </w:rPr>
                    <w:t>免赔额</w:t>
                  </w:r>
                  <w:r>
                    <w:rPr>
                      <w:rFonts w:ascii="仿宋_GB2312" w:hAnsi="仿宋_GB2312" w:cs="仿宋_GB2312" w:eastAsia="仿宋_GB2312"/>
                      <w:sz w:val="24"/>
                    </w:rPr>
                    <w:t>0元/年，</w:t>
                  </w:r>
                </w:p>
                <w:p>
                  <w:pPr>
                    <w:pStyle w:val="null3"/>
                  </w:pPr>
                  <w:r>
                    <w:rPr>
                      <w:rFonts w:ascii="仿宋_GB2312" w:hAnsi="仿宋_GB2312" w:cs="仿宋_GB2312" w:eastAsia="仿宋_GB2312"/>
                      <w:sz w:val="24"/>
                    </w:rPr>
                    <w:t>赔付比例不低于</w:t>
                  </w:r>
                  <w:r>
                    <w:rPr>
                      <w:rFonts w:ascii="仿宋_GB2312" w:hAnsi="仿宋_GB2312" w:cs="仿宋_GB2312" w:eastAsia="仿宋_GB2312"/>
                      <w:sz w:val="24"/>
                    </w:rPr>
                    <w:t>90</w:t>
                  </w:r>
                  <w:r>
                    <w:rPr>
                      <w:rFonts w:ascii="仿宋_GB2312" w:hAnsi="仿宋_GB2312" w:cs="仿宋_GB2312" w:eastAsia="仿宋_GB2312"/>
                      <w:sz w:val="24"/>
                    </w:rPr>
                    <w:t>%；</w:t>
                  </w:r>
                </w:p>
                <w:p>
                  <w:pPr>
                    <w:pStyle w:val="null3"/>
                  </w:pPr>
                  <w:r>
                    <w:rPr>
                      <w:rFonts w:ascii="仿宋_GB2312" w:hAnsi="仿宋_GB2312" w:cs="仿宋_GB2312" w:eastAsia="仿宋_GB2312"/>
                      <w:sz w:val="24"/>
                    </w:rPr>
                    <w:t>2.</w:t>
                  </w:r>
                  <w:r>
                    <w:rPr>
                      <w:rFonts w:ascii="仿宋_GB2312" w:hAnsi="仿宋_GB2312" w:cs="仿宋_GB2312" w:eastAsia="仿宋_GB2312"/>
                      <w:sz w:val="24"/>
                    </w:rPr>
                    <w:t>保险金额</w:t>
                  </w:r>
                  <w:r>
                    <w:rPr>
                      <w:rFonts w:ascii="仿宋_GB2312" w:hAnsi="仿宋_GB2312" w:cs="仿宋_GB2312" w:eastAsia="仿宋_GB2312"/>
                      <w:sz w:val="24"/>
                    </w:rPr>
                    <w:t>300000.00元</w:t>
                  </w:r>
                </w:p>
              </w:tc>
              <w:tc>
                <w:tcPr>
                  <w:tcW w:type="dxa" w:w="291"/>
                  <w:vMerge/>
                  <w:tcBorders>
                    <w:top w:val="none" w:color="000000" w:sz="4"/>
                    <w:left w:val="none" w:color="000000" w:sz="4"/>
                    <w:bottom w:val="none" w:color="000000" w:sz="4"/>
                    <w:right w:val="single" w:color="000000" w:sz="4"/>
                  </w:tcBorders>
                </w:tcP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3</w:t>
                  </w:r>
                </w:p>
              </w:tc>
              <w:tc>
                <w:tcPr>
                  <w:tcW w:type="dxa" w:w="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住院津贴保险（含既往病）</w:t>
                  </w:r>
                </w:p>
              </w:tc>
              <w:tc>
                <w:tcPr>
                  <w:tcW w:type="dxa" w:w="6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包含且不限于：</w:t>
                  </w:r>
                </w:p>
                <w:p>
                  <w:pPr>
                    <w:pStyle w:val="null3"/>
                    <w:jc w:val="left"/>
                  </w:pPr>
                  <w:r>
                    <w:rPr>
                      <w:rFonts w:ascii="仿宋_GB2312" w:hAnsi="仿宋_GB2312" w:cs="仿宋_GB2312" w:eastAsia="仿宋_GB2312"/>
                      <w:sz w:val="24"/>
                    </w:rPr>
                    <w:t>因疾病住院；</w:t>
                  </w:r>
                </w:p>
                <w:p>
                  <w:pPr>
                    <w:pStyle w:val="null3"/>
                    <w:jc w:val="left"/>
                  </w:pPr>
                  <w:r>
                    <w:rPr>
                      <w:rFonts w:ascii="仿宋_GB2312" w:hAnsi="仿宋_GB2312" w:cs="仿宋_GB2312" w:eastAsia="仿宋_GB2312"/>
                      <w:sz w:val="24"/>
                    </w:rPr>
                    <w:t>因意外伤害住院；</w:t>
                  </w:r>
                </w:p>
                <w:p>
                  <w:pPr>
                    <w:pStyle w:val="null3"/>
                    <w:jc w:val="left"/>
                  </w:pPr>
                  <w:r>
                    <w:rPr>
                      <w:rFonts w:ascii="仿宋_GB2312" w:hAnsi="仿宋_GB2312" w:cs="仿宋_GB2312" w:eastAsia="仿宋_GB2312"/>
                      <w:sz w:val="24"/>
                    </w:rPr>
                    <w:t>因重症监护住院等情形。</w:t>
                  </w:r>
                </w:p>
              </w:tc>
              <w:tc>
                <w:tcPr>
                  <w:tcW w:type="dxa" w:w="82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1.无免赔天数（不设起付线）；</w:t>
                  </w:r>
                </w:p>
                <w:p>
                  <w:pPr>
                    <w:pStyle w:val="null3"/>
                    <w:jc w:val="left"/>
                  </w:pPr>
                  <w:r>
                    <w:rPr>
                      <w:rFonts w:ascii="仿宋_GB2312" w:hAnsi="仿宋_GB2312" w:cs="仿宋_GB2312" w:eastAsia="仿宋_GB2312"/>
                      <w:sz w:val="24"/>
                    </w:rPr>
                    <w:t>2.无免赔额；</w:t>
                  </w:r>
                </w:p>
                <w:p>
                  <w:pPr>
                    <w:pStyle w:val="null3"/>
                    <w:jc w:val="left"/>
                  </w:pPr>
                  <w:r>
                    <w:rPr>
                      <w:rFonts w:ascii="仿宋_GB2312" w:hAnsi="仿宋_GB2312" w:cs="仿宋_GB2312" w:eastAsia="仿宋_GB2312"/>
                      <w:sz w:val="24"/>
                    </w:rPr>
                    <w:t>3.每日住院津贴不低于 200 元；</w:t>
                  </w:r>
                </w:p>
                <w:p>
                  <w:pPr>
                    <w:pStyle w:val="null3"/>
                    <w:jc w:val="left"/>
                  </w:pPr>
                  <w:r>
                    <w:rPr>
                      <w:rFonts w:ascii="仿宋_GB2312" w:hAnsi="仿宋_GB2312" w:cs="仿宋_GB2312" w:eastAsia="仿宋_GB2312"/>
                      <w:sz w:val="24"/>
                    </w:rPr>
                    <w:t>4.累计住院最高给付不低于 180 天。</w:t>
                  </w:r>
                </w:p>
              </w:tc>
              <w:tc>
                <w:tcPr>
                  <w:tcW w:type="dxa" w:w="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4</w:t>
                  </w:r>
                </w:p>
              </w:tc>
              <w:tc>
                <w:tcPr>
                  <w:tcW w:type="dxa" w:w="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意外伤害保险</w:t>
                  </w:r>
                </w:p>
              </w:tc>
              <w:tc>
                <w:tcPr>
                  <w:tcW w:type="dxa" w:w="63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包括且不限于：</w:t>
                  </w:r>
                </w:p>
                <w:p>
                  <w:pPr>
                    <w:pStyle w:val="null3"/>
                    <w:jc w:val="left"/>
                  </w:pPr>
                  <w:r>
                    <w:rPr>
                      <w:rFonts w:ascii="仿宋_GB2312" w:hAnsi="仿宋_GB2312" w:cs="仿宋_GB2312" w:eastAsia="仿宋_GB2312"/>
                      <w:sz w:val="24"/>
                    </w:rPr>
                    <w:t>因意外伤害身故、伤残；交通意外伤害等情形的伤害保险</w:t>
                  </w:r>
                </w:p>
              </w:tc>
              <w:tc>
                <w:tcPr>
                  <w:tcW w:type="dxa" w:w="82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rFonts w:ascii="仿宋_GB2312" w:hAnsi="仿宋_GB2312" w:cs="仿宋_GB2312" w:eastAsia="仿宋_GB2312"/>
                      <w:sz w:val="24"/>
                    </w:rPr>
                    <w:t>身故：一次性赔付</w:t>
                  </w:r>
                  <w:r>
                    <w:rPr>
                      <w:rFonts w:ascii="仿宋_GB2312" w:hAnsi="仿宋_GB2312" w:cs="仿宋_GB2312" w:eastAsia="仿宋_GB2312"/>
                      <w:sz w:val="24"/>
                    </w:rPr>
                    <w:t>50万元。</w:t>
                  </w:r>
                </w:p>
                <w:p>
                  <w:pPr>
                    <w:pStyle w:val="null3"/>
                    <w:jc w:val="left"/>
                  </w:pPr>
                  <w:r>
                    <w:rPr>
                      <w:rFonts w:ascii="仿宋_GB2312" w:hAnsi="仿宋_GB2312" w:cs="仿宋_GB2312" w:eastAsia="仿宋_GB2312"/>
                      <w:sz w:val="24"/>
                    </w:rPr>
                    <w:t>伤残：按评残等级比例给付。</w:t>
                  </w:r>
                </w:p>
              </w:tc>
              <w:tc>
                <w:tcPr>
                  <w:tcW w:type="dxa" w:w="29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bl>
          <w:p>
            <w:pPr>
              <w:pStyle w:val="null3"/>
              <w:jc w:val="left"/>
            </w:pPr>
            <w:r>
              <w:rPr>
                <w:rFonts w:ascii="仿宋_GB2312" w:hAnsi="仿宋_GB2312" w:cs="仿宋_GB2312" w:eastAsia="仿宋_GB2312"/>
                <w:sz w:val="24"/>
              </w:rPr>
              <w:t>【注意：以上各保险项目、保障内容、赔款标准等内容均不接受负偏离，否则视为无效响应。】</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4"/>
                <w:b/>
              </w:rPr>
              <w:t>三、赔付要求</w:t>
            </w:r>
          </w:p>
          <w:p>
            <w:pPr>
              <w:pStyle w:val="null3"/>
              <w:ind w:firstLine="480"/>
              <w:jc w:val="left"/>
            </w:pPr>
            <w:r>
              <w:rPr>
                <w:rFonts w:ascii="仿宋_GB2312" w:hAnsi="仿宋_GB2312" w:cs="仿宋_GB2312" w:eastAsia="仿宋_GB2312"/>
                <w:sz w:val="24"/>
              </w:rPr>
              <w:t>1.凡被保险人在全国范围内医保定点医疗机构就医,符合国家医保报销政策的疾病之门急诊、住院治疗费用均在承保范围。</w:t>
            </w:r>
          </w:p>
          <w:p>
            <w:pPr>
              <w:pStyle w:val="null3"/>
              <w:ind w:firstLine="480"/>
              <w:jc w:val="left"/>
            </w:pPr>
            <w:r>
              <w:rPr>
                <w:rFonts w:ascii="仿宋_GB2312" w:hAnsi="仿宋_GB2312" w:cs="仿宋_GB2312" w:eastAsia="仿宋_GB2312"/>
                <w:sz w:val="24"/>
              </w:rPr>
              <w:t>2.投保方不提供被保险人体检报告和健康告知。</w:t>
            </w:r>
          </w:p>
          <w:p>
            <w:pPr>
              <w:pStyle w:val="null3"/>
              <w:ind w:firstLine="480"/>
              <w:jc w:val="left"/>
            </w:pPr>
            <w:r>
              <w:rPr>
                <w:rFonts w:ascii="仿宋_GB2312" w:hAnsi="仿宋_GB2312" w:cs="仿宋_GB2312" w:eastAsia="仿宋_GB2312"/>
                <w:sz w:val="24"/>
              </w:rPr>
              <w:t>3.提供线上+线下理赔受理方式。</w:t>
            </w:r>
          </w:p>
          <w:p>
            <w:pPr>
              <w:pStyle w:val="null3"/>
              <w:ind w:firstLine="480"/>
              <w:jc w:val="left"/>
            </w:pPr>
            <w:r>
              <w:rPr>
                <w:rFonts w:ascii="仿宋_GB2312" w:hAnsi="仿宋_GB2312" w:cs="仿宋_GB2312" w:eastAsia="仿宋_GB2312"/>
                <w:sz w:val="24"/>
              </w:rPr>
              <w:t>4.简化理赔程序，供应方不得恶意增加理赔资料拒赔或恶意提高赔付门槛。</w:t>
            </w:r>
          </w:p>
          <w:p>
            <w:pPr>
              <w:pStyle w:val="null3"/>
              <w:ind w:firstLine="480"/>
              <w:jc w:val="left"/>
            </w:pPr>
            <w:r>
              <w:rPr>
                <w:rFonts w:ascii="仿宋_GB2312" w:hAnsi="仿宋_GB2312" w:cs="仿宋_GB2312" w:eastAsia="仿宋_GB2312"/>
                <w:sz w:val="24"/>
              </w:rPr>
              <w:t>5.理赔资料清单：</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1）门诊（含因病或意外伤害）理赔资料清单：</w:t>
            </w:r>
          </w:p>
          <w:tbl>
            <w:tblPr>
              <w:tblInd w:type="dxa" w:w="120"/>
              <w:tblBorders>
                <w:top w:val="none" w:color="000000" w:sz="4"/>
                <w:left w:val="none" w:color="000000" w:sz="4"/>
                <w:bottom w:val="none" w:color="000000" w:sz="4"/>
                <w:right w:val="none" w:color="000000" w:sz="4"/>
                <w:insideH w:val="none"/>
                <w:insideV w:val="none"/>
              </w:tblBorders>
            </w:tblPr>
            <w:tblGrid>
              <w:gridCol w:w="426"/>
              <w:gridCol w:w="1361"/>
              <w:gridCol w:w="765"/>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门诊理赔资料</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诊断证明</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盖章</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医疗发票</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检查报告单</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如有，请提供</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费用清单（如医疗发票没有列清</w:t>
                  </w:r>
                  <w:r>
                    <w:rPr>
                      <w:rFonts w:ascii="仿宋_GB2312" w:hAnsi="仿宋_GB2312" w:cs="仿宋_GB2312" w:eastAsia="仿宋_GB2312"/>
                      <w:sz w:val="24"/>
                    </w:rPr>
                    <w:t>“药品品名、单价，检验检查的项目名称、单价”请提供此项）</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医疗发票显示具体药品品名、单价、检验检查的项目名称、单价可不提供此项</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医保结算单（如经医保报销，提供此项）</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未经医保报销的不提供此项。备注：经医保统筹报销后理赔比例较高</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领款人身份证（复印件</w:t>
                  </w:r>
                  <w:r>
                    <w:rPr>
                      <w:rFonts w:ascii="仿宋_GB2312" w:hAnsi="仿宋_GB2312" w:cs="仿宋_GB2312" w:eastAsia="仿宋_GB2312"/>
                      <w:sz w:val="24"/>
                    </w:rPr>
                    <w:t>/照片）</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收款人银行卡（复印件</w:t>
                  </w:r>
                  <w:r>
                    <w:rPr>
                      <w:rFonts w:ascii="仿宋_GB2312" w:hAnsi="仿宋_GB2312" w:cs="仿宋_GB2312" w:eastAsia="仿宋_GB2312"/>
                      <w:sz w:val="24"/>
                    </w:rPr>
                    <w:t>/照片）</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建议为四大行储蓄卡照片（线上）或复印件（线下）</w:t>
                  </w:r>
                </w:p>
              </w:tc>
            </w:tr>
          </w:tbl>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2）住院（含因病或意外伤害）理赔资料清单：</w:t>
            </w:r>
          </w:p>
          <w:tbl>
            <w:tblPr>
              <w:tblInd w:type="dxa" w:w="120"/>
              <w:tblBorders>
                <w:top w:val="none" w:color="000000" w:sz="4"/>
                <w:left w:val="none" w:color="000000" w:sz="4"/>
                <w:bottom w:val="none" w:color="000000" w:sz="4"/>
                <w:right w:val="none" w:color="000000" w:sz="4"/>
                <w:insideH w:val="none"/>
                <w:insideV w:val="none"/>
              </w:tblBorders>
            </w:tblPr>
            <w:tblGrid>
              <w:gridCol w:w="426"/>
              <w:gridCol w:w="1355"/>
              <w:gridCol w:w="771"/>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13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理赔资料</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诊断证明</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盖章</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住院病历（含住院费用清单）</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医疗发票</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医保结算单（如经医保报销，提供此项）</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未经医保报销的不提供此项。备注：经医保统筹报销后理赔比例较高</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领款人身份证（复印件</w:t>
                  </w:r>
                  <w:r>
                    <w:rPr>
                      <w:rFonts w:ascii="仿宋_GB2312" w:hAnsi="仿宋_GB2312" w:cs="仿宋_GB2312" w:eastAsia="仿宋_GB2312"/>
                      <w:sz w:val="24"/>
                    </w:rPr>
                    <w:t>/照片）</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w:t>
                  </w:r>
                </w:p>
              </w:tc>
              <w:tc>
                <w:tcPr>
                  <w:tcW w:type="dxa" w:w="13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收款人银行卡（复印件</w:t>
                  </w:r>
                  <w:r>
                    <w:rPr>
                      <w:rFonts w:ascii="仿宋_GB2312" w:hAnsi="仿宋_GB2312" w:cs="仿宋_GB2312" w:eastAsia="仿宋_GB2312"/>
                      <w:sz w:val="24"/>
                    </w:rPr>
                    <w:t>/照片）</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建议为四大行储蓄卡照片（线上）或复印件（线下）</w:t>
                  </w:r>
                </w:p>
              </w:tc>
            </w:tr>
          </w:tbl>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3）残疾（含因病或意外）理赔资料清单：</w:t>
            </w:r>
          </w:p>
          <w:tbl>
            <w:tblPr>
              <w:tblInd w:type="dxa" w:w="120"/>
              <w:tblBorders>
                <w:top w:val="none" w:color="000000" w:sz="4"/>
                <w:left w:val="none" w:color="000000" w:sz="4"/>
                <w:bottom w:val="none" w:color="000000" w:sz="4"/>
                <w:right w:val="none" w:color="000000" w:sz="4"/>
                <w:insideH w:val="none"/>
                <w:insideV w:val="none"/>
              </w:tblBorders>
            </w:tblPr>
            <w:tblGrid>
              <w:gridCol w:w="433"/>
              <w:gridCol w:w="1230"/>
              <w:gridCol w:w="890"/>
            </w:tblGrid>
            <w:tr>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1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理赔资料</w:t>
                  </w:r>
                </w:p>
              </w:tc>
              <w:tc>
                <w:tcPr>
                  <w:tcW w:type="dxa" w:w="8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诊断证明</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盖章</w:t>
                  </w: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病历</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伤残鉴定报告或证明</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指定合规的医疗机构鉴定</w:t>
                  </w: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领款人身份证（复印件）</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收款人银行卡（复印件）</w:t>
                  </w:r>
                </w:p>
              </w:tc>
              <w:tc>
                <w:tcPr>
                  <w:tcW w:type="dxa" w:w="8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建议为四大行储蓄卡照片（线上）或复印件（线下）</w:t>
                  </w:r>
                </w:p>
              </w:tc>
            </w:tr>
          </w:tbl>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4）意外死亡理赔资料清单：</w:t>
            </w:r>
          </w:p>
          <w:tbl>
            <w:tblPr>
              <w:tblInd w:type="dxa" w:w="120"/>
              <w:tblBorders>
                <w:top w:val="none" w:color="000000" w:sz="4"/>
                <w:left w:val="none" w:color="000000" w:sz="4"/>
                <w:bottom w:val="none" w:color="000000" w:sz="4"/>
                <w:right w:val="none" w:color="000000" w:sz="4"/>
                <w:insideH w:val="none"/>
                <w:insideV w:val="none"/>
              </w:tblBorders>
            </w:tblPr>
            <w:tblGrid>
              <w:gridCol w:w="421"/>
              <w:gridCol w:w="1556"/>
              <w:gridCol w:w="576"/>
            </w:tblGrid>
            <w:tr>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1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理赔资料</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备注</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死亡证明</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丧葬证明</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户籍注销证明</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若是暂未注销可不提供</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出险事故证明</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出险人（户籍注销的可不提供）及所有法定继承人的身份证件类及银行账户、家庭成员情况说明、法定继承人声明表</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4"/>
                <w:b/>
              </w:rPr>
              <w:t>四、被保险人员变动</w:t>
            </w:r>
          </w:p>
          <w:p>
            <w:pPr>
              <w:pStyle w:val="null3"/>
              <w:ind w:firstLine="480"/>
              <w:jc w:val="left"/>
            </w:pPr>
            <w:r>
              <w:rPr>
                <w:rFonts w:ascii="仿宋_GB2312" w:hAnsi="仿宋_GB2312" w:cs="仿宋_GB2312" w:eastAsia="仿宋_GB2312"/>
                <w:sz w:val="24"/>
              </w:rPr>
              <w:t>1.学校要求新增加人员（如新入职的正式人员、人事关系转为正式职工的人员等，具体以人事处提供的名单为准）均可作为被保险人参加本保险。</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4"/>
              </w:rPr>
              <w:t>2.保期：学校要求新增加的人员，保险期从学校通知之日起到2027年8月31日止。</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4"/>
              </w:rPr>
              <w:t>3.保费：新增人员保费以中标单价为基数，按照实际参保天数计费，不得高于中标单价。</w:t>
            </w:r>
          </w:p>
          <w:p>
            <w:pPr>
              <w:pStyle w:val="null3"/>
              <w:ind w:firstLine="482"/>
              <w:jc w:val="left"/>
            </w:pPr>
            <w:r>
              <w:rPr>
                <w:rFonts w:ascii="仿宋_GB2312" w:hAnsi="仿宋_GB2312" w:cs="仿宋_GB2312" w:eastAsia="仿宋_GB2312"/>
                <w:sz w:val="24"/>
                <w:b/>
              </w:rPr>
              <w:t>五、供应商服务人员要求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4"/>
              </w:rPr>
              <w:t>1.中标供应商应组建服务专班。其中组长1名，为保险公司中心支公司副总及其以上职务（职级）。副组长至少1名，为保险公司中心支公司业务部经理。组员3人，均应为供应商正式职工。</w:t>
            </w:r>
          </w:p>
          <w:p>
            <w:pPr>
              <w:pStyle w:val="null3"/>
              <w:ind w:firstLine="480"/>
              <w:jc w:val="left"/>
            </w:pPr>
            <w:r>
              <w:rPr>
                <w:rFonts w:ascii="仿宋_GB2312" w:hAnsi="仿宋_GB2312" w:cs="仿宋_GB2312" w:eastAsia="仿宋_GB2312"/>
                <w:sz w:val="24"/>
              </w:rPr>
              <w:t>2.理赔及时，职工服务满意度高。无保险诉讼发生。</w:t>
            </w:r>
          </w:p>
          <w:p>
            <w:pPr>
              <w:pStyle w:val="null3"/>
              <w:ind w:firstLine="480"/>
              <w:jc w:val="left"/>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4"/>
              </w:rPr>
              <w:t>3.为我校服务人员，应为供应商的正式职工。（在岗服务人员须为本单位在职正式人员，提供社保缴纳证明 + 执业证复印件；人员更换须提前报备并替换同等有效持证人员。）</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供应商需在标的清单及开标一览表报人均保费单价。结算按实际人数进行结算。</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保期一年，保险生效即承担保险责任。实施时间：2026年9月1日-2027年8月31日。发生时间在此期间的就诊、入院、结算及意外事件等案件均为理赔范围，保险服务直到所有理赔服务完成时截止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1.一般正常案件应在5个工作日内理赔结案、理赔款到账。 2.对案件及材料有异议的，应在接到报案材料2个工作日内向报案人和甲方联系人通报情况，共同商定理赔时限。未在约定时间内理赔、拒赔案件应向报案人和甲方送达书面说明或拒赔通知。 3.如发生理赔纠纷，被保险人或受益人可通过包括但不限于国家金融监督管理局、人民法院等渠道申诉、投诉、起诉等方式索赔。 4.校方定期向被保险职工开展对供应商的服务质量、服务满意度评价调查。 5.理赔时限、理赔纠纷、投诉案件、投诉率、赔付率等指标将纳入对供应商的服务质量考核。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其他，1、预付款：本项目无预付款。 2、正式付款：完成合同签订后，启动付款程序。收到供应商出具的增值税专用发票、加盖供应商公章的纸质付款申请书、合同复印件后，学校凭合同、发票、申请书等资料对公转账支付至供应商账户，达到付款条件起15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凡符合国家医保报销政策的疾病之门诊、住院治疗均在承保范围。被保险人在全国范围内社保定点医疗机构就医、在全国范围内发生的意外事故的案件均为保险理赔范围。如乙方违反本条，拒绝承保，或不按合同条款理赔，被保险人或受益人可通过包括但不限于向国家金融监督管理局、人民法院等渠道申诉、投诉、起诉等方式索赔。确实属于乙方过错的，甲方及其被保险人、受益人等利益相关人，有权按照《中华人民共和国保险法》《最高人民法院关于审理医疗损害责任纠纷案件适用法律若干问题的解释》《医疗保障行政处罚程序暂行规定》等商业医疗保险纠纷的法律法规索赔，并向市场监督管理部门、向乙方上级单位，业务主管部门投诉，并依法索取民事赔偿。 2.乙方应严格遵守保密规定，不得收集、使用、处理、存储、传输、泄露隐私信息。否则，甲方及其被保险人、受益人等利益相关人，有权按照法律法规依法索赔，并向市场监督管理部门、向乙方上级单位，业务主管部门投诉，并索取民事赔偿。 3.供应商应在收到甲方投保材料后5个工作日内，完成投保及服务流程设置，确保按时赔付。未在期限内理赔的，即为违约，甲方及其被保险人、受益人等利益相关人，有权按照法律法规依法索赔，并向市场监督管理部门、向乙方上级单位，业务主管部门投诉，并索取民事赔偿。 4.一般正常案件应在5个工作日内理赔结案、理赔款到账。对案件及材料有异议的，应在接到报案材料2个工作日内向报案人和甲方联系人通报情况，共同商定理赔时限。未在约定时间内理赔、拒赔案件应向报案人和甲方送达书面说明或拒赔通知。乙方违约，甲方及其被保险人、受益人等利益相关人，有权按照法律法规依法索赔，并向市场监督管理部门、向乙方上级单位，业务主管部门投诉，并索取民事赔偿。 5.《中华人民共和国民法典》、《中华人民共和国政府采购法》等相关条款和本合同约定，乙方未全面履行合同义务或者发生违约，致使保险合同无法履行的，甲方有权终止合同，依法向乙方进行经济索赔。 6.乙方服务满意度低，服务态度差、发生投诉案例的，甲方及其利益相关人有权采取包括但不限于约谈、函报、通报、投诉、诉讼等方式依法维权，乙方须按对方实际损失予以赔偿。前述损失包括但不限于守约方自身的一切损失以及任何第三方或监管机构对守约方提出的任何索赔、处罚和费用（包括诉讼仲裁费用、合理的律师费、合理调查和/或补救行动费用）。 7.解决争议的方法 ： ①按《中华人民共和国民法典》中的相关条款执行。 ②未按合同要求提供服务或服务质量不能满足服务方案与措施要求，采购单位有权终止（或解除）合同，并对供方违约行为进行追究。</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332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供应商具备国家金融监督管理总局（原中国银行保险监督管理委员会）颁发的经营保险业务许可证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投标报价未超过采购预算或者单价最高限价（合格）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商务条款不满足招标文件要求（不合格） 商务条款满足招标文件要求（合格）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开标一览表 供应商资格要求.docx 投标函 商务应答表 服务内容及服务要求应答表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保险内容</w:t>
            </w:r>
          </w:p>
        </w:tc>
        <w:tc>
          <w:tcPr>
            <w:tcW w:type="dxa" w:w="2492"/>
          </w:tcPr>
          <w:p>
            <w:pPr>
              <w:pStyle w:val="null3"/>
            </w:pPr>
            <w:r>
              <w:rPr>
                <w:rFonts w:ascii="仿宋_GB2312" w:hAnsi="仿宋_GB2312" w:cs="仿宋_GB2312" w:eastAsia="仿宋_GB2312"/>
              </w:rPr>
              <w:t>根据投标人针对本项目的①保险责任；②理赔范围；③保险项目；④保险金额（被保险人的赔付标准）。进行综合比较，根据方案内容的完整性、针对性、合理性，提供的上述4项内容完整可行的得12分；每有一项未提供扣3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保险内容.docx</w:t>
            </w:r>
          </w:p>
        </w:tc>
      </w:tr>
      <w:tr>
        <w:tc>
          <w:tcPr>
            <w:tcW w:type="dxa" w:w="831"/>
            <w:vMerge/>
          </w:tcPr>
          <w:p/>
        </w:tc>
        <w:tc>
          <w:tcPr>
            <w:tcW w:type="dxa" w:w="1661"/>
          </w:tcPr>
          <w:p>
            <w:pPr>
              <w:pStyle w:val="null3"/>
            </w:pPr>
            <w:r>
              <w:rPr>
                <w:rFonts w:ascii="仿宋_GB2312" w:hAnsi="仿宋_GB2312" w:cs="仿宋_GB2312" w:eastAsia="仿宋_GB2312"/>
              </w:rPr>
              <w:t>理赔服务</w:t>
            </w:r>
          </w:p>
        </w:tc>
        <w:tc>
          <w:tcPr>
            <w:tcW w:type="dxa" w:w="2492"/>
          </w:tcPr>
          <w:p>
            <w:pPr>
              <w:pStyle w:val="null3"/>
            </w:pPr>
            <w:r>
              <w:rPr>
                <w:rFonts w:ascii="仿宋_GB2312" w:hAnsi="仿宋_GB2312" w:cs="仿宋_GB2312" w:eastAsia="仿宋_GB2312"/>
              </w:rPr>
              <w:t>针对本项目有完整的项目理赔服务方案,该方案包含：①项目理赔程序及服务流程；②报案时效；③理赔时效；④理赔响应时间方案；⑤项目团队方案；⑥保险内容及索赔时所需提供的资料；⑦对被保险人理赔材料的处理方案;⑧理赔渠道。根据方案内容的完整性、针对性、合理性，提供的上述8项内容完整可行的得16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理赔服务.docx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有完整的项目服务方案,该方案包含：①定期巡访方案；②出案后定期回访方案；③保密方案（保证参保人员所有信息数据不得外泄）；④投诉管理制度；⑤突发事件的处理机制和应急预案；⑥服务承诺和增值配套服务。根据方案内容的完整性、针对性、合理性，提供的上述6项内容完整可行的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服务网点落地保障</w:t>
            </w:r>
          </w:p>
        </w:tc>
        <w:tc>
          <w:tcPr>
            <w:tcW w:type="dxa" w:w="2492"/>
          </w:tcPr>
          <w:p>
            <w:pPr>
              <w:pStyle w:val="null3"/>
            </w:pPr>
            <w:r>
              <w:rPr>
                <w:rFonts w:ascii="仿宋_GB2312" w:hAnsi="仿宋_GB2312" w:cs="仿宋_GB2312" w:eastAsia="仿宋_GB2312"/>
              </w:rPr>
              <w:t>1）投标人在采购人所在市域设有自有线下直营服务网点（不含代理合作网点），提供网点产权 / 租赁证明、营业执照分支机构备案材料，得 2 分； 2）网点配备专职医保理赔服务人员≥3人，提供近 6个月内任意一个月的社保缴纳证明，得3分；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服务网点落地保障.docx</w:t>
            </w:r>
          </w:p>
        </w:tc>
      </w:tr>
      <w:tr>
        <w:tc>
          <w:tcPr>
            <w:tcW w:type="dxa" w:w="831"/>
            <w:vMerge/>
          </w:tcPr>
          <w:p/>
        </w:tc>
        <w:tc>
          <w:tcPr>
            <w:tcW w:type="dxa" w:w="1661"/>
          </w:tcPr>
          <w:p>
            <w:pPr>
              <w:pStyle w:val="null3"/>
            </w:pPr>
            <w:r>
              <w:rPr>
                <w:rFonts w:ascii="仿宋_GB2312" w:hAnsi="仿宋_GB2312" w:cs="仿宋_GB2312" w:eastAsia="仿宋_GB2312"/>
              </w:rPr>
              <w:t>偿付能力</w:t>
            </w:r>
          </w:p>
        </w:tc>
        <w:tc>
          <w:tcPr>
            <w:tcW w:type="dxa" w:w="2492"/>
          </w:tcPr>
          <w:p>
            <w:pPr>
              <w:pStyle w:val="null3"/>
            </w:pPr>
            <w:r>
              <w:rPr>
                <w:rFonts w:ascii="仿宋_GB2312" w:hAnsi="仿宋_GB2312" w:cs="仿宋_GB2312" w:eastAsia="仿宋_GB2312"/>
              </w:rPr>
              <w:t>投标人针对本项目的偿付能力充足率： 1、投标人偿付能力充足率在150%及以上，计5分； 2、投标人偿付能力充足率在100%-150%之间（不含150%），计3分； 3、投标人偿付能力充足率低于100%，不得分。 注：以最新的综合偿付能力充足率为准，需提供相关证明材料，否则不得分。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偿付能力.docx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根据投标人提供的2023年1月至今所投同类业绩（以合同签订日期为准，仅限投标人本身，提供合同及相应的发票复印件）进行评定，每份计2分，最高计10分。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赔付比例</w:t>
            </w:r>
          </w:p>
        </w:tc>
        <w:tc>
          <w:tcPr>
            <w:tcW w:type="dxa" w:w="2492"/>
          </w:tcPr>
          <w:p>
            <w:pPr>
              <w:pStyle w:val="null3"/>
            </w:pPr>
            <w:r>
              <w:rPr>
                <w:rFonts w:ascii="仿宋_GB2312" w:hAnsi="仿宋_GB2312" w:cs="仿宋_GB2312" w:eastAsia="仿宋_GB2312"/>
              </w:rPr>
              <w:t>未经过医保赔付的，以赔付比例90%为基数，各项赔付比例每提高1%计2分，最高计10分。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赔付比例.docx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供应商报价为人均保费单价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详见附件：保险内容.docx</w:t>
      </w:r>
    </w:p>
    <w:p>
      <w:pPr>
        <w:pStyle w:val="null3"/>
        <w:ind w:firstLine="960"/>
      </w:pPr>
      <w:r>
        <w:rPr>
          <w:rFonts w:ascii="仿宋_GB2312" w:hAnsi="仿宋_GB2312" w:cs="仿宋_GB2312" w:eastAsia="仿宋_GB2312"/>
        </w:rPr>
        <w:t>详见附件：偿付能力.docx</w:t>
      </w:r>
    </w:p>
    <w:p>
      <w:pPr>
        <w:pStyle w:val="null3"/>
        <w:ind w:firstLine="960"/>
      </w:pPr>
      <w:r>
        <w:rPr>
          <w:rFonts w:ascii="仿宋_GB2312" w:hAnsi="仿宋_GB2312" w:cs="仿宋_GB2312" w:eastAsia="仿宋_GB2312"/>
        </w:rPr>
        <w:t>详见附件：服务网点落地保障.docx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详见附件：理赔服务.docx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详见附件：赔付比例.docx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 (1).docx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