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版本号：YD--202602620260606001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《世界天坑·地心觉醒》XR沉浸式文旅大空间建设项目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YD--2026026</w:t>
      </w:r>
      <w:r>
        <w:br/>
      </w:r>
      <w:r>
        <w:br/>
      </w:r>
      <w:r>
        <w:br/>
      </w:r>
    </w:p>
    <w:p>
      <w:pPr>
        <w:pStyle w:val="null3"/>
        <w:jc w:val="center"/>
        <w:outlineLvl w:val="2"/>
      </w:pPr>
      <w:r>
        <w:rPr>
          <w:rFonts w:ascii="仿宋_GB2312" w:hAnsi="仿宋_GB2312" w:cs="仿宋_GB2312" w:eastAsia="仿宋_GB2312"/>
          <w:sz w:val="28"/>
          <w:b/>
        </w:rPr>
        <w:t>镇巴县产业园区管理委员会</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镇巴县产业园区管理委员会</w:t>
      </w:r>
      <w:r>
        <w:rPr>
          <w:rFonts w:ascii="仿宋_GB2312" w:hAnsi="仿宋_GB2312" w:cs="仿宋_GB2312" w:eastAsia="仿宋_GB2312"/>
        </w:rPr>
        <w:t>委托，拟对</w:t>
      </w:r>
      <w:r>
        <w:rPr>
          <w:rFonts w:ascii="仿宋_GB2312" w:hAnsi="仿宋_GB2312" w:cs="仿宋_GB2312" w:eastAsia="仿宋_GB2312"/>
        </w:rPr>
        <w:t>《世界天坑·地心觉醒》XR沉浸式文旅大空间建设项目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《世界天坑·地心觉醒》XR沉浸式文旅大空间建设项目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标的为世界天坑·地心觉醒XR沉浸式文旅大空间建设服务，主要包括硬件设备购置与集成、智能播控管理平台服务、XR核心体验内容创作、设计与管理、运营配套服务等五类内容。项目应满足多人自由行走、多人同步定位、不同队伍并行体验、智能碰撞规避、中控播控、云端管理、视频合成、离线运营和数据化运营等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p>
      <w:pPr>
        <w:pStyle w:val="null3"/>
      </w:pPr>
      <w:r>
        <w:rPr>
          <w:rFonts w:ascii="仿宋_GB2312" w:hAnsi="仿宋_GB2312" w:cs="仿宋_GB2312" w:eastAsia="仿宋_GB2312"/>
        </w:rPr>
        <w:t>3、法定代表人身份证明或授权委托书：法定代表人直接参加投标的，须提供法定代表人身份证明;法定代表人授权代表参加投标的，须提供法定代表人授权委托书;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0916-2999118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开户名称：⼀鼎项⽬管理有限公司汉中分公司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说明：合同签订前须向采购人指定账户缴纳履约保证金。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镇巴县产业园区管理委员会</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镇巴县产业园区管理委员会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标的为世界天坑·地心觉醒XR沉浸式文旅大空间建设服务，主要包括硬件设备购置与集成、智能播控管理平台服务、XR核心体验内容创作、设计与管理、运营配套服务等五类内容。项目应满足多人自由行走、多人同步定位、不同队伍并行体验、智能碰撞规避、中控播控、云端管理、视频合成、离线运营和数据化运营等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世界天坑·地心觉醒 XR沉浸式文旅大空间建设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标的名称：世界天坑·地心觉醒 XR沉浸式文旅大空间建设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4"/>
              <w:gridCol w:w="322"/>
              <w:gridCol w:w="1500"/>
              <w:gridCol w:w="216"/>
              <w:gridCol w:w="216"/>
            </w:tblGrid>
            <w:tr>
              <w:tc>
                <w:tcPr>
                  <w:tcW w:type="dxa" w:w="264"/>
                  <w:tcBorders>
                    <w:top w:val="single" w:color="000000" w:sz="4"/>
                    <w:left w:val="single" w:color="000000" w:sz="4"/>
                    <w:bottom w:val="single" w:color="000000" w:sz="4"/>
                    <w:right w:val="single" w:color="000000" w:sz="4"/>
                  </w:tcBorders>
                  <w:shd w:fill="D9EAF7"/>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建设内容</w:t>
                  </w:r>
                </w:p>
              </w:tc>
              <w:tc>
                <w:tcPr>
                  <w:tcW w:type="dxa" w:w="322"/>
                  <w:tcBorders>
                    <w:top w:val="single" w:color="000000" w:sz="4"/>
                    <w:left w:val="none" w:color="000000" w:sz="4"/>
                    <w:bottom w:val="single" w:color="000000" w:sz="4"/>
                    <w:right w:val="single" w:color="000000" w:sz="4"/>
                  </w:tcBorders>
                  <w:shd w:fill="D9EAF7"/>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建设及服务子项</w:t>
                  </w:r>
                </w:p>
              </w:tc>
              <w:tc>
                <w:tcPr>
                  <w:tcW w:type="dxa" w:w="1500"/>
                  <w:tcBorders>
                    <w:top w:val="single" w:color="000000" w:sz="4"/>
                    <w:left w:val="none" w:color="000000" w:sz="4"/>
                    <w:bottom w:val="single" w:color="000000" w:sz="4"/>
                    <w:right w:val="single" w:color="000000" w:sz="4"/>
                  </w:tcBorders>
                  <w:shd w:fill="D9EAF7"/>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规格/参数及服务要求</w:t>
                  </w:r>
                </w:p>
              </w:tc>
              <w:tc>
                <w:tcPr>
                  <w:tcW w:type="dxa" w:w="216"/>
                  <w:tcBorders>
                    <w:top w:val="single" w:color="000000" w:sz="4"/>
                    <w:left w:val="none" w:color="000000" w:sz="4"/>
                    <w:bottom w:val="single" w:color="000000" w:sz="4"/>
                    <w:right w:val="single" w:color="000000" w:sz="4"/>
                  </w:tcBorders>
                  <w:shd w:fill="D9EAF7"/>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数量</w:t>
                  </w:r>
                </w:p>
              </w:tc>
              <w:tc>
                <w:tcPr>
                  <w:tcW w:type="dxa" w:w="216"/>
                  <w:tcBorders>
                    <w:top w:val="single" w:color="000000" w:sz="4"/>
                    <w:left w:val="none" w:color="000000" w:sz="4"/>
                    <w:bottom w:val="single" w:color="000000" w:sz="4"/>
                    <w:right w:val="single" w:color="000000" w:sz="4"/>
                  </w:tcBorders>
                  <w:shd w:fill="D9EAF7"/>
                  <w:tcMar>
                    <w:top w:type="dxa" w:w="0"/>
                    <w:left w:type="dxa" w:w="105"/>
                    <w:bottom w:type="dxa" w:w="0"/>
                    <w:right w:type="dxa" w:w="105"/>
                  </w:tcMar>
                  <w:vAlign w:val="top"/>
                </w:tcPr>
                <w:p>
                  <w:pPr>
                    <w:pStyle w:val="null3"/>
                    <w:jc w:val="center"/>
                  </w:pPr>
                  <w:r>
                    <w:rPr>
                      <w:rFonts w:ascii="仿宋_GB2312" w:hAnsi="仿宋_GB2312" w:cs="仿宋_GB2312" w:eastAsia="仿宋_GB2312"/>
                      <w:sz w:val="16"/>
                      <w:b/>
                    </w:rPr>
                    <w:t>单位</w:t>
                  </w:r>
                </w:p>
              </w:tc>
            </w:tr>
            <w:tr>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硬件设备购置与集成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XR眼镜（高性能VR一体机）</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整体性能等同或优于：6核心设计，最高主频2.4GHZ，2颗大核频率2.36GHz, 4颗小核频率2.05GHz；运行内存≥12GB；硬盘≥256GB；总分辨率≥4320×2160，单眼分辨率≥2160×2160；刷新≥90Hz；FOV≥105°；定位误差≤2cm；电池续航≥1h；支持瞳距调整；支持PICO SDK或同等开放能力；连续不宕机时间≥5h，满足多人XR大空间体验使用。</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台</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终端服务器（本地多功能游戏服务器）</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CPU采用i7级别及以上；内存≥16GB；硬盘≥1TB；SSD≥1TB ；适配独立专业显卡，显存≥8GB；FPS≥72帧；配套键鼠及显示设备，显示器≥23寸，显示分辨率≥1920×1080，刷新率≥100Hz，用于本地内容运行、桥接和应急运营。</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台</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企业级网络网关</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支持2.4GHz+5GHz双频，支持Wi-Fi 7或同等能力；频宽≥160MHz；支持不低于5个有线端口，支持不低于100终端设备同时进行无线连接；满足多终端低延迟接入、场馆内稳定组网及大空间体验并发接入要求。</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台</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中央控制平板及辅材</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国产平板设备(≥9.7英寸，运行内存≥6GB，机身存储≥128GB）；配套六类网线、国标插线板、充电分线设备、数据线等现场部署辅材，满足中控管理、设备调试及现场运营使用。</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台</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VR续航结构及充电座</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适配本次项目所投的VR一体机电池及接口；支持边用边充、快充协议和批量充电管理，提升设备连续运营能力。</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台</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VR传音耳罩</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与本次项目所投的VR一体机适配，提升体验音效传递和外部环境隔离效果，增强沉浸感。</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10</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件</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视频监控设备</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球机视频监控设备；支持SD卡储存；分辨率支持1080P及以上；支持RTMP、GB28181、RTSP等协议；具备红外或双光补光能力，满足场馆安全监管和运营管理需要。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4</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台</w:t>
                  </w:r>
                </w:p>
              </w:tc>
            </w:tr>
            <w:tr>
              <w:tc>
                <w:tcPr>
                  <w:tcW w:type="dxa" w:w="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智能播控管理平台服务</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中央播控服务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支持10台至30台VR头显终端统一管理；支持在线状态、电量、手柄状态监测；支持远程重启、内容启停、音量、亮度、瞳距调节；支持图形化组队、内容或关卡一键切换、投屏画面监控和平板端移动管理。</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云端管理服务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支持查看体验内容、使用设备、体验时长、体验时间点、体验状态；支持设备台账、场馆数据统计、历史玩家人数统计、不同体验内容占比可视化展示及运营物料工具管理。</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社交裂变与短视频合成模块服务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支持“真人动作视频+VR场景画面”实时合成；输出MP4格式，分辨率不低于1080P，帧率不低于72fps；支持嵌入玩家昵称、体验内容名称、场馆Logo等信息，支持多模板管理和调用。</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大空间定位集成</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基于VR一体机Inside-out或同等定位技术；位置误差不高于2cm；刷新频率不低于60Hz；支持多人同时定位并保持空间同步。</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多玩家同步服务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支持多人进入同一虚拟空间并显示同场体验用户虚拟形象；支持不同队伍或独立玩家在同一物理空间内并行体验不同VR内容；支持2米以内碰撞预警及半透明人影提示。</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singl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安全控制与离网运营</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支持离线运营模式，网络中断时仍可保障正常放映、组队和本地数据记录，网络恢复后自动同步云端；具备场馆ID、密钥和设备接入授权等安全控制能力。</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5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沉浸式大空间能力要求</w:t>
                  </w:r>
                </w:p>
              </w:tc>
              <w:tc>
                <w:tcPr>
                  <w:tcW w:type="dxa" w:w="193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6"/>
                    </w:rPr>
                    <w:t>沉浸式大空间后端服务能力</w:t>
                  </w:r>
                </w:p>
                <w:p>
                  <w:pPr>
                    <w:pStyle w:val="null3"/>
                  </w:pPr>
                  <w:r>
                    <w:rPr>
                      <w:rFonts w:ascii="仿宋_GB2312" w:hAnsi="仿宋_GB2312" w:cs="仿宋_GB2312" w:eastAsia="仿宋_GB2312"/>
                      <w:sz w:val="16"/>
                    </w:rPr>
                    <w:t>▲（1）数据管理</w:t>
                  </w:r>
                </w:p>
                <w:p>
                  <w:pPr>
                    <w:pStyle w:val="null3"/>
                  </w:pPr>
                  <w:r>
                    <w:rPr>
                      <w:rFonts w:ascii="仿宋_GB2312" w:hAnsi="仿宋_GB2312" w:cs="仿宋_GB2312" w:eastAsia="仿宋_GB2312"/>
                      <w:sz w:val="16"/>
                    </w:rPr>
                    <w:t>可查看每个批次的详情信息，包括：体验内容、使用设备、体验时长、体验时间点、体验状态。</w:t>
                  </w:r>
                </w:p>
                <w:p>
                  <w:pPr>
                    <w:pStyle w:val="null3"/>
                  </w:pPr>
                  <w:r>
                    <w:rPr>
                      <w:rFonts w:ascii="仿宋_GB2312" w:hAnsi="仿宋_GB2312" w:cs="仿宋_GB2312" w:eastAsia="仿宋_GB2312"/>
                      <w:sz w:val="16"/>
                    </w:rPr>
                    <w:t>▲（2）可视化图表</w:t>
                  </w:r>
                </w:p>
                <w:p>
                  <w:pPr>
                    <w:pStyle w:val="null3"/>
                  </w:pPr>
                  <w:r>
                    <w:rPr>
                      <w:rFonts w:ascii="仿宋_GB2312" w:hAnsi="仿宋_GB2312" w:cs="仿宋_GB2312" w:eastAsia="仿宋_GB2312"/>
                      <w:sz w:val="16"/>
                    </w:rPr>
                    <w:t>可使用饼状图展示不同体验内容的占比，并可按指定时间区间统计并展示历史玩家人数。</w:t>
                  </w:r>
                </w:p>
                <w:p>
                  <w:pPr>
                    <w:pStyle w:val="null3"/>
                  </w:pPr>
                  <w:r>
                    <w:rPr>
                      <w:rFonts w:ascii="仿宋_GB2312" w:hAnsi="仿宋_GB2312" w:cs="仿宋_GB2312" w:eastAsia="仿宋_GB2312"/>
                      <w:sz w:val="16"/>
                    </w:rPr>
                    <w:t>▲（3）离线运营</w:t>
                  </w:r>
                </w:p>
                <w:p>
                  <w:pPr>
                    <w:pStyle w:val="null3"/>
                  </w:pPr>
                  <w:r>
                    <w:rPr>
                      <w:rFonts w:ascii="仿宋_GB2312" w:hAnsi="仿宋_GB2312" w:cs="仿宋_GB2312" w:eastAsia="仿宋_GB2312"/>
                      <w:sz w:val="16"/>
                    </w:rPr>
                    <w:t>支持离线运营模式，在网络中断时，仍能保障正常放映、组队与本地数据记录；网络恢复后自动同步数据至云端。</w:t>
                  </w:r>
                </w:p>
                <w:p>
                  <w:pPr>
                    <w:pStyle w:val="null3"/>
                  </w:pPr>
                  <w:r>
                    <w:rPr>
                      <w:rFonts w:ascii="仿宋_GB2312" w:hAnsi="仿宋_GB2312" w:cs="仿宋_GB2312" w:eastAsia="仿宋_GB2312"/>
                      <w:sz w:val="16"/>
                    </w:rPr>
                    <w:t>沉浸式大空间定位能力</w:t>
                  </w:r>
                </w:p>
                <w:p>
                  <w:pPr>
                    <w:pStyle w:val="null3"/>
                  </w:pPr>
                  <w:r>
                    <w:rPr>
                      <w:rFonts w:ascii="仿宋_GB2312" w:hAnsi="仿宋_GB2312" w:cs="仿宋_GB2312" w:eastAsia="仿宋_GB2312"/>
                      <w:sz w:val="16"/>
                    </w:rPr>
                    <w:t>▲（1）定位显示</w:t>
                  </w:r>
                </w:p>
                <w:p>
                  <w:pPr>
                    <w:pStyle w:val="null3"/>
                  </w:pPr>
                  <w:r>
                    <w:rPr>
                      <w:rFonts w:ascii="仿宋_GB2312" w:hAnsi="仿宋_GB2312" w:cs="仿宋_GB2312" w:eastAsia="仿宋_GB2312"/>
                      <w:sz w:val="16"/>
                    </w:rPr>
                    <w:t>支持多人同时进入同一虚拟空间，并实现用户位置的数据同步，在虚拟环境内可见同场体验用户的虚拟形象。</w:t>
                  </w:r>
                </w:p>
                <w:p>
                  <w:pPr>
                    <w:pStyle w:val="null3"/>
                  </w:pPr>
                  <w:r>
                    <w:rPr>
                      <w:rFonts w:ascii="仿宋_GB2312" w:hAnsi="仿宋_GB2312" w:cs="仿宋_GB2312" w:eastAsia="仿宋_GB2312"/>
                      <w:sz w:val="16"/>
                    </w:rPr>
                    <w:t>▲（2）多内容并行</w:t>
                  </w:r>
                </w:p>
                <w:p>
                  <w:pPr>
                    <w:pStyle w:val="null3"/>
                  </w:pPr>
                  <w:r>
                    <w:rPr>
                      <w:rFonts w:ascii="仿宋_GB2312" w:hAnsi="仿宋_GB2312" w:cs="仿宋_GB2312" w:eastAsia="仿宋_GB2312"/>
                      <w:sz w:val="16"/>
                    </w:rPr>
                    <w:t>系统应支持不同队伍或独立玩家在同一物理空间内，并行体验本次采购清单中的不同VR内容。</w:t>
                  </w:r>
                </w:p>
                <w:p>
                  <w:pPr>
                    <w:pStyle w:val="null3"/>
                  </w:pPr>
                  <w:r>
                    <w:rPr>
                      <w:rFonts w:ascii="仿宋_GB2312" w:hAnsi="仿宋_GB2312" w:cs="仿宋_GB2312" w:eastAsia="仿宋_GB2312"/>
                      <w:sz w:val="16"/>
                    </w:rPr>
                    <w:t>▲（3）智能碰撞规避</w:t>
                  </w:r>
                </w:p>
                <w:p>
                  <w:pPr>
                    <w:pStyle w:val="null3"/>
                  </w:pPr>
                  <w:r>
                    <w:rPr>
                      <w:rFonts w:ascii="仿宋_GB2312" w:hAnsi="仿宋_GB2312" w:cs="仿宋_GB2312" w:eastAsia="仿宋_GB2312"/>
                      <w:sz w:val="16"/>
                    </w:rPr>
                    <w:t>系统需集成基于真实空间距离的碰撞规避机制，当不同组玩家在物理空间内的距离接近至2米以内时，系统应在各自的VR视野中显示对方玩家的半透明人影，以防止现实碰撞。</w:t>
                  </w:r>
                </w:p>
                <w:p>
                  <w:pPr>
                    <w:pStyle w:val="null3"/>
                  </w:pPr>
                  <w:r>
                    <w:rPr>
                      <w:rFonts w:ascii="仿宋_GB2312" w:hAnsi="仿宋_GB2312" w:cs="仿宋_GB2312" w:eastAsia="仿宋_GB2312"/>
                      <w:sz w:val="16"/>
                    </w:rPr>
                    <w:t>沉浸式大空间视频合成能力</w:t>
                  </w:r>
                </w:p>
                <w:p>
                  <w:pPr>
                    <w:pStyle w:val="null3"/>
                  </w:pPr>
                  <w:r>
                    <w:rPr>
                      <w:rFonts w:ascii="仿宋_GB2312" w:hAnsi="仿宋_GB2312" w:cs="仿宋_GB2312" w:eastAsia="仿宋_GB2312"/>
                      <w:sz w:val="16"/>
                    </w:rPr>
                    <w:t>▲（1）体验视频合成</w:t>
                  </w:r>
                </w:p>
                <w:p>
                  <w:pPr>
                    <w:pStyle w:val="null3"/>
                  </w:pPr>
                  <w:r>
                    <w:rPr>
                      <w:rFonts w:ascii="仿宋_GB2312" w:hAnsi="仿宋_GB2312" w:cs="仿宋_GB2312" w:eastAsia="仿宋_GB2312"/>
                      <w:sz w:val="16"/>
                    </w:rPr>
                    <w:t>系统应支持"真人动作视频+VR场景画面"的实时合成能力，将玩家在真实场地中的动作与VR虚拟画面融合，生成可用于社交分享的体验短视频。</w:t>
                  </w:r>
                </w:p>
                <w:p>
                  <w:pPr>
                    <w:pStyle w:val="null3"/>
                  </w:pPr>
                  <w:r>
                    <w:rPr>
                      <w:rFonts w:ascii="仿宋_GB2312" w:hAnsi="仿宋_GB2312" w:cs="仿宋_GB2312" w:eastAsia="仿宋_GB2312"/>
                      <w:sz w:val="16"/>
                    </w:rPr>
                    <w:t>▲（2）模板管理</w:t>
                  </w:r>
                </w:p>
                <w:p>
                  <w:pPr>
                    <w:pStyle w:val="null3"/>
                  </w:pPr>
                  <w:r>
                    <w:rPr>
                      <w:rFonts w:ascii="仿宋_GB2312" w:hAnsi="仿宋_GB2312" w:cs="仿宋_GB2312" w:eastAsia="仿宋_GB2312"/>
                      <w:sz w:val="16"/>
                    </w:rPr>
                    <w:t>系统应支持在云端后台对多种视频合成模板进行管理，运营方可为不同体验内容配置并调用指定的视频合成模板。</w:t>
                  </w:r>
                </w:p>
                <w:p>
                  <w:pPr>
                    <w:pStyle w:val="null3"/>
                  </w:pPr>
                  <w:r>
                    <w:rPr>
                      <w:rFonts w:ascii="仿宋_GB2312" w:hAnsi="仿宋_GB2312" w:cs="仿宋_GB2312" w:eastAsia="仿宋_GB2312"/>
                      <w:sz w:val="16"/>
                    </w:rPr>
                    <w:t>沉浸式大空间中控运营管理能力</w:t>
                  </w:r>
                </w:p>
                <w:p>
                  <w:pPr>
                    <w:pStyle w:val="null3"/>
                  </w:pPr>
                  <w:r>
                    <w:rPr>
                      <w:rFonts w:ascii="仿宋_GB2312" w:hAnsi="仿宋_GB2312" w:cs="仿宋_GB2312" w:eastAsia="仿宋_GB2312"/>
                      <w:sz w:val="16"/>
                    </w:rPr>
                    <w:t>▲（1）动态组队</w:t>
                  </w:r>
                </w:p>
                <w:p>
                  <w:pPr>
                    <w:pStyle w:val="null3"/>
                  </w:pPr>
                  <w:r>
                    <w:rPr>
                      <w:rFonts w:ascii="仿宋_GB2312" w:hAnsi="仿宋_GB2312" w:cs="仿宋_GB2312" w:eastAsia="仿宋_GB2312"/>
                      <w:sz w:val="16"/>
                    </w:rPr>
                    <w:t>支持组队功能，运营人员可根据实际玩家人数，快速创建队伍并启播内容。</w:t>
                  </w:r>
                </w:p>
                <w:p>
                  <w:pPr>
                    <w:pStyle w:val="null3"/>
                  </w:pPr>
                  <w:r>
                    <w:rPr>
                      <w:rFonts w:ascii="仿宋_GB2312" w:hAnsi="仿宋_GB2312" w:cs="仿宋_GB2312" w:eastAsia="仿宋_GB2312"/>
                      <w:sz w:val="16"/>
                    </w:rPr>
                    <w:t>▲（2）场景同步</w:t>
                  </w:r>
                </w:p>
                <w:p>
                  <w:pPr>
                    <w:pStyle w:val="null3"/>
                  </w:pPr>
                  <w:r>
                    <w:rPr>
                      <w:rFonts w:ascii="仿宋_GB2312" w:hAnsi="仿宋_GB2312" w:cs="仿宋_GB2312" w:eastAsia="仿宋_GB2312"/>
                      <w:sz w:val="16"/>
                    </w:rPr>
                    <w:t>支持运营人员通过播控系统，一键为整个队伍切换指定的关卡或场景。</w:t>
                  </w:r>
                </w:p>
                <w:p>
                  <w:pPr>
                    <w:pStyle w:val="null3"/>
                  </w:pPr>
                  <w:r>
                    <w:rPr>
                      <w:rFonts w:ascii="仿宋_GB2312" w:hAnsi="仿宋_GB2312" w:cs="仿宋_GB2312" w:eastAsia="仿宋_GB2312"/>
                      <w:sz w:val="16"/>
                    </w:rPr>
                    <w:t>▲（3）设备状态可实时监控</w:t>
                  </w:r>
                </w:p>
                <w:p>
                  <w:pPr>
                    <w:pStyle w:val="null3"/>
                  </w:pPr>
                  <w:r>
                    <w:rPr>
                      <w:rFonts w:ascii="仿宋_GB2312" w:hAnsi="仿宋_GB2312" w:cs="仿宋_GB2312" w:eastAsia="仿宋_GB2312"/>
                      <w:sz w:val="16"/>
                    </w:rPr>
                    <w:t>通过中控端可实时显示每台VR设备的在线/离线状态、电量、连接信号强度。</w:t>
                  </w:r>
                </w:p>
                <w:p>
                  <w:pPr>
                    <w:pStyle w:val="null3"/>
                    <w:jc w:val="both"/>
                  </w:pPr>
                  <w:r>
                    <w:rPr>
                      <w:rFonts w:ascii="仿宋_GB2312" w:hAnsi="仿宋_GB2312" w:cs="仿宋_GB2312" w:eastAsia="仿宋_GB2312"/>
                      <w:sz w:val="16"/>
                      <w:b/>
                    </w:rPr>
                    <w:t>注：上述内容需在响应文件中提供清晰软件功能截图。</w:t>
                  </w:r>
                </w:p>
              </w:tc>
            </w:tr>
            <w:tr>
              <w:tc>
                <w:tcPr>
                  <w:tcW w:type="dxa" w:w="2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天坑原创剧目创作（XR核心体验内容创作）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制作内容</w:t>
                  </w:r>
                </w:p>
                <w:p>
                  <w:pPr>
                    <w:pStyle w:val="null3"/>
                    <w:jc w:val="left"/>
                  </w:pPr>
                  <w:r>
                    <w:rPr>
                      <w:rFonts w:ascii="仿宋_GB2312" w:hAnsi="仿宋_GB2312" w:cs="仿宋_GB2312" w:eastAsia="仿宋_GB2312"/>
                      <w:sz w:val="16"/>
                    </w:rPr>
                    <w:t>技术要求</w:t>
                  </w:r>
                </w:p>
              </w:tc>
              <w:tc>
                <w:tcPr>
                  <w:tcW w:type="dxa" w:w="193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制作内容应满足GY/T356-2021国标VR制作规范，应满足本次采购所有硬件设备参数</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美术与脚本设计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围绕镇巴世界天坑地理特征、地质演化、民俗文化和探险剧情开展脚本设计；主线有效剧情时长不低于25分钟；设计不少于7个关键互动节点，融入当地民俗文化元素不少于3类，交付完整脚本文档。</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交互机制设计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覆盖拾取、射击、机关触发、手势识别等交互模式；支持VR手柄和高精度手势交互；提供视觉高亮、听觉提示、触觉反馈等多维引导，适配全年龄用户体验。</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角色深度设计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完成主要角色、关键NPC、反派等角色设计；包含角色人设、原画设定、三视图、人物立绘、PBR材质模型及动作逻辑设计，满足剧情呈现和交互体验需要。</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配音服务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3D空间全景音；环境音、旁白、特效音独立分轨交付；立体声备份；完成系统UI语音、游戏旁白、角色语音等配音制作；总配音时长不低于25分钟；音频应无明显杂音、爆音和电流声，并完成后期处理及内容融合。</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地编场景制作服务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完成天坑主题场景1套，包含不少于7个独立且连贯的主要体验场景；模型、地形、植被、岩石、地下河、溶洞等元素应符合天坑地理特征；支持LOD优化，主要纹理不低于2048×2048px，交付FBX/OBJ等通用格式资产及材质文件。</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模型资产与动作</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采用PBR材质贴图流程增强真实感；完成角色、道具、交互物件等资产制作和动作设计；动作帧率不低于60帧，支持动作融合、姿态修正和VR交互逻辑适配。</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特效制作</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完成环境特效、交互特效、剧情特效、UI特效等制作；包括云雾流动、瀑布水雾、光影投射、天气变化、交互反馈、剧情氛围强化等效果。</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大空间程序集成</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采用UE5或同等先进引擎技术完成大空间VR剧目集成；最终形成25分钟LBE大空间VR剧目内容；包含不少于7个独立且连贯的场景或关卡；交付可运行数字化成果APK文件包及相关项目成果素材。</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设计与管理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现场部署服务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现场完成硬件安装、软件部署、内容部署、联调测试和试运行；部署完成后进行功能测试并提供现场操作培训1次，交付播控操作手册。</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动线设计服务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完成场地测量、空间点位规划、动线流程设计及起始点标识指导；测量误差不大于2cm，确保体验动线流畅、安全、可运营。</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售后运营维护服务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提供至少1人3个月的驻场服务；24个月远程指导、场馆网络配置协助、设备故障排查、游戏更新升级、运行问题处置等运营维护服务；响应时间不超过1个工作日，质保范围内非人为损坏零部件由供应商负责处理。</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vMerge/>
                  <w:tcBorders>
                    <w:top w:val="none" w:color="000000" w:sz="4"/>
                    <w:left w:val="single" w:color="000000" w:sz="4"/>
                    <w:bottom w:val="none" w:color="000000" w:sz="4"/>
                    <w:right w:val="single" w:color="000000" w:sz="4"/>
                  </w:tcBorders>
                </w:tcP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外地景区</w:t>
                  </w:r>
                </w:p>
                <w:p>
                  <w:pPr>
                    <w:pStyle w:val="null3"/>
                    <w:jc w:val="left"/>
                  </w:pPr>
                  <w:r>
                    <w:rPr>
                      <w:rFonts w:ascii="仿宋_GB2312" w:hAnsi="仿宋_GB2312" w:cs="仿宋_GB2312" w:eastAsia="仿宋_GB2312"/>
                      <w:sz w:val="16"/>
                    </w:rPr>
                    <w:t>联动</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根据采购人需求，本次项目制作的相关资源和远程部署于其他场地，实现与外地景区VR场景联动。</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运营配套服务</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系统升级及宣传运营配套服务</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自验收交付之日起24个月内免费提供内容微调优化、播控系统升级维护、VR设备兼容适配、已知运行问题修复、功能逻辑迭代、安全补丁推送、场地迁移适配技术支持、红色教育及科普类XR剧目接入、主题宣传物料设计、项目宣传短视频制作和VR元宇宙宣传H5页面建设等服务，所有内容纳入本项目整体交付范围。</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遵照采购需求配置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遵照采购需求配置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自合同签订之日起90天完成交付，自验收合格之日起2年运维期。运维期满后项目涉及的软硬件产权归甲方所有，不得采用加密等手段限制甲方正常使用。</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进度款，运维期结束后，达到付款条件起30个工作日内，支付合同总金额的10.0%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作⽇告知采购代理机构（联系电话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资格承诺函(汉财办采管(2024)20号)文件要求。</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投标人未被列入”信用中国"网站(https://www.creditchina.gov.cn)"失信被执行人”"重大税收违法案件当事人名单"中，也未列入"中国政府采购网"(https://www.ccgp.gov.cn)的“政府采购严重违法失信行为记录名单";拟参与本项目的投标人应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响应文件按磋商要求进行电子签章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 最高限价</w:t>
            </w:r>
          </w:p>
        </w:tc>
        <w:tc>
          <w:tcPr>
            <w:tcW w:type="dxa" w:w="1661"/>
          </w:tcPr>
          <w:p>
            <w:pPr>
              <w:pStyle w:val="null3"/>
            </w:pPr>
            <w:r>
              <w:rPr>
                <w:rFonts w:ascii="仿宋_GB2312" w:hAnsi="仿宋_GB2312" w:cs="仿宋_GB2312" w:eastAsia="仿宋_GB2312"/>
              </w:rPr>
              <w:t>标的清单 报价表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分项报价.docx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供应商针对本项目提供详细的服务方案，需充分结合项目实际情况，满足采购需求，方案内容完整、具体、可行、科学合理。 1.评审内容： （1）服务目标与理解；（2）服务实施步骤计划（服务工作流程）；（3）售后与培训计划；（4）工作重点与难点分析及对应措施。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3.赋分标准：每一项评审内容满足每一项评审标准的得1.5分，最多得4.5分。每一项内容相对每一项评审标准存在一处漏洞或缺陷扣0.3-0.5分，4.5分扣完为止。未提供相关评审内容的，该项得0分。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 （1）质量保障措施；（2）安全保障措施；（3）进度保障措施；（4）应急保障措施。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供应商针对本项目提供保密方案，内容需结合前述服务方案，并考虑结合项目实际，能够切实保证服务质量。 1.评审内容： （1）保密管理制度及保密承诺；（2）数据和信息安全保密措施。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服务团队组织方案</w:t>
            </w:r>
          </w:p>
        </w:tc>
        <w:tc>
          <w:tcPr>
            <w:tcW w:type="dxa" w:w="2492"/>
          </w:tcPr>
          <w:p>
            <w:pPr>
              <w:pStyle w:val="null3"/>
            </w:pPr>
            <w:r>
              <w:rPr>
                <w:rFonts w:ascii="仿宋_GB2312" w:hAnsi="仿宋_GB2312" w:cs="仿宋_GB2312" w:eastAsia="仿宋_GB2312"/>
              </w:rPr>
              <w:t>供应商针对本项目提供服务团队组织方案，贴合项目实际需求。 1.评审内容： （1）项目实施团队组织方案；（2）岗位工作职责及管理制度；（3）服务人员考核制度；（4）服务人员培训、日常教育计划。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服务人员履约能力</w:t>
            </w:r>
          </w:p>
        </w:tc>
        <w:tc>
          <w:tcPr>
            <w:tcW w:type="dxa" w:w="2492"/>
          </w:tcPr>
          <w:p>
            <w:pPr>
              <w:pStyle w:val="null3"/>
            </w:pPr>
            <w:r>
              <w:rPr>
                <w:rFonts w:ascii="仿宋_GB2312" w:hAnsi="仿宋_GB2312" w:cs="仿宋_GB2312" w:eastAsia="仿宋_GB2312"/>
              </w:rPr>
              <w:t>1.项目经理：具备3年及以上项目管理经验，提供含任职经历的简历及毕业证书等证明材料，得1分；具备信息系统项目管理师证书，得1分。本项最高得2分。 2.技术总监：具备5年及以上项目技术总监经验，提供含任职经历的简历及毕业证书等证明材料，得1分；具备系统架构设计师证书，得1分。本项最高得2分。 3.技术开发人员：除项目经理及技术总监外，为本项目配备至少3名技术开发人员。每人均具备3年及以上技术开发经验，提供含任职经历的简历及毕业证书等证明材料，每提供1人得1分，本项最高得3分。 4.团队专业证书：除项目经理及技术总监外，团队成员提供系统规划与管理师、系统集成项目管理工程师或软件设计师证书的，每提供1项得1分，本项最高得3分。（注：同类证书不累计得分，同一人证书不累计计分）。 5.UI设计人员：除项目经理、技术总监及技术开发人员外，为本项目配备至少2名专职UI设计人员。提供含任职经历的简历、毕业证书及UI相关专业证书等证明材料，每提供1人得1分，本项最高得2分。 注：上述人员均需提供投标前一年内任意6个月的社保缴纳记录。</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供应商履约能力</w:t>
            </w:r>
          </w:p>
        </w:tc>
        <w:tc>
          <w:tcPr>
            <w:tcW w:type="dxa" w:w="2492"/>
          </w:tcPr>
          <w:p>
            <w:pPr>
              <w:pStyle w:val="null3"/>
            </w:pPr>
            <w:r>
              <w:rPr>
                <w:rFonts w:ascii="仿宋_GB2312" w:hAnsi="仿宋_GB2312" w:cs="仿宋_GB2312" w:eastAsia="仿宋_GB2312"/>
              </w:rPr>
              <w:t>1.供应商具备有效的质量管理体系ISO9001、环境管理体系 ISO14001、职业健康安全管理体系ISO45001。每提供一项得1分，本项最高得3分，不提供不得分。 2.供应商具备有效的与VR图像相关的证书。提供符合要求证书得2分，不提供不得分。 注：供应商需提供证明材料复印件并加盖公章，否则不得分。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供应商需提供2023年1月1日以来独立承担过类似项目业绩，每个业绩计2.5分，最高计5分。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所投产品技术参数规格明确，满足采购人使用的需求，对每项产品参数都进行明确响应，满足磋商文件要求计20分。带“▲”的参数指标有一项负偏离扣1.5分，扣完为止。 其它参数指标有一项负偏离扣1分，扣完为止。 备注： 1.参数提供充足且在有效期内的佐证材料（包括但不限于生产厂家对外公开发布印刷彩页或技术白皮书或第三方检测报告或系统截图等证明材料）若有提供虚假参数及材料应标的，经查实将按照有关法律规定进行严肃处理。 2.配置不详、规格型号描述不清，缺漏项、应答时缺项等视同负偏离处理。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2、以满足本次磋商文件要求的最低报价为评标基准价，其价格为满分； 3、不享有政策优惠条件的供应商报价得分=（评标基准价/投标报价）×10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