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版本号：ZCSP-渭南市-2026-00205、DLCG2026-02220260624001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渭南市2026年消费品以旧换新审核服务项目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ZCSP-渭南市-2026-00205、DLCG2026-022</w:t>
      </w:r>
      <w:r>
        <w:br/>
      </w:r>
      <w:r>
        <w:br/>
      </w:r>
      <w:r>
        <w:br/>
      </w:r>
    </w:p>
    <w:p>
      <w:pPr>
        <w:pStyle w:val="null3"/>
        <w:jc w:val="center"/>
        <w:outlineLvl w:val="2"/>
      </w:pPr>
      <w:r>
        <w:rPr>
          <w:rFonts w:ascii="仿宋_GB2312" w:hAnsi="仿宋_GB2312" w:cs="仿宋_GB2312" w:eastAsia="仿宋_GB2312"/>
          <w:sz w:val="28"/>
          <w:b/>
        </w:rPr>
        <w:t>渭南市商务局</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渭南市商务局</w:t>
      </w:r>
      <w:r>
        <w:rPr>
          <w:rFonts w:ascii="仿宋_GB2312" w:hAnsi="仿宋_GB2312" w:cs="仿宋_GB2312" w:eastAsia="仿宋_GB2312"/>
        </w:rPr>
        <w:t>委托，拟对</w:t>
      </w:r>
      <w:r>
        <w:rPr>
          <w:rFonts w:ascii="仿宋_GB2312" w:hAnsi="仿宋_GB2312" w:cs="仿宋_GB2312" w:eastAsia="仿宋_GB2312"/>
        </w:rPr>
        <w:t>渭南市2026年消费品以旧换新审核服务项目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ZCSP-渭南市-2026-00205、DLCG2026-022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渭南市2026年消费品以旧换新审核服务项目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完成渭南市2026年消费品以旧换新审核服务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采购包1（渭南市2026年消费品以旧换新审核服务项目）：属于专门面向中小企业采购。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p>
      <w:pPr>
        <w:pStyle w:val="null3"/>
      </w:pPr>
      <w:r>
        <w:rPr>
          <w:rFonts w:ascii="仿宋_GB2312" w:hAnsi="仿宋_GB2312" w:cs="仿宋_GB2312" w:eastAsia="仿宋_GB2312"/>
        </w:rPr>
        <w:t>2、信用信息：供应商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3、供应商不得存在下列情形：单位负责人为同一人或者存在直接控股、管理关系的不同供应商不得参加同一合同项下的政府采购活动。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渭南市车雷街69号市民综合服务中心东配楼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0913-2933630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渭南市临渭区乐天大街碧桂园翡翠公馆北门11栋商铺2层208号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857号）的有关规定标准，成交供应商向采购代理机构一次性付清采购代理服务费。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渭南市商务局</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渭南市商务局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本项目实施过程中形成的绩效报告、数据成果及相关文档，其知识产权及所有权均归采购人所有，供应商仅可在本项目范围内使用，不得向第三方泄露或用于其他目的。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符合磋商文件要求以及国家相关技术标准。在项目执行完毕后，将所有资料（包括但不限于过程文件、绩效评价报告、相关文件资料等）移交采购人，经采购人或验收小组一致认为达到合格标准。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完成渭南市2026年消费品以旧换新审核服务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渭南市2026年消费品以旧换新审核服务项目</w:t>
            </w:r>
          </w:p>
        </w:tc>
        <w:tc>
          <w:tcPr>
            <w:tcW w:type="dxa" w:w="755"/>
          </w:tcPr>
          <w:p>
            <w:pPr>
              <w:pStyle w:val="null3"/>
              <w:jc w:val="right"/>
            </w:pPr>
            <w:r>
              <w:rPr>
                <w:rFonts w:ascii="仿宋_GB2312" w:hAnsi="仿宋_GB2312" w:cs="仿宋_GB2312" w:eastAsia="仿宋_GB2312"/>
              </w:rPr>
              <w:t>266,666.00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笔</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标的名称：渭南市2026年消费品以旧换新审核服务项目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项目概况</w:t>
            </w:r>
          </w:p>
          <w:p>
            <w:pPr>
              <w:pStyle w:val="null3"/>
              <w:ind w:firstLine="640"/>
              <w:jc w:val="left"/>
            </w:pPr>
            <w:r>
              <w:rPr>
                <w:rFonts w:ascii="仿宋_GB2312" w:hAnsi="仿宋_GB2312" w:cs="仿宋_GB2312" w:eastAsia="仿宋_GB2312"/>
                <w:sz w:val="21"/>
              </w:rPr>
              <w:t>按国家、省、市文件及相关细则要求，对渭南市2026年消费品以旧换新审核服务项目进行审核，并在项目结束后进行数据汇总和绩效评价，出具相关成果报告。本次审核工作覆盖汽车报废、汽车置换、家电、数码和智能产品及地方自主品类。鉴于审核品类多、资金量大、周期长，服务机构须具备专业能力，严格遵循国家及地方相关政策法规，确保审核工作高效推进、准确无误、规范合规，切实保障补贴资金安全有序发放，维护消费者合法权益与补贴活动公平公正开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3"/>
              <w:jc w:val="both"/>
            </w:pPr>
            <w:r>
              <w:rPr>
                <w:rFonts w:ascii="仿宋_GB2312" w:hAnsi="仿宋_GB2312" w:cs="仿宋_GB2312" w:eastAsia="仿宋_GB2312"/>
                <w:sz w:val="21"/>
                <w:b/>
              </w:rPr>
              <w:t>（二）服务内容</w:t>
            </w:r>
          </w:p>
          <w:p>
            <w:pPr>
              <w:pStyle w:val="null3"/>
              <w:ind w:firstLine="640"/>
              <w:jc w:val="both"/>
            </w:pPr>
            <w:r>
              <w:rPr>
                <w:rFonts w:ascii="仿宋_GB2312" w:hAnsi="仿宋_GB2312" w:cs="仿宋_GB2312" w:eastAsia="仿宋_GB2312"/>
                <w:sz w:val="21"/>
              </w:rPr>
              <w:t>1.补贴申请材料审核</w:t>
            </w:r>
          </w:p>
          <w:p>
            <w:pPr>
              <w:pStyle w:val="null3"/>
              <w:ind w:firstLine="640"/>
              <w:jc w:val="both"/>
            </w:pPr>
            <w:r>
              <w:rPr>
                <w:rFonts w:ascii="仿宋_GB2312" w:hAnsi="仿宋_GB2312" w:cs="仿宋_GB2312" w:eastAsia="仿宋_GB2312"/>
                <w:sz w:val="21"/>
              </w:rPr>
              <w:t>家电以旧换新类：针对企业在渭南市消费品以旧换新服务平台提交的家电以旧换新补贴申请材料，需按时进行全面审核。仔细核查消费者提交的家电购买发票、支付凭证、旧家电回收凭证、个人身份信息等，确保材料真实有效且符合补贴政策规定的条件。</w:t>
            </w:r>
          </w:p>
          <w:p>
            <w:pPr>
              <w:pStyle w:val="null3"/>
              <w:ind w:firstLine="640"/>
              <w:jc w:val="both"/>
            </w:pPr>
            <w:r>
              <w:rPr>
                <w:rFonts w:ascii="仿宋_GB2312" w:hAnsi="仿宋_GB2312" w:cs="仿宋_GB2312" w:eastAsia="仿宋_GB2312"/>
                <w:sz w:val="21"/>
              </w:rPr>
              <w:t>汽车相关补贴类：对于汽车报废更新和置换更新补贴申请，审核个人消费者提交的购车人身份信息、手机号码、收款账号等，新车《机动车销售统一发票》和《机动车登记证书》，旧车《报废机动车回收证明》《机动车注销证明》（报废更新）或《机动车登记证书》和《二手车销售统一发票》（置换更新）等资料。确保申请补贴的报废汽车所有人和新购置汽车所有人为同一消费者，且符合相关时间节点、车辆条件要求和政策规定的条件。</w:t>
            </w:r>
          </w:p>
          <w:p>
            <w:pPr>
              <w:pStyle w:val="null3"/>
              <w:ind w:firstLine="596"/>
              <w:jc w:val="both"/>
            </w:pPr>
            <w:r>
              <w:rPr>
                <w:rFonts w:ascii="仿宋_GB2312" w:hAnsi="仿宋_GB2312" w:cs="仿宋_GB2312" w:eastAsia="仿宋_GB2312"/>
                <w:sz w:val="21"/>
              </w:rPr>
              <w:t>数码和智能产品购新补贴类：对购买手机、平板、智能手表（手环）等数码产品的补贴申请进行审核。核对消费者在参与补贴活动的商贸企业（单位）购买数码产品的支付发票、支付凭证、产品信息、个人信息等，确保产品价格、购买时间等符合补贴标准。</w:t>
            </w:r>
          </w:p>
          <w:p>
            <w:pPr>
              <w:pStyle w:val="null3"/>
              <w:ind w:firstLine="572"/>
              <w:jc w:val="both"/>
            </w:pPr>
            <w:r>
              <w:rPr>
                <w:rFonts w:ascii="仿宋_GB2312" w:hAnsi="仿宋_GB2312" w:cs="仿宋_GB2312" w:eastAsia="仿宋_GB2312"/>
                <w:sz w:val="21"/>
              </w:rPr>
              <w:t>地方自主补贴品类：按照陕西省地方自主品类补贴政策标准审核。</w:t>
            </w:r>
          </w:p>
          <w:p>
            <w:pPr>
              <w:pStyle w:val="null3"/>
              <w:ind w:firstLine="640"/>
              <w:jc w:val="both"/>
            </w:pPr>
            <w:r>
              <w:rPr>
                <w:rFonts w:ascii="仿宋_GB2312" w:hAnsi="仿宋_GB2312" w:cs="仿宋_GB2312" w:eastAsia="仿宋_GB2312"/>
                <w:sz w:val="21"/>
              </w:rPr>
              <w:t>2.按照国家、省、市政策文件规定及相关细则、工作要求，对有问题的资料进行备注说明，退回企业与商户修改补充后复审，避免出现不符合政策的申请和资金发放。</w:t>
            </w:r>
          </w:p>
          <w:p>
            <w:pPr>
              <w:pStyle w:val="null3"/>
              <w:ind w:firstLine="640"/>
              <w:jc w:val="left"/>
            </w:pPr>
            <w:r>
              <w:rPr>
                <w:rFonts w:ascii="仿宋_GB2312" w:hAnsi="仿宋_GB2312" w:cs="仿宋_GB2312" w:eastAsia="仿宋_GB2312"/>
                <w:sz w:val="21"/>
              </w:rPr>
              <w:t>3.对于补贴申请存在可疑问题的商家，或商务厅、审计部门、以旧换新服务平台、群众等其他渠道反馈的问题线索进行现场实地核查。</w:t>
            </w:r>
          </w:p>
          <w:p>
            <w:pPr>
              <w:pStyle w:val="null3"/>
              <w:ind w:firstLine="640"/>
              <w:jc w:val="both"/>
            </w:pPr>
            <w:r>
              <w:rPr>
                <w:rFonts w:ascii="仿宋_GB2312" w:hAnsi="仿宋_GB2312" w:cs="仿宋_GB2312" w:eastAsia="仿宋_GB2312"/>
                <w:sz w:val="21"/>
              </w:rPr>
              <w:t>4.根据渭南市商务局工作需求，每月15日、30日（假期顺延）报送汽车报废、汽车置换、家电、数码和智能产品及地方自主品类审核进度，包括但不限于申请、审核通过、审核不通过、修改等相关信息和数据。 渭南市商务局将依据审核通过信息和数据进行补贴兑付。</w:t>
            </w:r>
          </w:p>
          <w:p>
            <w:pPr>
              <w:pStyle w:val="null3"/>
              <w:ind w:firstLine="640"/>
              <w:jc w:val="both"/>
            </w:pPr>
            <w:r>
              <w:rPr>
                <w:rFonts w:ascii="仿宋_GB2312" w:hAnsi="仿宋_GB2312" w:cs="仿宋_GB2312" w:eastAsia="仿宋_GB2312"/>
                <w:sz w:val="21"/>
              </w:rPr>
              <w:t>5.协助渭南市商务局开展以旧换新工作。包括对接服务平台及参与活动的企业、商家，对补贴申请资料内容进行问题沟通、回复，补贴申请资金退回订单的处理，各类以旧换新补贴政策相关的电话咨询、现场咨询、资料补充、问题反馈回复、现场核查等。</w:t>
            </w:r>
          </w:p>
          <w:p>
            <w:pPr>
              <w:pStyle w:val="null3"/>
              <w:ind w:firstLine="640"/>
              <w:jc w:val="both"/>
            </w:pPr>
            <w:r>
              <w:rPr>
                <w:rFonts w:ascii="仿宋_GB2312" w:hAnsi="仿宋_GB2312" w:cs="仿宋_GB2312" w:eastAsia="仿宋_GB2312"/>
                <w:sz w:val="21"/>
              </w:rPr>
              <w:t>6.主动接受渭南市商务局监督管理。及时提供活动开展的全面信息情况，包括产品类别、交易等数据及分析报告等，主动接受审计、监督、配合开展绩效评价等工作。</w:t>
            </w:r>
          </w:p>
          <w:p>
            <w:pPr>
              <w:pStyle w:val="null3"/>
              <w:ind w:firstLine="640"/>
              <w:jc w:val="both"/>
            </w:pPr>
            <w:r>
              <w:rPr>
                <w:rFonts w:ascii="仿宋_GB2312" w:hAnsi="仿宋_GB2312" w:cs="仿宋_GB2312" w:eastAsia="仿宋_GB2312"/>
                <w:sz w:val="21"/>
              </w:rPr>
              <w:t>7.审核结束后，出具绩效评价报告，确保财政资金安全合规使用。</w:t>
            </w:r>
          </w:p>
          <w:p>
            <w:pPr>
              <w:pStyle w:val="null3"/>
            </w:pPr>
            <w:r>
              <w:rPr>
                <w:rFonts w:ascii="仿宋_GB2312" w:hAnsi="仿宋_GB2312" w:cs="仿宋_GB2312" w:eastAsia="仿宋_GB2312"/>
                <w:sz w:val="21"/>
              </w:rPr>
              <w:t xml:space="preserve">    8.其他保障补贴活动正常开展的相关工作。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3"/>
              <w:jc w:val="both"/>
            </w:pPr>
            <w:r>
              <w:rPr>
                <w:rFonts w:ascii="仿宋_GB2312" w:hAnsi="仿宋_GB2312" w:cs="仿宋_GB2312" w:eastAsia="仿宋_GB2312"/>
                <w:sz w:val="21"/>
                <w:b/>
              </w:rPr>
              <w:t>（三）服务要求：</w:t>
            </w:r>
          </w:p>
          <w:p>
            <w:pPr>
              <w:pStyle w:val="null3"/>
              <w:ind w:firstLine="616"/>
              <w:jc w:val="both"/>
            </w:pPr>
            <w:r>
              <w:rPr>
                <w:rFonts w:ascii="仿宋_GB2312" w:hAnsi="仿宋_GB2312" w:cs="仿宋_GB2312" w:eastAsia="仿宋_GB2312"/>
                <w:sz w:val="21"/>
              </w:rPr>
              <w:t>1.有能力提供本次项目所要求的全部服务内容。</w:t>
            </w:r>
          </w:p>
          <w:p>
            <w:pPr>
              <w:pStyle w:val="null3"/>
              <w:ind w:firstLine="616"/>
              <w:jc w:val="both"/>
            </w:pPr>
            <w:r>
              <w:rPr>
                <w:rFonts w:ascii="仿宋_GB2312" w:hAnsi="仿宋_GB2312" w:cs="仿宋_GB2312" w:eastAsia="仿宋_GB2312"/>
                <w:sz w:val="21"/>
              </w:rPr>
              <w:t>2.具备稳定的技术保障和运营服务能力。拥有成熟的系统保障技术人员和团队服务人员，能够根据活动需求，及时查漏补缺，满足活动需求。</w:t>
            </w:r>
          </w:p>
          <w:p>
            <w:pPr>
              <w:pStyle w:val="null3"/>
              <w:ind w:firstLine="640"/>
              <w:jc w:val="both"/>
            </w:pPr>
            <w:r>
              <w:rPr>
                <w:rFonts w:ascii="仿宋_GB2312" w:hAnsi="仿宋_GB2312" w:cs="仿宋_GB2312" w:eastAsia="仿宋_GB2312"/>
                <w:sz w:val="21"/>
              </w:rPr>
              <w:t>3.具备较强的工作统筹和综合协调能力。协调各方积极参与以旧换新补贴活动，保障消费者权益。</w:t>
            </w:r>
          </w:p>
          <w:p>
            <w:pPr>
              <w:pStyle w:val="null3"/>
              <w:ind w:firstLine="640"/>
              <w:jc w:val="both"/>
            </w:pPr>
            <w:r>
              <w:rPr>
                <w:rFonts w:ascii="仿宋_GB2312" w:hAnsi="仿宋_GB2312" w:cs="仿宋_GB2312" w:eastAsia="仿宋_GB2312"/>
                <w:sz w:val="21"/>
              </w:rPr>
              <w:t>4.积极协调各平台按照要求汇总真实、完整的交易数据，配合资金审计、绩效评价，主动接受监督。配合有关部门对以旧换新活动各参与主体进行违法违规情况收集和监督。</w:t>
            </w:r>
          </w:p>
          <w:p>
            <w:pPr>
              <w:pStyle w:val="null3"/>
              <w:ind w:firstLine="640"/>
              <w:jc w:val="both"/>
            </w:pPr>
            <w:r>
              <w:rPr>
                <w:rFonts w:ascii="仿宋_GB2312" w:hAnsi="仿宋_GB2312" w:cs="仿宋_GB2312" w:eastAsia="仿宋_GB2312"/>
                <w:sz w:val="21"/>
              </w:rPr>
              <w:t>5.服务机构需切实履行保密责任，确保做好以旧换新相关信息保密工作，未经商务主管部门许可不可私自公开相关数据。</w:t>
            </w:r>
          </w:p>
          <w:p>
            <w:pPr>
              <w:pStyle w:val="null3"/>
              <w:ind w:firstLine="640"/>
              <w:jc w:val="both"/>
            </w:pPr>
            <w:r>
              <w:rPr>
                <w:rFonts w:ascii="仿宋_GB2312" w:hAnsi="仿宋_GB2312" w:cs="仿宋_GB2312" w:eastAsia="仿宋_GB2312"/>
                <w:sz w:val="21"/>
              </w:rPr>
              <w:t>6.服务机构在合同履约期内，须保障渭南市范围内快速现场响应服务，接到服务需求后按约定时限抵达现场处理；合同履约阶段，须为本项目配置专职服务团队，投入服务人员总数不少于 10 名，包括电子、信息技术、商务、运营、财务等专业人员。</w:t>
            </w:r>
          </w:p>
          <w:p>
            <w:pPr>
              <w:pStyle w:val="null3"/>
            </w:pPr>
            <w:r>
              <w:rPr>
                <w:rFonts w:ascii="仿宋_GB2312" w:hAnsi="仿宋_GB2312" w:cs="仿宋_GB2312" w:eastAsia="仿宋_GB2312"/>
                <w:sz w:val="21"/>
              </w:rPr>
              <w:t xml:space="preserve">    7.报价要求：本项目招单价，供应商报价不允许超过标的单价，标的单价为1.5元/笔。结算方式：合同价款结算时，以成交单价*实际服务数量进行据实结算，本项目最高付款金额不得超过40万元。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付款方式：合同签订生效后，截止2026年12月24日，根据实际审核数量，达到付款条件起10个工作日内，结算相应审核服务费用的70%； 待项目审核验收结束，乙方出具正式项目报告及绩效评价报告，经甲方验收合格，乙方向甲方出具正式发票，达到付款条件起10个工作日内，甲方向乙方支付剩余合同价款。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自合同签订之日起至2027年3月31日（如需顺延的，顺延至绩效评价报告完成为止）。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符合磋商文件要求以及国家相关技术标准。在项目执行完毕后，将所有资料（包括但不限于过程文件、绩效评价报告、相关文件资料等）移交采购人，经采购人或验收小组一致认为达到合格标准。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进度款，合同签订生效后，截止2026年12月24日，根据实际审核数量，结算相应审核服务费用的70%，达到付款条件起10个工作日内，支付合同总金额的70.0%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进度款，待项目审核验收结束，乙方出具正式项目报告及绩效评价报告，经甲方验收合格，乙方向甲方出具正式发票，甲方向乙方支付剩余合同价款，达到付款条件起10个工作日内，支付合同总金额的30.0%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1.成交单位在成交结果公告发布后3个工作日内提供叁套纸质磋商响应文件（经编标工具生成的文件直接打印并加盖公章），递交的纸质版文件内容确保与线上电子文件保持一致，不允许修改和补充。 2.供应商应根据《政府采购促进中小企业发展管理办法》、《关于印发中小企业划型标准规定的通知》(工信部联企业(2011)300号)要求和采购文件中明确的采购标的所属行业进行企业划型。 3.出具磋商保证金交纳凭证或担保机构出具的保函（未按磋商文件要求提供响应无效）。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1.5提供供应商参加政府采购活动前三年内经营活动中没有重大违法纪录的书面声明；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服务内容及服务要求应答表 标的清单 报价表 商务应答表.docx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服务内容及服务要求应答表 商务应答表.docx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一、评审内容：对本项目的理解与重难点分析，包括但不限于：①对项目的理解和认识；②项目重难点分析；③合理化建议等。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一、评审内容：针对本项目提出服务方案，包括但不限于： ①审核工作的整体思路；②审核服务目标及计划安排；③审核服务流程；④审核服务质量保障及措施等。 二、评审标准：以上4项，以序号①、②、③、④为项数，内容无缺项且无缺陷的得12分，其中每有一项内容存在缺项扣3分，每项内容中每有一处存在缺陷的扣0.5分，扣完为止，未提供不得分。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一、评审内容：针对本项目制定详细可行的项目管理方案，包括但不限于：①项目的岗位设置；②员工管理制度；③档案管理制度等。 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一、评审内容：针对本项目制定具体风险防控方案，包括但不限于：①审核过程中出现的各类风险分析（包含但不限于数据错误、欺诈行为、政策变化、信息泄露）；②审核工作重难点控制措施；③审核工作重难点控制制度等。 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审核保密方案</w:t>
            </w:r>
          </w:p>
        </w:tc>
        <w:tc>
          <w:tcPr>
            <w:tcW w:type="dxa" w:w="2492"/>
          </w:tcPr>
          <w:p>
            <w:pPr>
              <w:pStyle w:val="null3"/>
            </w:pPr>
            <w:r>
              <w:rPr>
                <w:rFonts w:ascii="仿宋_GB2312" w:hAnsi="仿宋_GB2312" w:cs="仿宋_GB2312" w:eastAsia="仿宋_GB2312"/>
              </w:rPr>
              <w:t>一、评审内容：针对本项目制定具体审核保密方案，包括但不限于：①保密防范措施；②出现泄露秘密情况的追责制度等。 二、评审标准：以上2项，以序号①、②为项数，内容无缺项且无缺陷的得4分，其中每有一项内容存在缺项扣2分，每项内容中每有一处存在缺陷的扣0.5分，扣完为止，未提供不得分。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 ①具有5年及以上会计工作经验，得2分；拥有3年（含）—5年（不含）会计工作经验，得1分；不足3年不得分。 注：需提供对应年限连续或累计会计从业证明材料（有效的劳动合同或其他证明材料），加盖单位公章，未提供不予计分。 ②项目负责人具备中级及以上会计师资格，得3分。 注：提供相应的资格证及在本单位缴纳一年内任意一个月社保缴纳证明或有效的劳动合同等证明材料，加盖单位公章，未提供或有遗漏的该项不予计分。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项目组人员组成： ①项目组总人数必须满足10人，每增加一人得1分，最多得8分（人员总数不满足10人不得分）； ②项目团队人员中每配备1名中级及以上会计师，得1分，每配备一名初级会计师得0.5分，该项最多得2分（除项目负责人外）。 ③配置专职驻场审核人员（需提供驻场承诺函）：配置1名得2分，每增加1名加1分，最多得5分。 注：拟派人员均需提供相应的资格证及在本单位缴纳一年内一个月社保缴纳证明或劳动合同等证明材料，加盖单位公章，未提供或有遗漏的不予计分。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针对本项目提供拟投入的设备清单，设备清单包含便携式计算机、台式计算机、打印机、移动存储设备等。每种设备均需提供购置发票或租赁合同扫描件，并附有设备图片，每有一项得1分，同一类型设备仅计1次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服务质量达到采购文件要求的承诺；②服务周期按采购文件要求或可提供更优服务周期的承诺；③保质保量提交完整绩效评价报告等项目资料的承诺；④接受采购人对服务的监督及管理的承诺；⑤承诺验收前，项目团队的人员保持稳定的承诺等。 二、评审标准：以上5项，需提供加盖供应商公章的书面承诺文件，每提供1项不低于采购文件要求的有效书面承诺得2分，最高得10分。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起至今类似项目业绩，每提供一项得3分，最高得6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